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附件: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广水市2023年计划新增改革面积和验收面积</w:t>
      </w:r>
    </w:p>
    <w:bookmarkEnd w:id="0"/>
    <w:tbl>
      <w:tblPr>
        <w:tblStyle w:val="4"/>
        <w:tblW w:w="893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980"/>
        <w:gridCol w:w="1980"/>
        <w:gridCol w:w="1980"/>
        <w:gridCol w:w="1439"/>
      </w:tblGrid>
      <w:tr>
        <w:trPr>
          <w:trHeight w:val="946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单位：万亩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县（市、区）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2025年前应完成改革总面积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截止2022年底累计已完成改革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面积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2023年计划新增改革面积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2023年计划验收面积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广水市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44.9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23.36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10.22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8.8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jYzk5YjNhZGQ3ZjU2MTk4MmFjNDk3MTQ4NGI4NzcifQ=="/>
  </w:docVars>
  <w:rsids>
    <w:rsidRoot w:val="00000000"/>
    <w:rsid w:val="03F3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2023-07-26T08:47:11Z</dcterms:created>
  <dc:creator>Administrator</dc:creator>
  <cp:lastModifiedBy>WPS_1665644699</cp:lastModifiedBy>
  <dcterms:modified xsi:type="dcterms:W3CDTF">2023-07-26T08:47:46Z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B07CDD962E644B5C9FCBCA591C467684_12</vt:lpwstr>
  </property>
</Properties>
</file>