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46"/>
        <w:tblW w:w="5000" w:type="pct"/>
        <w:jc w:val="center"/>
        <w:tblLayout w:type="fixed"/>
        <w:tblCellMar>
          <w:top w:w="0" w:type="dxa"/>
          <w:left w:w="108" w:type="dxa"/>
          <w:bottom w:w="0" w:type="dxa"/>
          <w:right w:w="108" w:type="dxa"/>
        </w:tblCellMar>
      </w:tblPr>
      <w:tblGrid>
        <w:gridCol w:w="421"/>
        <w:gridCol w:w="694"/>
        <w:gridCol w:w="1091"/>
        <w:gridCol w:w="1562"/>
        <w:gridCol w:w="7977"/>
        <w:gridCol w:w="975"/>
        <w:gridCol w:w="736"/>
        <w:gridCol w:w="718"/>
      </w:tblGrid>
      <w:tr w14:paraId="4BA4115C">
        <w:tblPrEx>
          <w:tblCellMar>
            <w:top w:w="0" w:type="dxa"/>
            <w:left w:w="108" w:type="dxa"/>
            <w:bottom w:w="0" w:type="dxa"/>
            <w:right w:w="108" w:type="dxa"/>
          </w:tblCellMar>
        </w:tblPrEx>
        <w:trPr>
          <w:cantSplit/>
          <w:trHeight w:val="1394" w:hRule="atLeast"/>
          <w:jc w:val="center"/>
        </w:trPr>
        <w:tc>
          <w:tcPr>
            <w:tcW w:w="5000" w:type="pct"/>
            <w:gridSpan w:val="8"/>
            <w:tcBorders>
              <w:top w:val="nil"/>
              <w:left w:val="nil"/>
              <w:bottom w:val="single" w:color="auto" w:sz="4" w:space="0"/>
              <w:right w:val="nil"/>
            </w:tcBorders>
            <w:noWrap/>
            <w:vAlign w:val="center"/>
          </w:tcPr>
          <w:p w14:paraId="2B79D323">
            <w:pPr>
              <w:widowControl/>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 xml:space="preserve">附件          </w:t>
            </w:r>
            <w:r>
              <w:rPr>
                <w:rFonts w:hint="eastAsia" w:ascii="黑体" w:hAnsi="黑体" w:eastAsia="黑体" w:cs="黑体"/>
                <w:kern w:val="0"/>
                <w:sz w:val="32"/>
                <w:szCs w:val="32"/>
                <w:lang w:val="en-US" w:eastAsia="zh-CN"/>
              </w:rPr>
              <w:t xml:space="preserve">     </w:t>
            </w:r>
          </w:p>
          <w:p w14:paraId="1710662A">
            <w:pPr>
              <w:widowControl/>
              <w:jc w:val="center"/>
              <w:rPr>
                <w:rFonts w:hint="default" w:ascii="方正小标宋简体" w:hAnsi="宋体" w:eastAsia="CESI仿宋-GB13000" w:cs="宋体"/>
                <w:b/>
                <w:bCs/>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5</w:t>
            </w:r>
            <w:r>
              <w:rPr>
                <w:rFonts w:hint="eastAsia" w:ascii="方正小标宋简体" w:hAnsi="方正小标宋简体" w:eastAsia="方正小标宋简体" w:cs="方正小标宋简体"/>
                <w:b w:val="0"/>
                <w:bCs w:val="0"/>
                <w:kern w:val="0"/>
                <w:sz w:val="44"/>
                <w:szCs w:val="44"/>
              </w:rPr>
              <w:t>年度涉企行政执法检查</w:t>
            </w:r>
            <w:r>
              <w:rPr>
                <w:rFonts w:hint="eastAsia" w:ascii="方正小标宋简体" w:hAnsi="方正小标宋简体" w:eastAsia="方正小标宋简体" w:cs="方正小标宋简体"/>
                <w:b w:val="0"/>
                <w:bCs w:val="0"/>
                <w:kern w:val="0"/>
                <w:sz w:val="44"/>
                <w:szCs w:val="44"/>
                <w:lang w:val="en-US" w:eastAsia="zh-CN"/>
              </w:rPr>
              <w:t>计划</w:t>
            </w:r>
          </w:p>
        </w:tc>
      </w:tr>
      <w:tr w14:paraId="239B2399">
        <w:tblPrEx>
          <w:tblCellMar>
            <w:top w:w="0" w:type="dxa"/>
            <w:left w:w="108" w:type="dxa"/>
            <w:bottom w:w="0" w:type="dxa"/>
            <w:right w:w="108" w:type="dxa"/>
          </w:tblCellMar>
        </w:tblPrEx>
        <w:trPr>
          <w:trHeight w:val="846" w:hRule="atLeast"/>
          <w:jc w:val="center"/>
        </w:trPr>
        <w:tc>
          <w:tcPr>
            <w:tcW w:w="148" w:type="pct"/>
            <w:tcBorders>
              <w:top w:val="nil"/>
              <w:left w:val="single" w:color="auto" w:sz="4" w:space="0"/>
              <w:bottom w:val="single" w:color="auto" w:sz="4" w:space="0"/>
              <w:right w:val="single" w:color="auto" w:sz="4" w:space="0"/>
            </w:tcBorders>
            <w:noWrap/>
            <w:vAlign w:val="center"/>
          </w:tcPr>
          <w:p w14:paraId="708E6088">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244" w:type="pct"/>
            <w:tcBorders>
              <w:top w:val="nil"/>
              <w:left w:val="nil"/>
              <w:bottom w:val="single" w:color="auto" w:sz="4" w:space="0"/>
              <w:right w:val="single" w:color="auto" w:sz="4" w:space="0"/>
            </w:tcBorders>
            <w:noWrap/>
            <w:vAlign w:val="center"/>
          </w:tcPr>
          <w:p w14:paraId="092BA4F0">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行政执法机关</w:t>
            </w:r>
          </w:p>
        </w:tc>
        <w:tc>
          <w:tcPr>
            <w:tcW w:w="384" w:type="pct"/>
            <w:tcBorders>
              <w:top w:val="nil"/>
              <w:left w:val="nil"/>
              <w:bottom w:val="single" w:color="auto" w:sz="4" w:space="0"/>
              <w:right w:val="single" w:color="auto" w:sz="4" w:space="0"/>
            </w:tcBorders>
            <w:noWrap/>
            <w:vAlign w:val="center"/>
          </w:tcPr>
          <w:p w14:paraId="1171C8EA">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检查</w:t>
            </w:r>
          </w:p>
          <w:p w14:paraId="47EFA127">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对象</w:t>
            </w:r>
          </w:p>
        </w:tc>
        <w:tc>
          <w:tcPr>
            <w:tcW w:w="551" w:type="pct"/>
            <w:tcBorders>
              <w:top w:val="nil"/>
              <w:left w:val="nil"/>
              <w:bottom w:val="single" w:color="auto" w:sz="4" w:space="0"/>
              <w:right w:val="single" w:color="auto" w:sz="4" w:space="0"/>
            </w:tcBorders>
            <w:noWrap/>
            <w:vAlign w:val="center"/>
          </w:tcPr>
          <w:p w14:paraId="094604B9">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检查内容</w:t>
            </w:r>
          </w:p>
        </w:tc>
        <w:tc>
          <w:tcPr>
            <w:tcW w:w="2813" w:type="pct"/>
            <w:tcBorders>
              <w:top w:val="nil"/>
              <w:left w:val="nil"/>
              <w:bottom w:val="single" w:color="auto" w:sz="4" w:space="0"/>
              <w:right w:val="single" w:color="auto" w:sz="4" w:space="0"/>
            </w:tcBorders>
            <w:noWrap/>
            <w:vAlign w:val="center"/>
          </w:tcPr>
          <w:p w14:paraId="5EEBB0DF">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检查依据</w:t>
            </w:r>
          </w:p>
        </w:tc>
        <w:tc>
          <w:tcPr>
            <w:tcW w:w="343" w:type="pct"/>
            <w:tcBorders>
              <w:top w:val="nil"/>
              <w:left w:val="nil"/>
              <w:bottom w:val="single" w:color="auto" w:sz="4" w:space="0"/>
              <w:right w:val="single" w:color="auto" w:sz="4" w:space="0"/>
            </w:tcBorders>
            <w:noWrap/>
            <w:vAlign w:val="center"/>
          </w:tcPr>
          <w:p w14:paraId="1C996508">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检查</w:t>
            </w:r>
          </w:p>
          <w:p w14:paraId="0FD13817">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时间</w:t>
            </w:r>
          </w:p>
        </w:tc>
        <w:tc>
          <w:tcPr>
            <w:tcW w:w="259" w:type="pct"/>
            <w:tcBorders>
              <w:top w:val="nil"/>
              <w:left w:val="nil"/>
              <w:bottom w:val="single" w:color="auto" w:sz="4" w:space="0"/>
              <w:right w:val="single" w:color="auto" w:sz="4" w:space="0"/>
            </w:tcBorders>
            <w:noWrap/>
            <w:vAlign w:val="center"/>
          </w:tcPr>
          <w:p w14:paraId="3AE2A99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检查</w:t>
            </w:r>
          </w:p>
          <w:p w14:paraId="01D89137">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方式</w:t>
            </w:r>
          </w:p>
        </w:tc>
        <w:tc>
          <w:tcPr>
            <w:tcW w:w="253" w:type="pct"/>
            <w:tcBorders>
              <w:top w:val="nil"/>
              <w:left w:val="nil"/>
              <w:bottom w:val="single" w:color="auto" w:sz="4" w:space="0"/>
              <w:right w:val="single" w:color="auto" w:sz="4" w:space="0"/>
            </w:tcBorders>
            <w:noWrap/>
            <w:vAlign w:val="center"/>
          </w:tcPr>
          <w:p w14:paraId="61165603">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检查频次</w:t>
            </w:r>
          </w:p>
        </w:tc>
      </w:tr>
      <w:tr w14:paraId="75E446F2">
        <w:tblPrEx>
          <w:tblCellMar>
            <w:top w:w="0" w:type="dxa"/>
            <w:left w:w="108" w:type="dxa"/>
            <w:bottom w:w="0" w:type="dxa"/>
            <w:right w:w="108" w:type="dxa"/>
          </w:tblCellMar>
        </w:tblPrEx>
        <w:trPr>
          <w:cantSplit/>
          <w:trHeight w:val="1560" w:hRule="atLeast"/>
          <w:jc w:val="center"/>
        </w:trPr>
        <w:tc>
          <w:tcPr>
            <w:tcW w:w="148" w:type="pct"/>
            <w:tcBorders>
              <w:top w:val="single" w:color="auto" w:sz="4" w:space="0"/>
              <w:left w:val="single" w:color="auto" w:sz="4" w:space="0"/>
              <w:bottom w:val="single" w:color="auto" w:sz="4" w:space="0"/>
              <w:right w:val="single" w:color="auto" w:sz="4" w:space="0"/>
            </w:tcBorders>
            <w:noWrap/>
            <w:vAlign w:val="center"/>
          </w:tcPr>
          <w:p w14:paraId="5291C6B5">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244" w:type="pct"/>
            <w:tcBorders>
              <w:top w:val="single" w:color="auto" w:sz="4" w:space="0"/>
              <w:left w:val="single" w:color="auto" w:sz="4" w:space="0"/>
              <w:bottom w:val="single" w:color="auto" w:sz="4" w:space="0"/>
              <w:right w:val="single" w:color="auto" w:sz="4" w:space="0"/>
            </w:tcBorders>
            <w:noWrap/>
            <w:vAlign w:val="center"/>
          </w:tcPr>
          <w:p w14:paraId="17611BEF">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cstheme="minorEastAsia"/>
                <w:color w:val="000000"/>
                <w:kern w:val="0"/>
                <w:sz w:val="20"/>
                <w:szCs w:val="20"/>
                <w:lang w:eastAsia="zh-CN"/>
              </w:rPr>
              <w:t>广水市</w:t>
            </w:r>
            <w:r>
              <w:rPr>
                <w:rFonts w:hint="eastAsia" w:asciiTheme="minorEastAsia" w:hAnsiTheme="minorEastAsia" w:eastAsiaTheme="minorEastAsia" w:cstheme="minorEastAsia"/>
                <w:color w:val="000000"/>
                <w:kern w:val="0"/>
                <w:sz w:val="20"/>
                <w:szCs w:val="20"/>
              </w:rPr>
              <w:t>交通运输局</w:t>
            </w:r>
          </w:p>
        </w:tc>
        <w:tc>
          <w:tcPr>
            <w:tcW w:w="384" w:type="pct"/>
            <w:tcBorders>
              <w:top w:val="nil"/>
              <w:left w:val="single" w:color="auto" w:sz="4" w:space="0"/>
              <w:bottom w:val="single" w:color="auto" w:sz="4" w:space="0"/>
              <w:right w:val="single" w:color="auto" w:sz="4" w:space="0"/>
            </w:tcBorders>
            <w:noWrap/>
            <w:vAlign w:val="center"/>
          </w:tcPr>
          <w:p w14:paraId="02012D1A">
            <w:pPr>
              <w:jc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道路运输企业</w:t>
            </w:r>
          </w:p>
        </w:tc>
        <w:tc>
          <w:tcPr>
            <w:tcW w:w="551" w:type="pct"/>
            <w:tcBorders>
              <w:top w:val="nil"/>
              <w:left w:val="nil"/>
              <w:bottom w:val="single" w:color="auto" w:sz="4" w:space="0"/>
              <w:right w:val="single" w:color="auto" w:sz="4" w:space="0"/>
            </w:tcBorders>
            <w:noWrap/>
            <w:vAlign w:val="center"/>
          </w:tcPr>
          <w:p w14:paraId="24055D49">
            <w:pPr>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对道路运输企业车辆动态监管工作的监督检查</w:t>
            </w:r>
          </w:p>
        </w:tc>
        <w:tc>
          <w:tcPr>
            <w:tcW w:w="2813" w:type="pct"/>
            <w:tcBorders>
              <w:top w:val="nil"/>
              <w:left w:val="nil"/>
              <w:bottom w:val="single" w:color="auto" w:sz="4" w:space="0"/>
              <w:right w:val="single" w:color="auto" w:sz="4" w:space="0"/>
            </w:tcBorders>
            <w:noWrap/>
            <w:vAlign w:val="center"/>
          </w:tcPr>
          <w:p w14:paraId="6BC055B6">
            <w:pPr>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《道路运输车辆动态监督管理办法》（2014年1月28日中华人民共和国交通运输部、中华人民共和国公安部、国家安全生产监督管理总局令2014年第5号）</w:t>
            </w:r>
          </w:p>
          <w:p w14:paraId="61064FB0">
            <w:pPr>
              <w:jc w:val="left"/>
              <w:rPr>
                <w:rFonts w:hint="default" w:asciiTheme="minorEastAsia" w:hAnsiTheme="minorEastAsia" w:eastAsiaTheme="minorEastAsia" w:cstheme="minorEastAsia"/>
                <w:sz w:val="20"/>
                <w:szCs w:val="20"/>
                <w:lang w:val="en-US"/>
              </w:rPr>
            </w:pPr>
            <w:r>
              <w:rPr>
                <w:rFonts w:hint="eastAsia" w:asciiTheme="minorEastAsia" w:hAnsiTheme="minorEastAsia" w:cstheme="minorEastAsia"/>
                <w:sz w:val="20"/>
                <w:szCs w:val="20"/>
                <w:lang w:val="en-US" w:eastAsia="zh-CN"/>
              </w:rPr>
              <w:t>第五条   道路运输管理机构、公安机关交通管理部门、应急管理部门依据法定职责，对道路运输车辆动态监控工作实施联合监督管理。</w:t>
            </w:r>
          </w:p>
        </w:tc>
        <w:tc>
          <w:tcPr>
            <w:tcW w:w="343" w:type="pct"/>
            <w:tcBorders>
              <w:top w:val="nil"/>
              <w:left w:val="nil"/>
              <w:bottom w:val="single" w:color="auto" w:sz="4" w:space="0"/>
              <w:right w:val="single" w:color="auto" w:sz="4" w:space="0"/>
            </w:tcBorders>
            <w:noWrap/>
            <w:vAlign w:val="center"/>
          </w:tcPr>
          <w:p w14:paraId="12BD8E83">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202</w:t>
            </w:r>
            <w:r>
              <w:rPr>
                <w:rFonts w:hint="eastAsia" w:asciiTheme="minorEastAsia" w:hAnsiTheme="minorEastAsia" w:cstheme="minorEastAsia"/>
                <w:kern w:val="0"/>
                <w:sz w:val="20"/>
                <w:szCs w:val="20"/>
                <w:lang w:val="en-US" w:eastAsia="zh-CN"/>
              </w:rPr>
              <w:t>5</w:t>
            </w:r>
            <w:r>
              <w:rPr>
                <w:rFonts w:hint="eastAsia" w:asciiTheme="minorEastAsia" w:hAnsiTheme="minorEastAsia" w:eastAsiaTheme="minorEastAsia" w:cstheme="minorEastAsia"/>
                <w:kern w:val="0"/>
                <w:sz w:val="20"/>
                <w:szCs w:val="20"/>
              </w:rPr>
              <w:t>年</w:t>
            </w:r>
            <w:r>
              <w:rPr>
                <w:rFonts w:hint="eastAsia" w:asciiTheme="minorEastAsia" w:hAnsiTheme="minorEastAsia" w:cstheme="minorEastAsia"/>
                <w:kern w:val="0"/>
                <w:sz w:val="20"/>
                <w:szCs w:val="20"/>
                <w:lang w:val="en-US" w:eastAsia="zh-CN"/>
              </w:rPr>
              <w:t>10</w:t>
            </w:r>
            <w:r>
              <w:rPr>
                <w:rFonts w:hint="eastAsia" w:asciiTheme="minorEastAsia" w:hAnsiTheme="minorEastAsia" w:eastAsiaTheme="minorEastAsia" w:cstheme="minorEastAsia"/>
                <w:kern w:val="0"/>
                <w:sz w:val="20"/>
                <w:szCs w:val="20"/>
              </w:rPr>
              <w:t>月</w:t>
            </w:r>
            <w:r>
              <w:rPr>
                <w:rFonts w:hint="eastAsia" w:asciiTheme="minorEastAsia" w:hAnsiTheme="minorEastAsia" w:cstheme="minorEastAsia"/>
                <w:kern w:val="0"/>
                <w:sz w:val="20"/>
                <w:szCs w:val="20"/>
                <w:lang w:val="en-US" w:eastAsia="zh-CN"/>
              </w:rPr>
              <w:t>底前</w:t>
            </w:r>
          </w:p>
        </w:tc>
        <w:tc>
          <w:tcPr>
            <w:tcW w:w="259" w:type="pct"/>
            <w:tcBorders>
              <w:top w:val="nil"/>
              <w:left w:val="nil"/>
              <w:bottom w:val="single" w:color="auto" w:sz="4" w:space="0"/>
              <w:right w:val="single" w:color="auto" w:sz="4" w:space="0"/>
            </w:tcBorders>
            <w:noWrap/>
            <w:vAlign w:val="center"/>
          </w:tcPr>
          <w:p w14:paraId="0049D34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w:t>
            </w:r>
          </w:p>
          <w:p w14:paraId="28E0DC5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检查</w:t>
            </w:r>
          </w:p>
        </w:tc>
        <w:tc>
          <w:tcPr>
            <w:tcW w:w="253" w:type="pct"/>
            <w:tcBorders>
              <w:top w:val="nil"/>
              <w:left w:val="nil"/>
              <w:bottom w:val="single" w:color="auto" w:sz="4" w:space="0"/>
              <w:right w:val="single" w:color="auto" w:sz="4" w:space="0"/>
            </w:tcBorders>
            <w:noWrap/>
            <w:vAlign w:val="center"/>
          </w:tcPr>
          <w:p w14:paraId="47CF953D">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一年一次</w:t>
            </w:r>
          </w:p>
        </w:tc>
      </w:tr>
      <w:tr w14:paraId="07C73340">
        <w:tblPrEx>
          <w:tblCellMar>
            <w:top w:w="0" w:type="dxa"/>
            <w:left w:w="108" w:type="dxa"/>
            <w:bottom w:w="0" w:type="dxa"/>
            <w:right w:w="108" w:type="dxa"/>
          </w:tblCellMar>
        </w:tblPrEx>
        <w:trPr>
          <w:cantSplit/>
          <w:trHeight w:val="1560" w:hRule="atLeast"/>
          <w:jc w:val="center"/>
        </w:trPr>
        <w:tc>
          <w:tcPr>
            <w:tcW w:w="1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04C0B">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2</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838F4">
            <w:pPr>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kern w:val="0"/>
                <w:sz w:val="20"/>
                <w:szCs w:val="20"/>
                <w:lang w:eastAsia="zh-CN"/>
              </w:rPr>
              <w:t>广水市</w:t>
            </w:r>
            <w:r>
              <w:rPr>
                <w:rFonts w:hint="eastAsia" w:asciiTheme="minorEastAsia" w:hAnsiTheme="minorEastAsia" w:eastAsiaTheme="minorEastAsia" w:cstheme="minorEastAsia"/>
                <w:color w:val="000000"/>
                <w:kern w:val="0"/>
                <w:sz w:val="20"/>
                <w:szCs w:val="20"/>
              </w:rPr>
              <w:t>交通运输局</w:t>
            </w:r>
          </w:p>
        </w:tc>
        <w:tc>
          <w:tcPr>
            <w:tcW w:w="384" w:type="pct"/>
            <w:tcBorders>
              <w:top w:val="nil"/>
              <w:left w:val="single" w:color="auto" w:sz="4" w:space="0"/>
              <w:bottom w:val="single" w:color="auto" w:sz="4" w:space="0"/>
              <w:right w:val="single" w:color="auto" w:sz="4" w:space="0"/>
            </w:tcBorders>
            <w:shd w:val="clear" w:color="auto" w:fill="auto"/>
            <w:noWrap/>
            <w:vAlign w:val="center"/>
          </w:tcPr>
          <w:p w14:paraId="11A85F63">
            <w:pPr>
              <w:jc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道路运输经营主体</w:t>
            </w:r>
          </w:p>
        </w:tc>
        <w:tc>
          <w:tcPr>
            <w:tcW w:w="551" w:type="pct"/>
            <w:tcBorders>
              <w:top w:val="nil"/>
              <w:left w:val="nil"/>
              <w:bottom w:val="single" w:color="auto" w:sz="4" w:space="0"/>
              <w:right w:val="single" w:color="auto" w:sz="4" w:space="0"/>
            </w:tcBorders>
            <w:shd w:val="clear" w:color="000000" w:fill="FFFFFF"/>
            <w:noWrap/>
            <w:vAlign w:val="center"/>
          </w:tcPr>
          <w:p w14:paraId="26301ED9">
            <w:pPr>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对道路运输经营主体的监管</w:t>
            </w:r>
          </w:p>
        </w:tc>
        <w:tc>
          <w:tcPr>
            <w:tcW w:w="2813" w:type="pct"/>
            <w:tcBorders>
              <w:top w:val="nil"/>
              <w:left w:val="nil"/>
              <w:bottom w:val="single" w:color="auto" w:sz="4" w:space="0"/>
              <w:right w:val="single" w:color="auto" w:sz="4" w:space="0"/>
            </w:tcBorders>
            <w:shd w:val="clear" w:color="auto" w:fill="auto"/>
            <w:noWrap/>
            <w:vAlign w:val="center"/>
          </w:tcPr>
          <w:p w14:paraId="707CD27D">
            <w:pPr>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《道路旅客运输及客运站管理规定》（交通运输部令2023年第18号）</w:t>
            </w:r>
          </w:p>
          <w:p w14:paraId="52FC1CC6">
            <w:p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第六条第二款  县级以上地方人民政府交通运输主管部门（以下简称交通运输主管部门）负责本行政区域的道路客运及客运站管理工作。</w:t>
            </w:r>
          </w:p>
          <w:p w14:paraId="50CF4D12">
            <w:pPr>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第八十二条    交通运输主管部门应当加强对道路客运和客运站经营活动的监督检查。</w:t>
            </w:r>
          </w:p>
          <w:p w14:paraId="41D832F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交通运输主管部门工作人员应当严格按照法定职责权限和程序，原则上采取随机抽取检查对象、随机选派执法检查人员的方式进行监督检查，监督检查结果应当及时向社会公布。</w:t>
            </w:r>
          </w:p>
          <w:p w14:paraId="556F2D5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第八十八条第一款  交通运输主管部门应当对客运经营者拟投入车辆和聘用驾驶员承诺、进站承诺履行情况开展检查。</w:t>
            </w:r>
          </w:p>
        </w:tc>
        <w:tc>
          <w:tcPr>
            <w:tcW w:w="343" w:type="pct"/>
            <w:tcBorders>
              <w:top w:val="nil"/>
              <w:left w:val="nil"/>
              <w:bottom w:val="single" w:color="auto" w:sz="4" w:space="0"/>
              <w:right w:val="single" w:color="auto" w:sz="4" w:space="0"/>
            </w:tcBorders>
            <w:shd w:val="clear" w:color="000000" w:fill="FFFFFF"/>
            <w:noWrap/>
            <w:vAlign w:val="center"/>
          </w:tcPr>
          <w:p w14:paraId="6E7DC6C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202</w:t>
            </w:r>
            <w:r>
              <w:rPr>
                <w:rFonts w:hint="eastAsia" w:asciiTheme="minorEastAsia" w:hAnsiTheme="minorEastAsia" w:cstheme="minorEastAsia"/>
                <w:kern w:val="0"/>
                <w:sz w:val="20"/>
                <w:szCs w:val="20"/>
                <w:lang w:val="en-US" w:eastAsia="zh-CN"/>
              </w:rPr>
              <w:t>5</w:t>
            </w:r>
            <w:r>
              <w:rPr>
                <w:rFonts w:hint="eastAsia" w:asciiTheme="minorEastAsia" w:hAnsiTheme="minorEastAsia" w:eastAsiaTheme="minorEastAsia" w:cstheme="minorEastAsia"/>
                <w:kern w:val="0"/>
                <w:sz w:val="20"/>
                <w:szCs w:val="20"/>
              </w:rPr>
              <w:t>年</w:t>
            </w:r>
            <w:r>
              <w:rPr>
                <w:rFonts w:hint="eastAsia" w:asciiTheme="minorEastAsia" w:hAnsiTheme="minorEastAsia" w:cstheme="minorEastAsia"/>
                <w:kern w:val="0"/>
                <w:sz w:val="20"/>
                <w:szCs w:val="20"/>
                <w:lang w:val="en-US" w:eastAsia="zh-CN"/>
              </w:rPr>
              <w:t>10</w:t>
            </w:r>
            <w:r>
              <w:rPr>
                <w:rFonts w:hint="eastAsia" w:asciiTheme="minorEastAsia" w:hAnsiTheme="minorEastAsia" w:eastAsiaTheme="minorEastAsia" w:cstheme="minorEastAsia"/>
                <w:kern w:val="0"/>
                <w:sz w:val="20"/>
                <w:szCs w:val="20"/>
              </w:rPr>
              <w:t>月</w:t>
            </w:r>
            <w:r>
              <w:rPr>
                <w:rFonts w:hint="eastAsia" w:asciiTheme="minorEastAsia" w:hAnsiTheme="minorEastAsia" w:cstheme="minorEastAsia"/>
                <w:kern w:val="0"/>
                <w:sz w:val="20"/>
                <w:szCs w:val="20"/>
                <w:lang w:val="en-US" w:eastAsia="zh-CN"/>
              </w:rPr>
              <w:t>底前</w:t>
            </w:r>
          </w:p>
        </w:tc>
        <w:tc>
          <w:tcPr>
            <w:tcW w:w="259" w:type="pct"/>
            <w:tcBorders>
              <w:top w:val="nil"/>
              <w:left w:val="nil"/>
              <w:bottom w:val="single" w:color="auto" w:sz="4" w:space="0"/>
              <w:right w:val="single" w:color="auto" w:sz="4" w:space="0"/>
            </w:tcBorders>
            <w:shd w:val="clear" w:color="000000" w:fill="FFFFFF"/>
            <w:noWrap/>
            <w:vAlign w:val="center"/>
          </w:tcPr>
          <w:p w14:paraId="4B6D1498">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w:t>
            </w:r>
          </w:p>
          <w:p w14:paraId="4D61924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检查</w:t>
            </w:r>
          </w:p>
        </w:tc>
        <w:tc>
          <w:tcPr>
            <w:tcW w:w="253" w:type="pct"/>
            <w:tcBorders>
              <w:top w:val="nil"/>
              <w:left w:val="nil"/>
              <w:bottom w:val="single" w:color="auto" w:sz="4" w:space="0"/>
              <w:right w:val="single" w:color="auto" w:sz="4" w:space="0"/>
            </w:tcBorders>
            <w:noWrap/>
            <w:vAlign w:val="center"/>
          </w:tcPr>
          <w:p w14:paraId="7838D2A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一年一次</w:t>
            </w:r>
          </w:p>
        </w:tc>
      </w:tr>
      <w:tr w14:paraId="1EED86C3">
        <w:tblPrEx>
          <w:tblCellMar>
            <w:top w:w="0" w:type="dxa"/>
            <w:left w:w="108" w:type="dxa"/>
            <w:bottom w:w="0" w:type="dxa"/>
            <w:right w:w="108" w:type="dxa"/>
          </w:tblCellMar>
        </w:tblPrEx>
        <w:trPr>
          <w:cantSplit/>
          <w:trHeight w:val="1560" w:hRule="atLeast"/>
          <w:jc w:val="center"/>
        </w:trPr>
        <w:tc>
          <w:tcPr>
            <w:tcW w:w="1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3682D">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3</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785D1">
            <w:pPr>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kern w:val="0"/>
                <w:sz w:val="20"/>
                <w:szCs w:val="20"/>
                <w:lang w:eastAsia="zh-CN"/>
              </w:rPr>
              <w:t>广水市</w:t>
            </w:r>
            <w:r>
              <w:rPr>
                <w:rFonts w:hint="eastAsia" w:asciiTheme="minorEastAsia" w:hAnsiTheme="minorEastAsia" w:eastAsiaTheme="minorEastAsia" w:cstheme="minorEastAsia"/>
                <w:color w:val="000000"/>
                <w:kern w:val="0"/>
                <w:sz w:val="20"/>
                <w:szCs w:val="20"/>
              </w:rPr>
              <w:t>交通运输局</w:t>
            </w:r>
          </w:p>
        </w:tc>
        <w:tc>
          <w:tcPr>
            <w:tcW w:w="3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62B0E">
            <w:pPr>
              <w:widowControl/>
              <w:jc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交通建设工程企业</w:t>
            </w:r>
          </w:p>
        </w:tc>
        <w:tc>
          <w:tcPr>
            <w:tcW w:w="551" w:type="pct"/>
            <w:tcBorders>
              <w:top w:val="single" w:color="auto" w:sz="4" w:space="0"/>
              <w:left w:val="nil"/>
              <w:bottom w:val="single" w:color="auto" w:sz="4" w:space="0"/>
              <w:right w:val="single" w:color="auto" w:sz="4" w:space="0"/>
            </w:tcBorders>
            <w:shd w:val="clear" w:color="000000" w:fill="FFFFFF"/>
            <w:noWrap/>
            <w:vAlign w:val="center"/>
          </w:tcPr>
          <w:p w14:paraId="038A94EF">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交通建设工程质量监管</w:t>
            </w:r>
          </w:p>
        </w:tc>
        <w:tc>
          <w:tcPr>
            <w:tcW w:w="2813" w:type="pct"/>
            <w:tcBorders>
              <w:top w:val="single" w:color="auto" w:sz="4" w:space="0"/>
              <w:left w:val="nil"/>
              <w:bottom w:val="single" w:color="auto" w:sz="4" w:space="0"/>
              <w:right w:val="single" w:color="auto" w:sz="4" w:space="0"/>
            </w:tcBorders>
            <w:shd w:val="clear" w:color="auto" w:fill="auto"/>
            <w:noWrap/>
            <w:vAlign w:val="center"/>
          </w:tcPr>
          <w:p w14:paraId="22D2A93F">
            <w:pP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《建设工程安全生产管理条例》（国务院令2003年第393号）</w:t>
            </w:r>
          </w:p>
          <w:p w14:paraId="4B35AAD8">
            <w:pPr>
              <w:jc w:val="left"/>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rPr>
              <w:t>第四十条第二款</w:t>
            </w:r>
            <w:r>
              <w:rPr>
                <w:rFonts w:hint="eastAsia" w:asciiTheme="minorEastAsia" w:hAnsiTheme="minorEastAsia" w:cstheme="minorEastAsia"/>
                <w:sz w:val="20"/>
                <w:szCs w:val="20"/>
                <w:lang w:val="en-US" w:eastAsia="zh-CN"/>
              </w:rPr>
              <w:t xml:space="preserve">  县级以上地方人民政府建设行政主管部门对本行政区域内的建设工程安全生产实施监督管理。县级以上地方人民政府交通、水利等有关部门在各自的职责范围内，负责本行政区域内的专业建设工程安全生产的监督</w:t>
            </w:r>
            <w:bookmarkStart w:id="0" w:name="_GoBack"/>
            <w:bookmarkEnd w:id="0"/>
            <w:r>
              <w:rPr>
                <w:rFonts w:hint="eastAsia" w:asciiTheme="minorEastAsia" w:hAnsiTheme="minorEastAsia" w:cstheme="minorEastAsia"/>
                <w:sz w:val="20"/>
                <w:szCs w:val="20"/>
                <w:lang w:val="en-US" w:eastAsia="zh-CN"/>
              </w:rPr>
              <w:t>管理。</w:t>
            </w:r>
          </w:p>
          <w:p w14:paraId="7532D263">
            <w:pPr>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《建设工程质量管理条例》（国务院令2000年第279号）第四十三条第三款</w:t>
            </w:r>
            <w:r>
              <w:rPr>
                <w:rFonts w:hint="eastAsia" w:asciiTheme="minorEastAsia" w:hAnsiTheme="minorEastAsia" w:cstheme="minorEastAsia"/>
                <w:sz w:val="20"/>
                <w:szCs w:val="20"/>
                <w:lang w:val="en-US" w:eastAsia="zh-CN"/>
              </w:rPr>
              <w:t xml:space="preserve">  县级以上地方人民政府建设行政主管部门对本行政区域内的建设工程质量实施监督管理。县级以上地方人民政府交通、水利等有关部门在各自的职责范围内，负责对本行政区域内的专业建设工程质量的监督管理。</w:t>
            </w:r>
          </w:p>
        </w:tc>
        <w:tc>
          <w:tcPr>
            <w:tcW w:w="343" w:type="pct"/>
            <w:tcBorders>
              <w:top w:val="single" w:color="auto" w:sz="4" w:space="0"/>
              <w:left w:val="nil"/>
              <w:bottom w:val="single" w:color="auto" w:sz="4" w:space="0"/>
              <w:right w:val="single" w:color="auto" w:sz="4" w:space="0"/>
            </w:tcBorders>
            <w:shd w:val="clear" w:color="000000" w:fill="FFFFFF"/>
            <w:noWrap/>
            <w:vAlign w:val="center"/>
          </w:tcPr>
          <w:p w14:paraId="69D3FF4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202</w:t>
            </w:r>
            <w:r>
              <w:rPr>
                <w:rFonts w:hint="eastAsia" w:asciiTheme="minorEastAsia" w:hAnsiTheme="minorEastAsia" w:cstheme="minorEastAsia"/>
                <w:kern w:val="0"/>
                <w:sz w:val="20"/>
                <w:szCs w:val="20"/>
                <w:lang w:val="en-US" w:eastAsia="zh-CN"/>
              </w:rPr>
              <w:t>5</w:t>
            </w:r>
            <w:r>
              <w:rPr>
                <w:rFonts w:hint="eastAsia" w:asciiTheme="minorEastAsia" w:hAnsiTheme="minorEastAsia" w:eastAsiaTheme="minorEastAsia" w:cstheme="minorEastAsia"/>
                <w:kern w:val="0"/>
                <w:sz w:val="20"/>
                <w:szCs w:val="20"/>
              </w:rPr>
              <w:t>年</w:t>
            </w:r>
            <w:r>
              <w:rPr>
                <w:rFonts w:hint="eastAsia" w:asciiTheme="minorEastAsia" w:hAnsiTheme="minorEastAsia" w:cstheme="minorEastAsia"/>
                <w:kern w:val="0"/>
                <w:sz w:val="20"/>
                <w:szCs w:val="20"/>
                <w:lang w:val="en-US" w:eastAsia="zh-CN"/>
              </w:rPr>
              <w:t>10</w:t>
            </w:r>
            <w:r>
              <w:rPr>
                <w:rFonts w:hint="eastAsia" w:asciiTheme="minorEastAsia" w:hAnsiTheme="minorEastAsia" w:eastAsiaTheme="minorEastAsia" w:cstheme="minorEastAsia"/>
                <w:kern w:val="0"/>
                <w:sz w:val="20"/>
                <w:szCs w:val="20"/>
              </w:rPr>
              <w:t>月</w:t>
            </w:r>
            <w:r>
              <w:rPr>
                <w:rFonts w:hint="eastAsia" w:asciiTheme="minorEastAsia" w:hAnsiTheme="minorEastAsia" w:cstheme="minorEastAsia"/>
                <w:kern w:val="0"/>
                <w:sz w:val="20"/>
                <w:szCs w:val="20"/>
                <w:lang w:val="en-US" w:eastAsia="zh-CN"/>
              </w:rPr>
              <w:t>底前</w:t>
            </w:r>
          </w:p>
        </w:tc>
        <w:tc>
          <w:tcPr>
            <w:tcW w:w="259" w:type="pct"/>
            <w:tcBorders>
              <w:top w:val="single" w:color="auto" w:sz="4" w:space="0"/>
              <w:left w:val="nil"/>
              <w:bottom w:val="single" w:color="auto" w:sz="4" w:space="0"/>
              <w:right w:val="single" w:color="auto" w:sz="4" w:space="0"/>
            </w:tcBorders>
            <w:shd w:val="clear" w:color="000000" w:fill="FFFFFF"/>
            <w:noWrap/>
            <w:vAlign w:val="center"/>
          </w:tcPr>
          <w:p w14:paraId="0468CFC5">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w:t>
            </w:r>
          </w:p>
          <w:p w14:paraId="37710CA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检查</w:t>
            </w:r>
          </w:p>
        </w:tc>
        <w:tc>
          <w:tcPr>
            <w:tcW w:w="253" w:type="pct"/>
            <w:tcBorders>
              <w:top w:val="single" w:color="auto" w:sz="4" w:space="0"/>
              <w:left w:val="nil"/>
              <w:bottom w:val="single" w:color="auto" w:sz="4" w:space="0"/>
              <w:right w:val="single" w:color="auto" w:sz="4" w:space="0"/>
            </w:tcBorders>
            <w:noWrap/>
            <w:vAlign w:val="center"/>
          </w:tcPr>
          <w:p w14:paraId="2CC80BD6">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一年一次</w:t>
            </w:r>
          </w:p>
        </w:tc>
      </w:tr>
      <w:tr w14:paraId="5DE65E82">
        <w:tblPrEx>
          <w:tblCellMar>
            <w:top w:w="0" w:type="dxa"/>
            <w:left w:w="108" w:type="dxa"/>
            <w:bottom w:w="0" w:type="dxa"/>
            <w:right w:w="108" w:type="dxa"/>
          </w:tblCellMar>
        </w:tblPrEx>
        <w:trPr>
          <w:cantSplit/>
          <w:trHeight w:val="1560" w:hRule="atLeast"/>
          <w:jc w:val="center"/>
        </w:trPr>
        <w:tc>
          <w:tcPr>
            <w:tcW w:w="1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19D3A">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4</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7D53E">
            <w:pPr>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kern w:val="0"/>
                <w:sz w:val="20"/>
                <w:szCs w:val="20"/>
                <w:lang w:eastAsia="zh-CN"/>
              </w:rPr>
              <w:t>广水市</w:t>
            </w:r>
            <w:r>
              <w:rPr>
                <w:rFonts w:hint="eastAsia" w:asciiTheme="minorEastAsia" w:hAnsiTheme="minorEastAsia" w:eastAsiaTheme="minorEastAsia" w:cstheme="minorEastAsia"/>
                <w:color w:val="000000"/>
                <w:kern w:val="0"/>
                <w:sz w:val="20"/>
                <w:szCs w:val="20"/>
              </w:rPr>
              <w:t>交通运输局</w:t>
            </w:r>
          </w:p>
        </w:tc>
        <w:tc>
          <w:tcPr>
            <w:tcW w:w="384" w:type="pct"/>
            <w:tcBorders>
              <w:top w:val="nil"/>
              <w:left w:val="single" w:color="auto" w:sz="4" w:space="0"/>
              <w:bottom w:val="single" w:color="auto" w:sz="4" w:space="0"/>
              <w:right w:val="single" w:color="auto" w:sz="4" w:space="0"/>
            </w:tcBorders>
            <w:shd w:val="clear" w:color="auto" w:fill="auto"/>
            <w:noWrap/>
            <w:vAlign w:val="center"/>
          </w:tcPr>
          <w:p w14:paraId="4AC4001B">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20"/>
                <w:szCs w:val="20"/>
              </w:rPr>
              <w:t>公路水运</w:t>
            </w:r>
            <w:r>
              <w:rPr>
                <w:rFonts w:hint="eastAsia" w:asciiTheme="minorEastAsia" w:hAnsiTheme="minorEastAsia" w:cstheme="minorEastAsia"/>
                <w:sz w:val="20"/>
                <w:szCs w:val="20"/>
                <w:lang w:val="en-US" w:eastAsia="zh-CN"/>
              </w:rPr>
              <w:t>建</w:t>
            </w:r>
            <w:r>
              <w:rPr>
                <w:rFonts w:hint="eastAsia" w:asciiTheme="minorEastAsia" w:hAnsiTheme="minorEastAsia" w:eastAsiaTheme="minorEastAsia" w:cstheme="minorEastAsia"/>
                <w:sz w:val="20"/>
                <w:szCs w:val="20"/>
              </w:rPr>
              <w:t>设工程</w:t>
            </w:r>
            <w:r>
              <w:rPr>
                <w:rFonts w:hint="eastAsia" w:asciiTheme="minorEastAsia" w:hAnsiTheme="minorEastAsia" w:cstheme="minorEastAsia"/>
                <w:sz w:val="20"/>
                <w:szCs w:val="20"/>
                <w:lang w:val="en-US" w:eastAsia="zh-CN"/>
              </w:rPr>
              <w:t>从业单位</w:t>
            </w:r>
          </w:p>
        </w:tc>
        <w:tc>
          <w:tcPr>
            <w:tcW w:w="551" w:type="pct"/>
            <w:tcBorders>
              <w:top w:val="nil"/>
              <w:left w:val="nil"/>
              <w:bottom w:val="single" w:color="auto" w:sz="4" w:space="0"/>
              <w:right w:val="single" w:color="auto" w:sz="4" w:space="0"/>
            </w:tcBorders>
            <w:shd w:val="clear" w:color="000000" w:fill="FFFFFF"/>
            <w:noWrap/>
            <w:vAlign w:val="center"/>
          </w:tcPr>
          <w:p w14:paraId="3620668A">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公路水运建设工程安全检查</w:t>
            </w:r>
          </w:p>
        </w:tc>
        <w:tc>
          <w:tcPr>
            <w:tcW w:w="2813" w:type="pct"/>
            <w:tcBorders>
              <w:top w:val="nil"/>
              <w:left w:val="nil"/>
              <w:bottom w:val="single" w:color="auto" w:sz="4" w:space="0"/>
              <w:right w:val="single" w:color="auto" w:sz="4" w:space="0"/>
            </w:tcBorders>
            <w:shd w:val="clear" w:color="auto" w:fill="auto"/>
            <w:noWrap/>
            <w:vAlign w:val="center"/>
          </w:tcPr>
          <w:p w14:paraId="57C6A0BD">
            <w:pP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《公路水运工程质量监督管理规定》（交通运输部令2017年第28号）</w:t>
            </w:r>
          </w:p>
          <w:p w14:paraId="7E847B92">
            <w:pPr>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第四条第二款  县级以上地方人民政府交通运输主管部门按照规定的职责负责本行政区域内的公路水运工程质量监督管理工作。</w:t>
            </w:r>
          </w:p>
        </w:tc>
        <w:tc>
          <w:tcPr>
            <w:tcW w:w="343" w:type="pct"/>
            <w:tcBorders>
              <w:top w:val="nil"/>
              <w:left w:val="nil"/>
              <w:bottom w:val="single" w:color="auto" w:sz="4" w:space="0"/>
              <w:right w:val="single" w:color="auto" w:sz="4" w:space="0"/>
            </w:tcBorders>
            <w:shd w:val="clear" w:color="000000" w:fill="FFFFFF"/>
            <w:noWrap/>
            <w:vAlign w:val="center"/>
          </w:tcPr>
          <w:p w14:paraId="62A56CD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202</w:t>
            </w:r>
            <w:r>
              <w:rPr>
                <w:rFonts w:hint="eastAsia" w:asciiTheme="minorEastAsia" w:hAnsiTheme="minorEastAsia" w:cstheme="minorEastAsia"/>
                <w:kern w:val="0"/>
                <w:sz w:val="20"/>
                <w:szCs w:val="20"/>
                <w:lang w:val="en-US" w:eastAsia="zh-CN"/>
              </w:rPr>
              <w:t>5</w:t>
            </w:r>
            <w:r>
              <w:rPr>
                <w:rFonts w:hint="eastAsia" w:asciiTheme="minorEastAsia" w:hAnsiTheme="minorEastAsia" w:eastAsiaTheme="minorEastAsia" w:cstheme="minorEastAsia"/>
                <w:kern w:val="0"/>
                <w:sz w:val="20"/>
                <w:szCs w:val="20"/>
              </w:rPr>
              <w:t>年</w:t>
            </w:r>
            <w:r>
              <w:rPr>
                <w:rFonts w:hint="eastAsia" w:asciiTheme="minorEastAsia" w:hAnsiTheme="minorEastAsia" w:cstheme="minorEastAsia"/>
                <w:kern w:val="0"/>
                <w:sz w:val="20"/>
                <w:szCs w:val="20"/>
                <w:lang w:val="en-US" w:eastAsia="zh-CN"/>
              </w:rPr>
              <w:t>10</w:t>
            </w:r>
            <w:r>
              <w:rPr>
                <w:rFonts w:hint="eastAsia" w:asciiTheme="minorEastAsia" w:hAnsiTheme="minorEastAsia" w:eastAsiaTheme="minorEastAsia" w:cstheme="minorEastAsia"/>
                <w:kern w:val="0"/>
                <w:sz w:val="20"/>
                <w:szCs w:val="20"/>
              </w:rPr>
              <w:t>月</w:t>
            </w:r>
            <w:r>
              <w:rPr>
                <w:rFonts w:hint="eastAsia" w:asciiTheme="minorEastAsia" w:hAnsiTheme="minorEastAsia" w:cstheme="minorEastAsia"/>
                <w:kern w:val="0"/>
                <w:sz w:val="20"/>
                <w:szCs w:val="20"/>
                <w:lang w:val="en-US" w:eastAsia="zh-CN"/>
              </w:rPr>
              <w:t>底前</w:t>
            </w:r>
          </w:p>
        </w:tc>
        <w:tc>
          <w:tcPr>
            <w:tcW w:w="259" w:type="pct"/>
            <w:tcBorders>
              <w:top w:val="nil"/>
              <w:left w:val="nil"/>
              <w:bottom w:val="single" w:color="auto" w:sz="4" w:space="0"/>
              <w:right w:val="single" w:color="auto" w:sz="4" w:space="0"/>
            </w:tcBorders>
            <w:shd w:val="clear" w:color="000000" w:fill="FFFFFF"/>
            <w:noWrap/>
            <w:vAlign w:val="center"/>
          </w:tcPr>
          <w:p w14:paraId="5AB6AC40">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w:t>
            </w:r>
          </w:p>
          <w:p w14:paraId="4BF1B08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检查</w:t>
            </w:r>
          </w:p>
        </w:tc>
        <w:tc>
          <w:tcPr>
            <w:tcW w:w="253" w:type="pct"/>
            <w:tcBorders>
              <w:top w:val="nil"/>
              <w:left w:val="nil"/>
              <w:bottom w:val="single" w:color="auto" w:sz="4" w:space="0"/>
              <w:right w:val="single" w:color="auto" w:sz="4" w:space="0"/>
            </w:tcBorders>
            <w:noWrap/>
            <w:vAlign w:val="center"/>
          </w:tcPr>
          <w:p w14:paraId="22D2740C">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一年一次</w:t>
            </w:r>
          </w:p>
        </w:tc>
      </w:tr>
    </w:tbl>
    <w:p w14:paraId="13074BA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74BB5"/>
    <w:rsid w:val="328A22D3"/>
    <w:rsid w:val="3E152940"/>
    <w:rsid w:val="697ABE30"/>
    <w:rsid w:val="732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984</Characters>
  <Lines>0</Lines>
  <Paragraphs>0</Paragraphs>
  <TotalTime>4</TotalTime>
  <ScaleCrop>false</ScaleCrop>
  <LinksUpToDate>false</LinksUpToDate>
  <CharactersWithSpaces>1016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2025-02-24T17:48:00Z</dcterms:created>
  <dc:creator>Administrator</dc:creator>
  <cp:lastModifiedBy>WPS_1733103016</cp:lastModifiedBy>
  <dcterms:modified xsi:type="dcterms:W3CDTF">2025-03-14T06:34:22Z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eyJoZGlkIjoiYjVhODBlMmJjMmM3YzVkNjY4OWQzODYyYjEwNmZjOGIiLCJ1c2VySWQiOiIxNjYxODQyMjQ1In0=</vt:lpwstr>
  </property>
  <property fmtid="{D5CDD505-2E9C-101B-9397-08002B2CF9AE}" pid="4" name="ICV">
    <vt:lpwstr>9F086CCAD2EF4C9FB8E4A3CEC11D25CD_12</vt:lpwstr>
  </property>
</Properties>
</file>