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7E5F5">
      <w:pPr>
        <w:jc w:val="center"/>
        <w:rPr>
          <w:rFonts w:ascii="Times New Roman" w:hAnsi="Times New Roman" w:eastAsia="仿宋"/>
          <w:sz w:val="44"/>
        </w:rPr>
      </w:pPr>
      <w:bookmarkStart w:id="0" w:name="_Hlk200565073"/>
      <w:bookmarkEnd w:id="0"/>
    </w:p>
    <w:p w14:paraId="0F1DD999">
      <w:pPr>
        <w:jc w:val="center"/>
        <w:rPr>
          <w:rFonts w:ascii="Times New Roman" w:hAnsi="Times New Roman" w:eastAsia="仿宋"/>
          <w:sz w:val="44"/>
        </w:rPr>
      </w:pPr>
    </w:p>
    <w:p w14:paraId="07318426">
      <w:pPr>
        <w:jc w:val="center"/>
        <w:rPr>
          <w:rFonts w:ascii="Times New Roman" w:hAnsi="Times New Roman" w:eastAsia="仿宋"/>
          <w:sz w:val="44"/>
        </w:rPr>
      </w:pPr>
    </w:p>
    <w:p w14:paraId="11A756D0">
      <w:pPr>
        <w:jc w:val="center"/>
        <w:rPr>
          <w:rFonts w:ascii="Times New Roman" w:hAnsi="Times New Roman" w:eastAsia="仿宋"/>
          <w:sz w:val="44"/>
        </w:rPr>
      </w:pPr>
    </w:p>
    <w:p w14:paraId="5BBA1518">
      <w:pPr>
        <w:spacing w:before="120" w:after="120"/>
        <w:jc w:val="center"/>
        <w:rPr>
          <w:rFonts w:ascii="Times New Roman" w:hAnsi="Times New Roman" w:eastAsia="方正小标宋_GBK" w:cs="Times New Roman"/>
          <w:bCs/>
          <w:sz w:val="52"/>
          <w:szCs w:val="52"/>
        </w:rPr>
      </w:pPr>
      <w:r>
        <w:rPr>
          <w:rFonts w:hint="eastAsia" w:ascii="Times New Roman" w:hAnsi="Times New Roman" w:eastAsia="方正小标宋_GBK" w:cs="Times New Roman"/>
          <w:bCs/>
          <w:sz w:val="52"/>
          <w:szCs w:val="52"/>
        </w:rPr>
        <w:t>广水市殡葬设施专项规划</w:t>
      </w:r>
    </w:p>
    <w:p w14:paraId="0CC82804">
      <w:pPr>
        <w:spacing w:before="120" w:after="120"/>
        <w:jc w:val="center"/>
        <w:rPr>
          <w:rFonts w:ascii="Times New Roman" w:hAnsi="Times New Roman" w:eastAsia="方正小标宋_GBK" w:cs="Times New Roman"/>
          <w:bCs/>
          <w:sz w:val="52"/>
          <w:szCs w:val="52"/>
        </w:rPr>
      </w:pPr>
      <w:r>
        <w:rPr>
          <w:rFonts w:hint="eastAsia" w:ascii="Times New Roman" w:hAnsi="Times New Roman" w:eastAsia="方正小标宋_GBK" w:cs="Times New Roman"/>
          <w:bCs/>
          <w:sz w:val="52"/>
          <w:szCs w:val="52"/>
        </w:rPr>
        <w:t>（2021-2035年）</w:t>
      </w:r>
    </w:p>
    <w:p w14:paraId="75B3E350">
      <w:pPr>
        <w:jc w:val="center"/>
        <w:rPr>
          <w:rFonts w:ascii="Times New Roman" w:hAnsi="Times New Roman" w:eastAsia="仿宋"/>
          <w:sz w:val="36"/>
        </w:rPr>
      </w:pPr>
    </w:p>
    <w:p w14:paraId="1124674E">
      <w:pPr>
        <w:jc w:val="center"/>
        <w:rPr>
          <w:rFonts w:ascii="Times New Roman" w:hAnsi="Times New Roman" w:eastAsia="仿宋"/>
          <w:sz w:val="36"/>
        </w:rPr>
      </w:pPr>
    </w:p>
    <w:p w14:paraId="3C9BDCE6">
      <w:pPr>
        <w:jc w:val="center"/>
        <w:rPr>
          <w:rFonts w:ascii="Times New Roman" w:hAnsi="Times New Roman" w:eastAsia="仿宋"/>
          <w:sz w:val="36"/>
        </w:rPr>
      </w:pPr>
    </w:p>
    <w:p w14:paraId="42763AEC">
      <w:pPr>
        <w:jc w:val="center"/>
        <w:rPr>
          <w:rFonts w:ascii="Times New Roman" w:hAnsi="Times New Roman" w:eastAsia="仿宋"/>
          <w:sz w:val="36"/>
        </w:rPr>
      </w:pPr>
    </w:p>
    <w:p w14:paraId="4CBF41A1">
      <w:pPr>
        <w:jc w:val="center"/>
        <w:rPr>
          <w:rFonts w:ascii="Times New Roman" w:hAnsi="Times New Roman" w:eastAsia="仿宋"/>
          <w:sz w:val="36"/>
        </w:rPr>
      </w:pPr>
    </w:p>
    <w:p w14:paraId="6045ABC8">
      <w:pPr>
        <w:jc w:val="center"/>
        <w:rPr>
          <w:rFonts w:ascii="Times New Roman" w:hAnsi="Times New Roman" w:eastAsia="仿宋"/>
          <w:sz w:val="36"/>
        </w:rPr>
      </w:pPr>
    </w:p>
    <w:p w14:paraId="6BDBFFE1">
      <w:pPr>
        <w:jc w:val="center"/>
        <w:rPr>
          <w:rFonts w:ascii="Times New Roman" w:hAnsi="Times New Roman" w:eastAsia="仿宋"/>
          <w:sz w:val="36"/>
        </w:rPr>
      </w:pPr>
    </w:p>
    <w:p w14:paraId="71F44DFA">
      <w:pPr>
        <w:jc w:val="center"/>
        <w:rPr>
          <w:rFonts w:ascii="Times New Roman" w:hAnsi="Times New Roman" w:eastAsia="仿宋"/>
          <w:sz w:val="36"/>
        </w:rPr>
      </w:pPr>
    </w:p>
    <w:p w14:paraId="446057BF">
      <w:pPr>
        <w:jc w:val="center"/>
        <w:rPr>
          <w:rFonts w:ascii="Times New Roman" w:hAnsi="Times New Roman" w:eastAsia="仿宋"/>
          <w:sz w:val="36"/>
        </w:rPr>
      </w:pPr>
    </w:p>
    <w:p w14:paraId="3F1311D4">
      <w:pPr>
        <w:jc w:val="center"/>
        <w:rPr>
          <w:rFonts w:ascii="Times New Roman" w:hAnsi="Times New Roman" w:eastAsia="仿宋"/>
          <w:sz w:val="36"/>
        </w:rPr>
      </w:pPr>
    </w:p>
    <w:p w14:paraId="739DEA3E">
      <w:pPr>
        <w:pStyle w:val="19"/>
        <w:jc w:val="center"/>
        <w:rPr>
          <w:rFonts w:ascii="Times New Roman" w:hAnsi="Times New Roman" w:eastAsia="仿宋" w:cstheme="minorBidi"/>
          <w:b w:val="0"/>
          <w:bCs w:val="0"/>
          <w:color w:val="auto"/>
          <w:kern w:val="2"/>
          <w:szCs w:val="22"/>
          <w:lang w:val="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 w:cstheme="minorBidi"/>
          <w:b w:val="0"/>
          <w:bCs w:val="0"/>
          <w:color w:val="auto"/>
          <w:kern w:val="2"/>
          <w:szCs w:val="22"/>
          <w:lang w:val="zh-CN"/>
        </w:rPr>
        <w:t>2025年6月</w:t>
      </w:r>
    </w:p>
    <w:sdt>
      <w:sdtPr>
        <w:rPr>
          <w:rFonts w:ascii="Times New Roman" w:hAnsi="Times New Roman" w:eastAsia="仿宋" w:cstheme="minorBidi"/>
          <w:b w:val="0"/>
          <w:bCs w:val="0"/>
          <w:color w:val="auto"/>
          <w:kern w:val="2"/>
          <w:sz w:val="44"/>
          <w:szCs w:val="22"/>
          <w:lang w:val="zh-CN"/>
        </w:rPr>
        <w:id w:val="472484770"/>
        <w:docPartObj>
          <w:docPartGallery w:val="Table of Contents"/>
          <w:docPartUnique/>
        </w:docPartObj>
      </w:sdtPr>
      <w:sdtEndPr>
        <w:rPr>
          <w:rFonts w:ascii="Times New Roman" w:hAnsi="Times New Roman" w:eastAsia="仿宋" w:cstheme="minorBidi"/>
          <w:b w:val="0"/>
          <w:bCs w:val="0"/>
          <w:color w:val="auto"/>
          <w:kern w:val="2"/>
          <w:sz w:val="44"/>
          <w:szCs w:val="22"/>
          <w:lang w:val="zh-CN"/>
        </w:rPr>
      </w:sdtEndPr>
      <w:sdtContent>
        <w:p w14:paraId="0C303C3F">
          <w:pPr>
            <w:pStyle w:val="19"/>
            <w:spacing w:before="0" w:line="440" w:lineRule="exact"/>
            <w:jc w:val="center"/>
            <w:rPr>
              <w:rFonts w:ascii="Times New Roman" w:hAnsi="Times New Roman" w:eastAsia="仿宋"/>
              <w:color w:val="000000" w:themeColor="text1"/>
              <w:sz w:val="44"/>
              <w14:textFill>
                <w14:solidFill>
                  <w14:schemeClr w14:val="tx1"/>
                </w14:solidFill>
              </w14:textFill>
            </w:rPr>
          </w:pPr>
          <w:r>
            <w:rPr>
              <w:rFonts w:ascii="Times New Roman" w:hAnsi="Times New Roman" w:eastAsia="仿宋"/>
              <w:color w:val="000000" w:themeColor="text1"/>
              <w:sz w:val="44"/>
              <w:lang w:val="zh-CN"/>
              <w14:textFill>
                <w14:solidFill>
                  <w14:schemeClr w14:val="tx1"/>
                </w14:solidFill>
              </w14:textFill>
            </w:rPr>
            <w:t>目</w:t>
          </w:r>
          <w:r>
            <w:rPr>
              <w:rFonts w:hint="eastAsia" w:ascii="Times New Roman" w:hAnsi="Times New Roman" w:eastAsia="仿宋"/>
              <w:color w:val="000000" w:themeColor="text1"/>
              <w:sz w:val="44"/>
              <w:lang w:val="zh-CN"/>
              <w14:textFill>
                <w14:solidFill>
                  <w14:schemeClr w14:val="tx1"/>
                </w14:solidFill>
              </w14:textFill>
            </w:rPr>
            <w:t xml:space="preserve">  </w:t>
          </w:r>
          <w:r>
            <w:rPr>
              <w:rFonts w:ascii="Times New Roman" w:hAnsi="Times New Roman" w:eastAsia="仿宋"/>
              <w:color w:val="000000" w:themeColor="text1"/>
              <w:sz w:val="44"/>
              <w:lang w:val="zh-CN"/>
              <w14:textFill>
                <w14:solidFill>
                  <w14:schemeClr w14:val="tx1"/>
                </w14:solidFill>
              </w14:textFill>
            </w:rPr>
            <w:t>录</w:t>
          </w:r>
        </w:p>
        <w:p w14:paraId="05965AB1">
          <w:pPr>
            <w:pStyle w:val="8"/>
            <w:tabs>
              <w:tab w:val="left" w:pos="1100"/>
              <w:tab w:val="right" w:leader="dot" w:pos="8296"/>
            </w:tabs>
            <w:spacing w:after="0" w:line="440" w:lineRule="exact"/>
            <w:rPr>
              <w:kern w:val="2"/>
              <w:szCs w:val="24"/>
              <w14:ligatures w14:val="standardContextual"/>
            </w:rPr>
          </w:pPr>
          <w:r>
            <w:rPr>
              <w:rFonts w:ascii="Times New Roman" w:hAnsi="Times New Roman" w:eastAsia="仿宋"/>
              <w:b/>
              <w:bCs/>
              <w:sz w:val="28"/>
              <w:szCs w:val="28"/>
              <w:lang w:val="zh-CN"/>
            </w:rPr>
            <w:fldChar w:fldCharType="begin"/>
          </w:r>
          <w:r>
            <w:rPr>
              <w:rFonts w:ascii="Times New Roman" w:hAnsi="Times New Roman" w:eastAsia="仿宋"/>
              <w:b/>
              <w:bCs/>
              <w:sz w:val="28"/>
              <w:szCs w:val="28"/>
              <w:lang w:val="zh-CN"/>
            </w:rPr>
            <w:instrText xml:space="preserve"> TOC \o "1-3" \h \z \u </w:instrText>
          </w:r>
          <w:r>
            <w:rPr>
              <w:rFonts w:ascii="Times New Roman" w:hAnsi="Times New Roman" w:eastAsia="仿宋"/>
              <w:b/>
              <w:bCs/>
              <w:sz w:val="28"/>
              <w:szCs w:val="28"/>
              <w:lang w:val="zh-CN"/>
            </w:rPr>
            <w:fldChar w:fldCharType="separate"/>
          </w:r>
          <w:r>
            <w:fldChar w:fldCharType="begin"/>
          </w:r>
          <w:r>
            <w:instrText xml:space="preserve"> HYPERLINK \l "_Toc200565601" </w:instrText>
          </w:r>
          <w:r>
            <w:fldChar w:fldCharType="separate"/>
          </w:r>
          <w:r>
            <w:rPr>
              <w:rStyle w:val="13"/>
              <w:rFonts w:hint="eastAsia" w:ascii="Times New Roman" w:hAnsi="Times New Roman" w:eastAsia="仿宋" w:cs="Times New Roman"/>
            </w:rPr>
            <w:t>第一章</w:t>
          </w:r>
          <w:r>
            <w:rPr>
              <w:rFonts w:hint="eastAsia"/>
              <w:kern w:val="2"/>
              <w:szCs w:val="24"/>
              <w14:ligatures w14:val="standardContextual"/>
            </w:rPr>
            <w:tab/>
          </w:r>
          <w:r>
            <w:rPr>
              <w:rStyle w:val="13"/>
              <w:rFonts w:hint="eastAsia" w:ascii="Times New Roman" w:hAnsi="Times New Roman" w:eastAsia="仿宋" w:cs="Times New Roman"/>
            </w:rPr>
            <w:t>规划总则</w:t>
          </w:r>
          <w:r>
            <w:rPr>
              <w:rFonts w:hint="eastAsia"/>
            </w:rPr>
            <w:tab/>
          </w:r>
          <w:r>
            <w:rPr>
              <w:rFonts w:hint="eastAsia"/>
            </w:rPr>
            <w:fldChar w:fldCharType="begin"/>
          </w:r>
          <w:r>
            <w:rPr>
              <w:rFonts w:hint="eastAsia"/>
            </w:rPr>
            <w:instrText xml:space="preserve"> </w:instrText>
          </w:r>
          <w:r>
            <w:instrText xml:space="preserve">PAGEREF _Toc200565601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421F3A4">
          <w:pPr>
            <w:pStyle w:val="5"/>
            <w:tabs>
              <w:tab w:val="right" w:leader="dot" w:pos="8296"/>
            </w:tabs>
            <w:spacing w:after="0" w:line="440" w:lineRule="exact"/>
            <w:rPr>
              <w:kern w:val="2"/>
              <w:szCs w:val="24"/>
              <w14:ligatures w14:val="standardContextual"/>
            </w:rPr>
          </w:pPr>
          <w:r>
            <w:fldChar w:fldCharType="begin"/>
          </w:r>
          <w:r>
            <w:instrText xml:space="preserve"> HYPERLINK \l "_Toc200565602" </w:instrText>
          </w:r>
          <w:r>
            <w:fldChar w:fldCharType="separate"/>
          </w:r>
          <w:r>
            <w:rPr>
              <w:rStyle w:val="13"/>
              <w:rFonts w:hint="eastAsia" w:ascii="Times New Roman" w:hAnsi="Times New Roman" w:eastAsia="仿宋" w:cs="Times New Roman"/>
            </w:rPr>
            <w:t>第1条 规划背景</w:t>
          </w:r>
          <w:r>
            <w:rPr>
              <w:rFonts w:hint="eastAsia"/>
            </w:rPr>
            <w:tab/>
          </w:r>
          <w:r>
            <w:rPr>
              <w:rFonts w:hint="eastAsia"/>
            </w:rPr>
            <w:fldChar w:fldCharType="begin"/>
          </w:r>
          <w:r>
            <w:rPr>
              <w:rFonts w:hint="eastAsia"/>
            </w:rPr>
            <w:instrText xml:space="preserve"> </w:instrText>
          </w:r>
          <w:r>
            <w:instrText xml:space="preserve">PAGEREF _Toc200565602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58CD562">
          <w:pPr>
            <w:pStyle w:val="5"/>
            <w:tabs>
              <w:tab w:val="right" w:leader="dot" w:pos="8296"/>
            </w:tabs>
            <w:spacing w:after="0" w:line="440" w:lineRule="exact"/>
            <w:rPr>
              <w:kern w:val="2"/>
              <w:szCs w:val="24"/>
              <w14:ligatures w14:val="standardContextual"/>
            </w:rPr>
          </w:pPr>
          <w:r>
            <w:fldChar w:fldCharType="begin"/>
          </w:r>
          <w:r>
            <w:instrText xml:space="preserve"> HYPERLINK \l "_Toc200565603" </w:instrText>
          </w:r>
          <w:r>
            <w:fldChar w:fldCharType="separate"/>
          </w:r>
          <w:r>
            <w:rPr>
              <w:rStyle w:val="13"/>
              <w:rFonts w:hint="eastAsia" w:ascii="Times New Roman" w:hAnsi="Times New Roman" w:eastAsia="仿宋" w:cs="Times New Roman"/>
            </w:rPr>
            <w:t>第2条 规划范围</w:t>
          </w:r>
          <w:r>
            <w:rPr>
              <w:rFonts w:hint="eastAsia"/>
            </w:rPr>
            <w:tab/>
          </w:r>
          <w:r>
            <w:rPr>
              <w:rFonts w:hint="eastAsia"/>
            </w:rPr>
            <w:fldChar w:fldCharType="begin"/>
          </w:r>
          <w:r>
            <w:rPr>
              <w:rFonts w:hint="eastAsia"/>
            </w:rPr>
            <w:instrText xml:space="preserve"> </w:instrText>
          </w:r>
          <w:r>
            <w:instrText xml:space="preserve">PAGEREF _Toc200565603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6E305B8">
          <w:pPr>
            <w:pStyle w:val="5"/>
            <w:tabs>
              <w:tab w:val="right" w:leader="dot" w:pos="8296"/>
            </w:tabs>
            <w:spacing w:after="0" w:line="440" w:lineRule="exact"/>
            <w:rPr>
              <w:kern w:val="2"/>
              <w:szCs w:val="24"/>
              <w14:ligatures w14:val="standardContextual"/>
            </w:rPr>
          </w:pPr>
          <w:r>
            <w:fldChar w:fldCharType="begin"/>
          </w:r>
          <w:r>
            <w:instrText xml:space="preserve"> HYPERLINK \l "_Toc200565604" </w:instrText>
          </w:r>
          <w:r>
            <w:fldChar w:fldCharType="separate"/>
          </w:r>
          <w:r>
            <w:rPr>
              <w:rStyle w:val="13"/>
              <w:rFonts w:hint="eastAsia" w:ascii="Times New Roman" w:hAnsi="Times New Roman" w:eastAsia="仿宋" w:cs="Times New Roman"/>
            </w:rPr>
            <w:t>第3条 规划原则</w:t>
          </w:r>
          <w:r>
            <w:rPr>
              <w:rFonts w:hint="eastAsia"/>
            </w:rPr>
            <w:tab/>
          </w:r>
          <w:r>
            <w:rPr>
              <w:rFonts w:hint="eastAsia"/>
            </w:rPr>
            <w:fldChar w:fldCharType="begin"/>
          </w:r>
          <w:r>
            <w:rPr>
              <w:rFonts w:hint="eastAsia"/>
            </w:rPr>
            <w:instrText xml:space="preserve"> </w:instrText>
          </w:r>
          <w:r>
            <w:instrText xml:space="preserve">PAGEREF _Toc200565604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E5F13A6">
          <w:pPr>
            <w:pStyle w:val="5"/>
            <w:tabs>
              <w:tab w:val="right" w:leader="dot" w:pos="8296"/>
            </w:tabs>
            <w:spacing w:after="0" w:line="440" w:lineRule="exact"/>
            <w:rPr>
              <w:kern w:val="2"/>
              <w:szCs w:val="24"/>
              <w14:ligatures w14:val="standardContextual"/>
            </w:rPr>
          </w:pPr>
          <w:r>
            <w:fldChar w:fldCharType="begin"/>
          </w:r>
          <w:r>
            <w:instrText xml:space="preserve"> HYPERLINK \l "_Toc200565605" </w:instrText>
          </w:r>
          <w:r>
            <w:fldChar w:fldCharType="separate"/>
          </w:r>
          <w:r>
            <w:rPr>
              <w:rStyle w:val="13"/>
              <w:rFonts w:hint="eastAsia" w:ascii="Times New Roman" w:hAnsi="Times New Roman" w:eastAsia="仿宋" w:cs="Times New Roman"/>
            </w:rPr>
            <w:t>第4条 规划对象</w:t>
          </w:r>
          <w:r>
            <w:rPr>
              <w:rFonts w:hint="eastAsia"/>
            </w:rPr>
            <w:tab/>
          </w:r>
          <w:r>
            <w:rPr>
              <w:rFonts w:hint="eastAsia"/>
            </w:rPr>
            <w:fldChar w:fldCharType="begin"/>
          </w:r>
          <w:r>
            <w:rPr>
              <w:rFonts w:hint="eastAsia"/>
            </w:rPr>
            <w:instrText xml:space="preserve"> </w:instrText>
          </w:r>
          <w:r>
            <w:instrText xml:space="preserve">PAGEREF _Toc200565605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0819CCC">
          <w:pPr>
            <w:pStyle w:val="5"/>
            <w:tabs>
              <w:tab w:val="right" w:leader="dot" w:pos="8296"/>
            </w:tabs>
            <w:spacing w:after="0" w:line="440" w:lineRule="exact"/>
            <w:rPr>
              <w:kern w:val="2"/>
              <w:szCs w:val="24"/>
              <w14:ligatures w14:val="standardContextual"/>
            </w:rPr>
          </w:pPr>
          <w:r>
            <w:fldChar w:fldCharType="begin"/>
          </w:r>
          <w:r>
            <w:instrText xml:space="preserve"> HYPERLINK \l "_Toc200565606" </w:instrText>
          </w:r>
          <w:r>
            <w:fldChar w:fldCharType="separate"/>
          </w:r>
          <w:r>
            <w:rPr>
              <w:rStyle w:val="13"/>
              <w:rFonts w:hint="eastAsia" w:ascii="Times New Roman" w:hAnsi="Times New Roman" w:eastAsia="仿宋" w:cs="Times New Roman"/>
            </w:rPr>
            <w:t>第5条 规划期限</w:t>
          </w:r>
          <w:r>
            <w:rPr>
              <w:rFonts w:hint="eastAsia"/>
            </w:rPr>
            <w:tab/>
          </w:r>
          <w:r>
            <w:rPr>
              <w:rFonts w:hint="eastAsia"/>
            </w:rPr>
            <w:fldChar w:fldCharType="begin"/>
          </w:r>
          <w:r>
            <w:rPr>
              <w:rFonts w:hint="eastAsia"/>
            </w:rPr>
            <w:instrText xml:space="preserve"> </w:instrText>
          </w:r>
          <w:r>
            <w:instrText xml:space="preserve">PAGEREF _Toc200565606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769219D">
          <w:pPr>
            <w:pStyle w:val="5"/>
            <w:tabs>
              <w:tab w:val="right" w:leader="dot" w:pos="8296"/>
            </w:tabs>
            <w:spacing w:after="0" w:line="440" w:lineRule="exact"/>
            <w:rPr>
              <w:kern w:val="2"/>
              <w:szCs w:val="24"/>
              <w14:ligatures w14:val="standardContextual"/>
            </w:rPr>
          </w:pPr>
          <w:r>
            <w:fldChar w:fldCharType="begin"/>
          </w:r>
          <w:r>
            <w:instrText xml:space="preserve"> HYPERLINK \l "_Toc200565607" </w:instrText>
          </w:r>
          <w:r>
            <w:fldChar w:fldCharType="separate"/>
          </w:r>
          <w:r>
            <w:rPr>
              <w:rStyle w:val="13"/>
              <w:rFonts w:hint="eastAsia" w:ascii="Times New Roman" w:hAnsi="Times New Roman" w:eastAsia="仿宋" w:cs="Times New Roman"/>
            </w:rPr>
            <w:t>第6条 规划目标</w:t>
          </w:r>
          <w:r>
            <w:rPr>
              <w:rFonts w:hint="eastAsia"/>
            </w:rPr>
            <w:tab/>
          </w:r>
          <w:r>
            <w:rPr>
              <w:rFonts w:hint="eastAsia"/>
            </w:rPr>
            <w:fldChar w:fldCharType="begin"/>
          </w:r>
          <w:r>
            <w:rPr>
              <w:rFonts w:hint="eastAsia"/>
            </w:rPr>
            <w:instrText xml:space="preserve"> </w:instrText>
          </w:r>
          <w:r>
            <w:instrText xml:space="preserve">PAGEREF _Toc200565607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273B6645">
          <w:pPr>
            <w:pStyle w:val="5"/>
            <w:tabs>
              <w:tab w:val="right" w:leader="dot" w:pos="8296"/>
            </w:tabs>
            <w:spacing w:after="0" w:line="440" w:lineRule="exact"/>
            <w:rPr>
              <w:kern w:val="2"/>
              <w:szCs w:val="24"/>
              <w14:ligatures w14:val="standardContextual"/>
            </w:rPr>
          </w:pPr>
          <w:r>
            <w:fldChar w:fldCharType="begin"/>
          </w:r>
          <w:r>
            <w:instrText xml:space="preserve"> HYPERLINK \l "_Toc200565608" </w:instrText>
          </w:r>
          <w:r>
            <w:fldChar w:fldCharType="separate"/>
          </w:r>
          <w:r>
            <w:rPr>
              <w:rStyle w:val="13"/>
              <w:rFonts w:hint="eastAsia" w:ascii="Times New Roman" w:hAnsi="Times New Roman" w:eastAsia="仿宋" w:cs="Times New Roman"/>
            </w:rPr>
            <w:t>第7条 指标体系</w:t>
          </w:r>
          <w:r>
            <w:rPr>
              <w:rFonts w:hint="eastAsia"/>
            </w:rPr>
            <w:tab/>
          </w:r>
          <w:r>
            <w:rPr>
              <w:rFonts w:hint="eastAsia"/>
            </w:rPr>
            <w:fldChar w:fldCharType="begin"/>
          </w:r>
          <w:r>
            <w:rPr>
              <w:rFonts w:hint="eastAsia"/>
            </w:rPr>
            <w:instrText xml:space="preserve"> </w:instrText>
          </w:r>
          <w:r>
            <w:instrText xml:space="preserve">PAGEREF _Toc200565608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CCF1D90">
          <w:pPr>
            <w:pStyle w:val="5"/>
            <w:tabs>
              <w:tab w:val="right" w:leader="dot" w:pos="8296"/>
            </w:tabs>
            <w:spacing w:after="0" w:line="440" w:lineRule="exact"/>
            <w:rPr>
              <w:kern w:val="2"/>
              <w:szCs w:val="24"/>
              <w14:ligatures w14:val="standardContextual"/>
            </w:rPr>
          </w:pPr>
          <w:r>
            <w:fldChar w:fldCharType="begin"/>
          </w:r>
          <w:r>
            <w:instrText xml:space="preserve"> HYPERLINK \l "_Toc200565609" </w:instrText>
          </w:r>
          <w:r>
            <w:fldChar w:fldCharType="separate"/>
          </w:r>
          <w:r>
            <w:rPr>
              <w:rStyle w:val="13"/>
              <w:rFonts w:hint="eastAsia" w:ascii="Times New Roman" w:hAnsi="Times New Roman" w:eastAsia="仿宋" w:cs="Times New Roman"/>
            </w:rPr>
            <w:t>第8条 规划依据</w:t>
          </w:r>
          <w:r>
            <w:rPr>
              <w:rFonts w:hint="eastAsia"/>
            </w:rPr>
            <w:tab/>
          </w:r>
          <w:r>
            <w:rPr>
              <w:rFonts w:hint="eastAsia"/>
            </w:rPr>
            <w:fldChar w:fldCharType="begin"/>
          </w:r>
          <w:r>
            <w:rPr>
              <w:rFonts w:hint="eastAsia"/>
            </w:rPr>
            <w:instrText xml:space="preserve"> </w:instrText>
          </w:r>
          <w:r>
            <w:instrText xml:space="preserve">PAGEREF _Toc200565609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0ADF581">
          <w:pPr>
            <w:pStyle w:val="8"/>
            <w:tabs>
              <w:tab w:val="left" w:pos="1100"/>
              <w:tab w:val="right" w:leader="dot" w:pos="8296"/>
            </w:tabs>
            <w:spacing w:after="0" w:line="440" w:lineRule="exact"/>
            <w:rPr>
              <w:kern w:val="2"/>
              <w:szCs w:val="24"/>
              <w14:ligatures w14:val="standardContextual"/>
            </w:rPr>
          </w:pPr>
          <w:r>
            <w:fldChar w:fldCharType="begin"/>
          </w:r>
          <w:r>
            <w:instrText xml:space="preserve"> HYPERLINK \l "_Toc200565610" </w:instrText>
          </w:r>
          <w:r>
            <w:fldChar w:fldCharType="separate"/>
          </w:r>
          <w:r>
            <w:rPr>
              <w:rStyle w:val="13"/>
              <w:rFonts w:hint="eastAsia" w:ascii="Times New Roman" w:hAnsi="Times New Roman" w:eastAsia="仿宋" w:cs="Times New Roman"/>
            </w:rPr>
            <w:t>第二章</w:t>
          </w:r>
          <w:r>
            <w:rPr>
              <w:rFonts w:hint="eastAsia"/>
              <w:kern w:val="2"/>
              <w:szCs w:val="24"/>
              <w14:ligatures w14:val="standardContextual"/>
            </w:rPr>
            <w:tab/>
          </w:r>
          <w:r>
            <w:rPr>
              <w:rStyle w:val="13"/>
              <w:rFonts w:hint="eastAsia" w:ascii="Times New Roman" w:hAnsi="Times New Roman" w:eastAsia="仿宋" w:cs="Times New Roman"/>
            </w:rPr>
            <w:t>发展现状</w:t>
          </w:r>
          <w:r>
            <w:rPr>
              <w:rFonts w:hint="eastAsia"/>
            </w:rPr>
            <w:tab/>
          </w:r>
          <w:r>
            <w:rPr>
              <w:rFonts w:hint="eastAsia"/>
            </w:rPr>
            <w:fldChar w:fldCharType="begin"/>
          </w:r>
          <w:r>
            <w:rPr>
              <w:rFonts w:hint="eastAsia"/>
            </w:rPr>
            <w:instrText xml:space="preserve"> </w:instrText>
          </w:r>
          <w:r>
            <w:instrText xml:space="preserve">PAGEREF _Toc200565610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4CB027AF">
          <w:pPr>
            <w:pStyle w:val="5"/>
            <w:tabs>
              <w:tab w:val="right" w:leader="dot" w:pos="8296"/>
            </w:tabs>
            <w:spacing w:after="0" w:line="440" w:lineRule="exact"/>
            <w:rPr>
              <w:kern w:val="2"/>
              <w:szCs w:val="24"/>
              <w14:ligatures w14:val="standardContextual"/>
            </w:rPr>
          </w:pPr>
          <w:r>
            <w:fldChar w:fldCharType="begin"/>
          </w:r>
          <w:r>
            <w:instrText xml:space="preserve"> HYPERLINK \l "_Toc200565611" </w:instrText>
          </w:r>
          <w:r>
            <w:fldChar w:fldCharType="separate"/>
          </w:r>
          <w:r>
            <w:rPr>
              <w:rStyle w:val="13"/>
              <w:rFonts w:hint="eastAsia" w:ascii="Times New Roman" w:hAnsi="Times New Roman" w:eastAsia="仿宋" w:cs="Times New Roman"/>
            </w:rPr>
            <w:t>第9条 设施现状</w:t>
          </w:r>
          <w:r>
            <w:rPr>
              <w:rFonts w:hint="eastAsia"/>
            </w:rPr>
            <w:tab/>
          </w:r>
          <w:r>
            <w:rPr>
              <w:rFonts w:hint="eastAsia"/>
            </w:rPr>
            <w:fldChar w:fldCharType="begin"/>
          </w:r>
          <w:r>
            <w:rPr>
              <w:rFonts w:hint="eastAsia"/>
            </w:rPr>
            <w:instrText xml:space="preserve"> </w:instrText>
          </w:r>
          <w:r>
            <w:instrText xml:space="preserve">PAGEREF _Toc200565611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CEF4BE7">
          <w:pPr>
            <w:pStyle w:val="5"/>
            <w:tabs>
              <w:tab w:val="right" w:leader="dot" w:pos="8296"/>
            </w:tabs>
            <w:spacing w:after="0" w:line="440" w:lineRule="exact"/>
            <w:rPr>
              <w:kern w:val="2"/>
              <w:szCs w:val="24"/>
              <w14:ligatures w14:val="standardContextual"/>
            </w:rPr>
          </w:pPr>
          <w:r>
            <w:fldChar w:fldCharType="begin"/>
          </w:r>
          <w:r>
            <w:instrText xml:space="preserve"> HYPERLINK \l "_Toc200565612" </w:instrText>
          </w:r>
          <w:r>
            <w:fldChar w:fldCharType="separate"/>
          </w:r>
          <w:r>
            <w:rPr>
              <w:rStyle w:val="13"/>
              <w:rFonts w:hint="eastAsia" w:ascii="Times New Roman" w:hAnsi="Times New Roman" w:eastAsia="仿宋" w:cs="Times New Roman"/>
            </w:rPr>
            <w:t>第10条 现状问题</w:t>
          </w:r>
          <w:r>
            <w:rPr>
              <w:rFonts w:hint="eastAsia"/>
            </w:rPr>
            <w:tab/>
          </w:r>
          <w:r>
            <w:rPr>
              <w:rFonts w:hint="eastAsia"/>
            </w:rPr>
            <w:fldChar w:fldCharType="begin"/>
          </w:r>
          <w:r>
            <w:rPr>
              <w:rFonts w:hint="eastAsia"/>
            </w:rPr>
            <w:instrText xml:space="preserve"> </w:instrText>
          </w:r>
          <w:r>
            <w:instrText xml:space="preserve">PAGEREF _Toc200565612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33FA2E7">
          <w:pPr>
            <w:pStyle w:val="8"/>
            <w:tabs>
              <w:tab w:val="left" w:pos="1100"/>
              <w:tab w:val="right" w:leader="dot" w:pos="8296"/>
            </w:tabs>
            <w:spacing w:after="0" w:line="440" w:lineRule="exact"/>
            <w:rPr>
              <w:kern w:val="2"/>
              <w:szCs w:val="24"/>
              <w14:ligatures w14:val="standardContextual"/>
            </w:rPr>
          </w:pPr>
          <w:r>
            <w:fldChar w:fldCharType="begin"/>
          </w:r>
          <w:r>
            <w:instrText xml:space="preserve"> HYPERLINK \l "_Toc200565613" </w:instrText>
          </w:r>
          <w:r>
            <w:fldChar w:fldCharType="separate"/>
          </w:r>
          <w:r>
            <w:rPr>
              <w:rStyle w:val="13"/>
              <w:rFonts w:hint="eastAsia" w:ascii="Times New Roman" w:hAnsi="Times New Roman" w:eastAsia="仿宋" w:cs="Times New Roman"/>
            </w:rPr>
            <w:t>第三章</w:t>
          </w:r>
          <w:r>
            <w:rPr>
              <w:rFonts w:hint="eastAsia"/>
              <w:kern w:val="2"/>
              <w:szCs w:val="24"/>
              <w14:ligatures w14:val="standardContextual"/>
            </w:rPr>
            <w:tab/>
          </w:r>
          <w:r>
            <w:rPr>
              <w:rStyle w:val="13"/>
              <w:rFonts w:hint="eastAsia" w:ascii="Times New Roman" w:hAnsi="Times New Roman" w:eastAsia="仿宋" w:cs="Times New Roman"/>
            </w:rPr>
            <w:t>需求预测</w:t>
          </w:r>
          <w:r>
            <w:rPr>
              <w:rFonts w:hint="eastAsia"/>
            </w:rPr>
            <w:tab/>
          </w:r>
          <w:r>
            <w:rPr>
              <w:rFonts w:hint="eastAsia"/>
            </w:rPr>
            <w:fldChar w:fldCharType="begin"/>
          </w:r>
          <w:r>
            <w:rPr>
              <w:rFonts w:hint="eastAsia"/>
            </w:rPr>
            <w:instrText xml:space="preserve"> </w:instrText>
          </w:r>
          <w:r>
            <w:instrText xml:space="preserve">PAGEREF _Toc200565613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5B59446B">
          <w:pPr>
            <w:pStyle w:val="5"/>
            <w:tabs>
              <w:tab w:val="right" w:leader="dot" w:pos="8296"/>
            </w:tabs>
            <w:spacing w:after="0" w:line="440" w:lineRule="exact"/>
            <w:rPr>
              <w:kern w:val="2"/>
              <w:szCs w:val="24"/>
              <w14:ligatures w14:val="standardContextual"/>
            </w:rPr>
          </w:pPr>
          <w:r>
            <w:fldChar w:fldCharType="begin"/>
          </w:r>
          <w:r>
            <w:instrText xml:space="preserve"> HYPERLINK \l "_Toc200565614" </w:instrText>
          </w:r>
          <w:r>
            <w:fldChar w:fldCharType="separate"/>
          </w:r>
          <w:r>
            <w:rPr>
              <w:rStyle w:val="13"/>
              <w:rFonts w:hint="eastAsia" w:ascii="Times New Roman" w:hAnsi="Times New Roman" w:eastAsia="仿宋" w:cs="Times New Roman"/>
            </w:rPr>
            <w:t>第11条 死亡人口预测</w:t>
          </w:r>
          <w:r>
            <w:rPr>
              <w:rFonts w:hint="eastAsia"/>
            </w:rPr>
            <w:tab/>
          </w:r>
          <w:r>
            <w:rPr>
              <w:rFonts w:hint="eastAsia"/>
            </w:rPr>
            <w:fldChar w:fldCharType="begin"/>
          </w:r>
          <w:r>
            <w:rPr>
              <w:rFonts w:hint="eastAsia"/>
            </w:rPr>
            <w:instrText xml:space="preserve"> </w:instrText>
          </w:r>
          <w:r>
            <w:instrText xml:space="preserve">PAGEREF _Toc200565614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0AA2A82C">
          <w:pPr>
            <w:pStyle w:val="5"/>
            <w:tabs>
              <w:tab w:val="right" w:leader="dot" w:pos="8296"/>
            </w:tabs>
            <w:spacing w:after="0" w:line="440" w:lineRule="exact"/>
            <w:rPr>
              <w:kern w:val="2"/>
              <w:szCs w:val="24"/>
              <w14:ligatures w14:val="standardContextual"/>
            </w:rPr>
          </w:pPr>
          <w:r>
            <w:fldChar w:fldCharType="begin"/>
          </w:r>
          <w:r>
            <w:instrText xml:space="preserve"> HYPERLINK \l "_Toc200565615" </w:instrText>
          </w:r>
          <w:r>
            <w:fldChar w:fldCharType="separate"/>
          </w:r>
          <w:r>
            <w:rPr>
              <w:rStyle w:val="13"/>
              <w:rFonts w:hint="eastAsia" w:ascii="Times New Roman" w:hAnsi="Times New Roman" w:eastAsia="仿宋" w:cs="Times New Roman"/>
            </w:rPr>
            <w:t>第12条 殡仪设施需求</w:t>
          </w:r>
          <w:r>
            <w:rPr>
              <w:rFonts w:hint="eastAsia"/>
            </w:rPr>
            <w:tab/>
          </w:r>
          <w:r>
            <w:rPr>
              <w:rFonts w:hint="eastAsia"/>
            </w:rPr>
            <w:fldChar w:fldCharType="begin"/>
          </w:r>
          <w:r>
            <w:rPr>
              <w:rFonts w:hint="eastAsia"/>
            </w:rPr>
            <w:instrText xml:space="preserve"> </w:instrText>
          </w:r>
          <w:r>
            <w:instrText xml:space="preserve">PAGEREF _Toc200565615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1D1A57A9">
          <w:pPr>
            <w:pStyle w:val="5"/>
            <w:tabs>
              <w:tab w:val="right" w:leader="dot" w:pos="8296"/>
            </w:tabs>
            <w:spacing w:after="0" w:line="440" w:lineRule="exact"/>
            <w:rPr>
              <w:kern w:val="2"/>
              <w:szCs w:val="24"/>
              <w14:ligatures w14:val="standardContextual"/>
            </w:rPr>
          </w:pPr>
          <w:r>
            <w:fldChar w:fldCharType="begin"/>
          </w:r>
          <w:r>
            <w:instrText xml:space="preserve"> HYPERLINK \l "_Toc200565616" </w:instrText>
          </w:r>
          <w:r>
            <w:fldChar w:fldCharType="separate"/>
          </w:r>
          <w:r>
            <w:rPr>
              <w:rStyle w:val="13"/>
              <w:rFonts w:hint="eastAsia" w:ascii="Times New Roman" w:hAnsi="Times New Roman" w:eastAsia="仿宋" w:cs="Times New Roman"/>
            </w:rPr>
            <w:t>第13条 安葬设施需求</w:t>
          </w:r>
          <w:r>
            <w:rPr>
              <w:rFonts w:hint="eastAsia"/>
            </w:rPr>
            <w:tab/>
          </w:r>
          <w:r>
            <w:rPr>
              <w:rFonts w:hint="eastAsia"/>
            </w:rPr>
            <w:fldChar w:fldCharType="begin"/>
          </w:r>
          <w:r>
            <w:rPr>
              <w:rFonts w:hint="eastAsia"/>
            </w:rPr>
            <w:instrText xml:space="preserve"> </w:instrText>
          </w:r>
          <w:r>
            <w:instrText xml:space="preserve">PAGEREF _Toc200565616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16A1A04D">
          <w:pPr>
            <w:pStyle w:val="8"/>
            <w:tabs>
              <w:tab w:val="left" w:pos="1100"/>
              <w:tab w:val="right" w:leader="dot" w:pos="8296"/>
            </w:tabs>
            <w:spacing w:after="0" w:line="440" w:lineRule="exact"/>
            <w:rPr>
              <w:kern w:val="2"/>
              <w:szCs w:val="24"/>
              <w14:ligatures w14:val="standardContextual"/>
            </w:rPr>
          </w:pPr>
          <w:r>
            <w:fldChar w:fldCharType="begin"/>
          </w:r>
          <w:r>
            <w:instrText xml:space="preserve"> HYPERLINK \l "_Toc200565617" </w:instrText>
          </w:r>
          <w:r>
            <w:fldChar w:fldCharType="separate"/>
          </w:r>
          <w:r>
            <w:rPr>
              <w:rStyle w:val="13"/>
              <w:rFonts w:hint="eastAsia" w:ascii="Times New Roman" w:hAnsi="Times New Roman" w:eastAsia="仿宋" w:cs="Times New Roman"/>
            </w:rPr>
            <w:t>第四章</w:t>
          </w:r>
          <w:r>
            <w:rPr>
              <w:rFonts w:hint="eastAsia"/>
              <w:kern w:val="2"/>
              <w:szCs w:val="24"/>
              <w14:ligatures w14:val="standardContextual"/>
            </w:rPr>
            <w:tab/>
          </w:r>
          <w:r>
            <w:rPr>
              <w:rStyle w:val="13"/>
              <w:rFonts w:hint="eastAsia" w:ascii="Times New Roman" w:hAnsi="Times New Roman" w:eastAsia="仿宋" w:cs="Times New Roman"/>
            </w:rPr>
            <w:t>殡葬设施空间布局</w:t>
          </w:r>
          <w:r>
            <w:rPr>
              <w:rFonts w:hint="eastAsia"/>
            </w:rPr>
            <w:tab/>
          </w:r>
          <w:r>
            <w:rPr>
              <w:rFonts w:hint="eastAsia"/>
            </w:rPr>
            <w:fldChar w:fldCharType="begin"/>
          </w:r>
          <w:r>
            <w:rPr>
              <w:rFonts w:hint="eastAsia"/>
            </w:rPr>
            <w:instrText xml:space="preserve"> </w:instrText>
          </w:r>
          <w:r>
            <w:instrText xml:space="preserve">PAGEREF _Toc200565617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518F5C66">
          <w:pPr>
            <w:pStyle w:val="5"/>
            <w:tabs>
              <w:tab w:val="right" w:leader="dot" w:pos="8296"/>
            </w:tabs>
            <w:spacing w:after="0" w:line="440" w:lineRule="exact"/>
            <w:rPr>
              <w:kern w:val="2"/>
              <w:szCs w:val="24"/>
              <w14:ligatures w14:val="standardContextual"/>
            </w:rPr>
          </w:pPr>
          <w:r>
            <w:fldChar w:fldCharType="begin"/>
          </w:r>
          <w:r>
            <w:instrText xml:space="preserve"> HYPERLINK \l "_Toc200565618" </w:instrText>
          </w:r>
          <w:r>
            <w:fldChar w:fldCharType="separate"/>
          </w:r>
          <w:r>
            <w:rPr>
              <w:rStyle w:val="13"/>
              <w:rFonts w:hint="eastAsia" w:ascii="Times New Roman" w:hAnsi="Times New Roman" w:eastAsia="仿宋" w:cs="Times New Roman"/>
            </w:rPr>
            <w:t>第14条 殡葬服务设施建设标准</w:t>
          </w:r>
          <w:r>
            <w:rPr>
              <w:rFonts w:hint="eastAsia"/>
            </w:rPr>
            <w:tab/>
          </w:r>
          <w:r>
            <w:rPr>
              <w:rFonts w:hint="eastAsia"/>
            </w:rPr>
            <w:fldChar w:fldCharType="begin"/>
          </w:r>
          <w:r>
            <w:rPr>
              <w:rFonts w:hint="eastAsia"/>
            </w:rPr>
            <w:instrText xml:space="preserve"> </w:instrText>
          </w:r>
          <w:r>
            <w:instrText xml:space="preserve">PAGEREF _Toc200565618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3D89844">
          <w:pPr>
            <w:pStyle w:val="5"/>
            <w:tabs>
              <w:tab w:val="right" w:leader="dot" w:pos="8296"/>
            </w:tabs>
            <w:spacing w:after="0" w:line="440" w:lineRule="exact"/>
            <w:rPr>
              <w:kern w:val="2"/>
              <w:szCs w:val="24"/>
              <w14:ligatures w14:val="standardContextual"/>
            </w:rPr>
          </w:pPr>
          <w:r>
            <w:fldChar w:fldCharType="begin"/>
          </w:r>
          <w:r>
            <w:instrText xml:space="preserve"> HYPERLINK \l "_Toc200565619" </w:instrText>
          </w:r>
          <w:r>
            <w:fldChar w:fldCharType="separate"/>
          </w:r>
          <w:r>
            <w:rPr>
              <w:rStyle w:val="13"/>
              <w:rFonts w:hint="eastAsia" w:ascii="Times New Roman" w:hAnsi="Times New Roman" w:eastAsia="仿宋" w:cs="Times New Roman"/>
            </w:rPr>
            <w:t>第15条 开发建设模式</w:t>
          </w:r>
          <w:r>
            <w:rPr>
              <w:rFonts w:hint="eastAsia"/>
            </w:rPr>
            <w:tab/>
          </w:r>
          <w:r>
            <w:rPr>
              <w:rFonts w:hint="eastAsia"/>
            </w:rPr>
            <w:fldChar w:fldCharType="begin"/>
          </w:r>
          <w:r>
            <w:rPr>
              <w:rFonts w:hint="eastAsia"/>
            </w:rPr>
            <w:instrText xml:space="preserve"> </w:instrText>
          </w:r>
          <w:r>
            <w:instrText xml:space="preserve">PAGEREF _Toc200565619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275608B3">
          <w:pPr>
            <w:pStyle w:val="5"/>
            <w:tabs>
              <w:tab w:val="right" w:leader="dot" w:pos="8296"/>
            </w:tabs>
            <w:spacing w:after="0" w:line="440" w:lineRule="exact"/>
            <w:rPr>
              <w:kern w:val="2"/>
              <w:szCs w:val="24"/>
              <w14:ligatures w14:val="standardContextual"/>
            </w:rPr>
          </w:pPr>
          <w:r>
            <w:fldChar w:fldCharType="begin"/>
          </w:r>
          <w:r>
            <w:instrText xml:space="preserve"> HYPERLINK \l "_Toc200565620" </w:instrText>
          </w:r>
          <w:r>
            <w:fldChar w:fldCharType="separate"/>
          </w:r>
          <w:r>
            <w:rPr>
              <w:rStyle w:val="13"/>
              <w:rFonts w:hint="eastAsia" w:ascii="Times New Roman" w:hAnsi="Times New Roman" w:eastAsia="仿宋" w:cs="Times New Roman"/>
            </w:rPr>
            <w:t>第16条 选址原则</w:t>
          </w:r>
          <w:r>
            <w:rPr>
              <w:rFonts w:hint="eastAsia"/>
            </w:rPr>
            <w:tab/>
          </w:r>
          <w:r>
            <w:rPr>
              <w:rFonts w:hint="eastAsia"/>
            </w:rPr>
            <w:fldChar w:fldCharType="begin"/>
          </w:r>
          <w:r>
            <w:rPr>
              <w:rFonts w:hint="eastAsia"/>
            </w:rPr>
            <w:instrText xml:space="preserve"> </w:instrText>
          </w:r>
          <w:r>
            <w:instrText xml:space="preserve">PAGEREF _Toc200565620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2A988402">
          <w:pPr>
            <w:pStyle w:val="5"/>
            <w:tabs>
              <w:tab w:val="right" w:leader="dot" w:pos="8296"/>
            </w:tabs>
            <w:spacing w:after="0" w:line="440" w:lineRule="exact"/>
            <w:rPr>
              <w:kern w:val="2"/>
              <w:szCs w:val="24"/>
              <w14:ligatures w14:val="standardContextual"/>
            </w:rPr>
          </w:pPr>
          <w:r>
            <w:fldChar w:fldCharType="begin"/>
          </w:r>
          <w:r>
            <w:instrText xml:space="preserve"> HYPERLINK \l "_Toc200565621" </w:instrText>
          </w:r>
          <w:r>
            <w:fldChar w:fldCharType="separate"/>
          </w:r>
          <w:r>
            <w:rPr>
              <w:rStyle w:val="13"/>
              <w:rFonts w:hint="eastAsia" w:ascii="Times New Roman" w:hAnsi="Times New Roman" w:eastAsia="仿宋" w:cs="Times New Roman"/>
            </w:rPr>
            <w:t>第17条 布局规划</w:t>
          </w:r>
          <w:r>
            <w:rPr>
              <w:rFonts w:hint="eastAsia"/>
            </w:rPr>
            <w:tab/>
          </w:r>
          <w:r>
            <w:rPr>
              <w:rFonts w:hint="eastAsia"/>
            </w:rPr>
            <w:fldChar w:fldCharType="begin"/>
          </w:r>
          <w:r>
            <w:rPr>
              <w:rFonts w:hint="eastAsia"/>
            </w:rPr>
            <w:instrText xml:space="preserve"> </w:instrText>
          </w:r>
          <w:r>
            <w:instrText xml:space="preserve">PAGEREF _Toc200565621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380D176B">
          <w:pPr>
            <w:pStyle w:val="5"/>
            <w:tabs>
              <w:tab w:val="right" w:leader="dot" w:pos="8296"/>
            </w:tabs>
            <w:spacing w:after="0" w:line="440" w:lineRule="exact"/>
            <w:rPr>
              <w:kern w:val="2"/>
              <w:szCs w:val="24"/>
              <w14:ligatures w14:val="standardContextual"/>
            </w:rPr>
          </w:pPr>
          <w:r>
            <w:fldChar w:fldCharType="begin"/>
          </w:r>
          <w:r>
            <w:instrText xml:space="preserve"> HYPERLINK \l "_Toc200565622" </w:instrText>
          </w:r>
          <w:r>
            <w:fldChar w:fldCharType="separate"/>
          </w:r>
          <w:r>
            <w:rPr>
              <w:rStyle w:val="13"/>
              <w:rFonts w:hint="eastAsia" w:ascii="Times New Roman" w:hAnsi="Times New Roman" w:eastAsia="仿宋" w:cs="Times New Roman"/>
            </w:rPr>
            <w:t>第18条 环境控制规划</w:t>
          </w:r>
          <w:r>
            <w:rPr>
              <w:rFonts w:hint="eastAsia"/>
            </w:rPr>
            <w:tab/>
          </w:r>
          <w:r>
            <w:rPr>
              <w:rFonts w:hint="eastAsia"/>
            </w:rPr>
            <w:fldChar w:fldCharType="begin"/>
          </w:r>
          <w:r>
            <w:rPr>
              <w:rFonts w:hint="eastAsia"/>
            </w:rPr>
            <w:instrText xml:space="preserve"> </w:instrText>
          </w:r>
          <w:r>
            <w:instrText xml:space="preserve">PAGEREF _Toc200565622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694843C7">
          <w:pPr>
            <w:pStyle w:val="8"/>
            <w:tabs>
              <w:tab w:val="left" w:pos="1100"/>
              <w:tab w:val="right" w:leader="dot" w:pos="8296"/>
            </w:tabs>
            <w:spacing w:after="0" w:line="440" w:lineRule="exact"/>
            <w:rPr>
              <w:kern w:val="2"/>
              <w:szCs w:val="24"/>
              <w14:ligatures w14:val="standardContextual"/>
            </w:rPr>
          </w:pPr>
          <w:r>
            <w:fldChar w:fldCharType="begin"/>
          </w:r>
          <w:r>
            <w:instrText xml:space="preserve"> HYPERLINK \l "_Toc200565623" </w:instrText>
          </w:r>
          <w:r>
            <w:fldChar w:fldCharType="separate"/>
          </w:r>
          <w:r>
            <w:rPr>
              <w:rStyle w:val="13"/>
              <w:rFonts w:hint="eastAsia" w:ascii="Times New Roman" w:hAnsi="Times New Roman" w:eastAsia="仿宋" w:cs="Times New Roman"/>
            </w:rPr>
            <w:t>第五章</w:t>
          </w:r>
          <w:r>
            <w:rPr>
              <w:rFonts w:hint="eastAsia"/>
              <w:kern w:val="2"/>
              <w:szCs w:val="24"/>
              <w14:ligatures w14:val="standardContextual"/>
            </w:rPr>
            <w:tab/>
          </w:r>
          <w:r>
            <w:rPr>
              <w:rStyle w:val="13"/>
              <w:rFonts w:hint="eastAsia" w:ascii="Times New Roman" w:hAnsi="Times New Roman" w:eastAsia="仿宋" w:cs="Times New Roman"/>
            </w:rPr>
            <w:t>近期计划与实施保障</w:t>
          </w:r>
          <w:r>
            <w:rPr>
              <w:rFonts w:hint="eastAsia"/>
            </w:rPr>
            <w:tab/>
          </w:r>
          <w:r>
            <w:rPr>
              <w:rFonts w:hint="eastAsia"/>
            </w:rPr>
            <w:fldChar w:fldCharType="begin"/>
          </w:r>
          <w:r>
            <w:rPr>
              <w:rFonts w:hint="eastAsia"/>
            </w:rPr>
            <w:instrText xml:space="preserve"> </w:instrText>
          </w:r>
          <w:r>
            <w:instrText xml:space="preserve">PAGEREF _Toc200565623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145D1651">
          <w:pPr>
            <w:pStyle w:val="5"/>
            <w:tabs>
              <w:tab w:val="right" w:leader="dot" w:pos="8296"/>
            </w:tabs>
            <w:spacing w:after="0" w:line="440" w:lineRule="exact"/>
            <w:rPr>
              <w:kern w:val="2"/>
              <w:szCs w:val="24"/>
              <w14:ligatures w14:val="standardContextual"/>
            </w:rPr>
          </w:pPr>
          <w:r>
            <w:fldChar w:fldCharType="begin"/>
          </w:r>
          <w:r>
            <w:instrText xml:space="preserve"> HYPERLINK \l "_Toc200565624" </w:instrText>
          </w:r>
          <w:r>
            <w:fldChar w:fldCharType="separate"/>
          </w:r>
          <w:r>
            <w:rPr>
              <w:rStyle w:val="13"/>
              <w:rFonts w:hint="eastAsia" w:ascii="Times New Roman" w:hAnsi="Times New Roman" w:eastAsia="仿宋" w:cs="Times New Roman"/>
            </w:rPr>
            <w:t>第19条 近期建设计划</w:t>
          </w:r>
          <w:r>
            <w:rPr>
              <w:rFonts w:hint="eastAsia"/>
            </w:rPr>
            <w:tab/>
          </w:r>
          <w:r>
            <w:rPr>
              <w:rFonts w:hint="eastAsia"/>
            </w:rPr>
            <w:fldChar w:fldCharType="begin"/>
          </w:r>
          <w:r>
            <w:rPr>
              <w:rFonts w:hint="eastAsia"/>
            </w:rPr>
            <w:instrText xml:space="preserve"> </w:instrText>
          </w:r>
          <w:r>
            <w:instrText xml:space="preserve">PAGEREF _Toc200565624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522DDFEA">
          <w:pPr>
            <w:pStyle w:val="5"/>
            <w:tabs>
              <w:tab w:val="right" w:leader="dot" w:pos="8296"/>
            </w:tabs>
            <w:spacing w:after="0" w:line="440" w:lineRule="exact"/>
            <w:rPr>
              <w:kern w:val="2"/>
              <w:szCs w:val="24"/>
              <w14:ligatures w14:val="standardContextual"/>
            </w:rPr>
          </w:pPr>
          <w:r>
            <w:fldChar w:fldCharType="begin"/>
          </w:r>
          <w:r>
            <w:instrText xml:space="preserve"> HYPERLINK \l "_Toc200565625" </w:instrText>
          </w:r>
          <w:r>
            <w:fldChar w:fldCharType="separate"/>
          </w:r>
          <w:r>
            <w:rPr>
              <w:rStyle w:val="13"/>
              <w:rFonts w:hint="eastAsia" w:ascii="Times New Roman" w:hAnsi="Times New Roman" w:eastAsia="仿宋" w:cs="Times New Roman"/>
            </w:rPr>
            <w:t>第20条 建设引导标准</w:t>
          </w:r>
          <w:r>
            <w:rPr>
              <w:rFonts w:hint="eastAsia"/>
            </w:rPr>
            <w:tab/>
          </w:r>
          <w:r>
            <w:rPr>
              <w:rFonts w:hint="eastAsia"/>
            </w:rPr>
            <w:fldChar w:fldCharType="begin"/>
          </w:r>
          <w:r>
            <w:rPr>
              <w:rFonts w:hint="eastAsia"/>
            </w:rPr>
            <w:instrText xml:space="preserve"> </w:instrText>
          </w:r>
          <w:r>
            <w:instrText xml:space="preserve">PAGEREF _Toc200565625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44F40094">
          <w:pPr>
            <w:pStyle w:val="5"/>
            <w:tabs>
              <w:tab w:val="right" w:leader="dot" w:pos="8296"/>
            </w:tabs>
            <w:spacing w:after="0" w:line="440" w:lineRule="exact"/>
            <w:rPr>
              <w:kern w:val="2"/>
              <w:szCs w:val="24"/>
              <w14:ligatures w14:val="standardContextual"/>
            </w:rPr>
          </w:pPr>
          <w:r>
            <w:fldChar w:fldCharType="begin"/>
          </w:r>
          <w:r>
            <w:instrText xml:space="preserve"> HYPERLINK \l "_Toc200565626" </w:instrText>
          </w:r>
          <w:r>
            <w:fldChar w:fldCharType="separate"/>
          </w:r>
          <w:r>
            <w:rPr>
              <w:rStyle w:val="13"/>
              <w:rFonts w:hint="eastAsia" w:ascii="Times New Roman" w:hAnsi="Times New Roman" w:eastAsia="仿宋"/>
            </w:rPr>
            <w:t>第21条 实施保障</w:t>
          </w:r>
          <w:r>
            <w:rPr>
              <w:rFonts w:hint="eastAsia"/>
            </w:rPr>
            <w:tab/>
          </w:r>
          <w:r>
            <w:rPr>
              <w:rFonts w:hint="eastAsia"/>
            </w:rPr>
            <w:fldChar w:fldCharType="begin"/>
          </w:r>
          <w:r>
            <w:rPr>
              <w:rFonts w:hint="eastAsia"/>
            </w:rPr>
            <w:instrText xml:space="preserve"> </w:instrText>
          </w:r>
          <w:r>
            <w:instrText xml:space="preserve">PAGEREF _Toc200565626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5FC70F2C">
          <w:pPr>
            <w:pStyle w:val="8"/>
            <w:tabs>
              <w:tab w:val="left" w:pos="1100"/>
              <w:tab w:val="right" w:leader="dot" w:pos="8296"/>
            </w:tabs>
            <w:spacing w:after="0" w:line="440" w:lineRule="exact"/>
            <w:rPr>
              <w:kern w:val="2"/>
              <w:szCs w:val="24"/>
              <w14:ligatures w14:val="standardContextual"/>
            </w:rPr>
          </w:pPr>
          <w:r>
            <w:fldChar w:fldCharType="begin"/>
          </w:r>
          <w:r>
            <w:instrText xml:space="preserve"> HYPERLINK \l "_Toc200565627" </w:instrText>
          </w:r>
          <w:r>
            <w:fldChar w:fldCharType="separate"/>
          </w:r>
          <w:r>
            <w:rPr>
              <w:rStyle w:val="13"/>
              <w:rFonts w:hint="eastAsia" w:ascii="Times New Roman" w:hAnsi="Times New Roman" w:eastAsia="仿宋" w:cs="Times New Roman"/>
            </w:rPr>
            <w:t>第六章</w:t>
          </w:r>
          <w:r>
            <w:rPr>
              <w:rFonts w:hint="eastAsia"/>
              <w:kern w:val="2"/>
              <w:szCs w:val="24"/>
              <w14:ligatures w14:val="standardContextual"/>
            </w:rPr>
            <w:tab/>
          </w:r>
          <w:r>
            <w:rPr>
              <w:rStyle w:val="13"/>
              <w:rFonts w:hint="eastAsia" w:ascii="Times New Roman" w:hAnsi="Times New Roman" w:eastAsia="仿宋" w:cs="Times New Roman"/>
            </w:rPr>
            <w:t>附则</w:t>
          </w:r>
          <w:r>
            <w:rPr>
              <w:rFonts w:hint="eastAsia"/>
            </w:rPr>
            <w:tab/>
          </w:r>
          <w:r>
            <w:rPr>
              <w:rFonts w:hint="eastAsia"/>
            </w:rPr>
            <w:fldChar w:fldCharType="begin"/>
          </w:r>
          <w:r>
            <w:rPr>
              <w:rFonts w:hint="eastAsia"/>
            </w:rPr>
            <w:instrText xml:space="preserve"> </w:instrText>
          </w:r>
          <w:r>
            <w:instrText xml:space="preserve">PAGEREF _Toc200565627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14:paraId="729DE9EA">
          <w:pPr>
            <w:pStyle w:val="5"/>
            <w:tabs>
              <w:tab w:val="right" w:leader="dot" w:pos="8296"/>
            </w:tabs>
            <w:spacing w:after="0" w:line="440" w:lineRule="exact"/>
            <w:rPr>
              <w:kern w:val="2"/>
              <w:szCs w:val="24"/>
              <w14:ligatures w14:val="standardContextual"/>
            </w:rPr>
          </w:pPr>
          <w:r>
            <w:fldChar w:fldCharType="begin"/>
          </w:r>
          <w:r>
            <w:instrText xml:space="preserve"> HYPERLINK \l "_Toc200565628" </w:instrText>
          </w:r>
          <w:r>
            <w:fldChar w:fldCharType="separate"/>
          </w:r>
          <w:r>
            <w:rPr>
              <w:rStyle w:val="13"/>
              <w:rFonts w:hint="eastAsia" w:ascii="Times New Roman" w:hAnsi="Times New Roman" w:eastAsia="仿宋" w:cs="Times New Roman"/>
            </w:rPr>
            <w:t>第22条 成果构成</w:t>
          </w:r>
          <w:r>
            <w:rPr>
              <w:rFonts w:hint="eastAsia"/>
            </w:rPr>
            <w:tab/>
          </w:r>
          <w:r>
            <w:rPr>
              <w:rFonts w:hint="eastAsia"/>
            </w:rPr>
            <w:fldChar w:fldCharType="begin"/>
          </w:r>
          <w:r>
            <w:rPr>
              <w:rFonts w:hint="eastAsia"/>
            </w:rPr>
            <w:instrText xml:space="preserve"> </w:instrText>
          </w:r>
          <w:r>
            <w:instrText xml:space="preserve">PAGEREF _Toc200565628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14:paraId="2F23BB88">
          <w:pPr>
            <w:pStyle w:val="5"/>
            <w:tabs>
              <w:tab w:val="right" w:leader="dot" w:pos="8296"/>
            </w:tabs>
            <w:spacing w:after="0" w:line="440" w:lineRule="exact"/>
            <w:ind w:left="442"/>
            <w:rPr>
              <w:kern w:val="2"/>
              <w:szCs w:val="24"/>
              <w14:ligatures w14:val="standardContextual"/>
            </w:rPr>
          </w:pPr>
          <w:r>
            <w:fldChar w:fldCharType="begin"/>
          </w:r>
          <w:r>
            <w:instrText xml:space="preserve"> HYPERLINK \l "_Toc200565629" </w:instrText>
          </w:r>
          <w:r>
            <w:fldChar w:fldCharType="separate"/>
          </w:r>
          <w:r>
            <w:rPr>
              <w:rStyle w:val="13"/>
              <w:rFonts w:hint="eastAsia" w:ascii="Times New Roman" w:hAnsi="Times New Roman" w:eastAsia="仿宋" w:cs="Times New Roman"/>
            </w:rPr>
            <w:t>第23条 生效日期及解释权</w:t>
          </w:r>
          <w:r>
            <w:rPr>
              <w:rFonts w:hint="eastAsia"/>
            </w:rPr>
            <w:tab/>
          </w:r>
          <w:r>
            <w:rPr>
              <w:rFonts w:hint="eastAsia"/>
            </w:rPr>
            <w:fldChar w:fldCharType="begin"/>
          </w:r>
          <w:r>
            <w:rPr>
              <w:rFonts w:hint="eastAsia"/>
            </w:rPr>
            <w:instrText xml:space="preserve"> </w:instrText>
          </w:r>
          <w:r>
            <w:instrText xml:space="preserve">PAGEREF _Toc200565629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14:paraId="5CE17E4A">
          <w:pPr>
            <w:spacing w:line="440" w:lineRule="exact"/>
            <w:rPr>
              <w:rFonts w:ascii="Times New Roman" w:hAnsi="Times New Roman" w:eastAsia="仿宋"/>
            </w:rPr>
          </w:pPr>
          <w:r>
            <w:rPr>
              <w:rFonts w:ascii="Times New Roman" w:hAnsi="Times New Roman" w:eastAsia="仿宋"/>
              <w:bCs/>
              <w:szCs w:val="28"/>
              <w:lang w:val="zh-CN"/>
            </w:rPr>
            <w:fldChar w:fldCharType="end"/>
          </w:r>
        </w:p>
      </w:sdtContent>
    </w:sdt>
    <w:p w14:paraId="51B6D1FF">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sectPr>
          <w:footerReference r:id="rId3" w:type="default"/>
          <w:pgSz w:w="11906" w:h="16838"/>
          <w:pgMar w:top="1440" w:right="1800" w:bottom="1440" w:left="1800" w:header="851" w:footer="992" w:gutter="0"/>
          <w:pgNumType w:fmt="upperRoman" w:start="1"/>
          <w:cols w:space="425" w:num="1"/>
          <w:docGrid w:type="lines" w:linePitch="312" w:charSpace="0"/>
        </w:sectPr>
      </w:pPr>
    </w:p>
    <w:p w14:paraId="6DA2F9CD">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1" w:name="_Toc200565601"/>
      <w:r>
        <w:rPr>
          <w:rFonts w:hint="eastAsia" w:ascii="Times New Roman" w:hAnsi="Times New Roman" w:eastAsia="仿宋" w:cs="Times New Roman"/>
          <w:color w:val="000000" w:themeColor="text1"/>
          <w:sz w:val="40"/>
          <w:szCs w:val="40"/>
          <w14:textFill>
            <w14:solidFill>
              <w14:schemeClr w14:val="tx1"/>
            </w14:solidFill>
          </w14:textFill>
        </w:rPr>
        <w:t>规划总则</w:t>
      </w:r>
      <w:bookmarkEnd w:id="1"/>
    </w:p>
    <w:p w14:paraId="20562955">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 w:name="_Toc200565602"/>
      <w:r>
        <w:rPr>
          <w:rFonts w:hint="eastAsia" w:ascii="Times New Roman" w:hAnsi="Times New Roman" w:eastAsia="仿宋" w:cs="Times New Roman"/>
          <w:b w:val="0"/>
          <w:bCs w:val="0"/>
          <w:color w:val="000000" w:themeColor="text1"/>
          <w:szCs w:val="24"/>
          <w14:textFill>
            <w14:solidFill>
              <w14:schemeClr w14:val="tx1"/>
            </w14:solidFill>
          </w14:textFill>
        </w:rPr>
        <w:t>规划背景</w:t>
      </w:r>
      <w:bookmarkEnd w:id="2"/>
    </w:p>
    <w:p w14:paraId="247C5F19">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早在新中国成立之初，毛主席就发出了“移风易俗，改造中国”的号召，党和国家领导人都带头实行火葬。当前，全国各地都在深入推进殡葬改革，很多省（市）都实行了全域火葬或不断扩大了火葬区范围。近几年来，广水市委、市政府深入学习贯彻习近平总书记关于殡葬改革工作的重要指示批示精神，按照随州确定的“三步走”部署要求，推进殡葬改革。</w:t>
      </w:r>
    </w:p>
    <w:p w14:paraId="525904EB">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服务是广水市民生事业的重要一环，也体现了城市人文关怀、彰显城市温度。但长期以来，广水市公墓建设不规范，传统习俗影响大，不利于土地资源集约化和公墓事业的健康有序发展；公墓配套设施建设仍然不足；殡葬规划落后于国土空间规划，与其衔接不够。</w:t>
      </w:r>
    </w:p>
    <w:p w14:paraId="3C1E861C">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为落实《随州市民政事业发展“十四五”规划》关于“殡葬事业”发展目标，进一步加强殡葬管理，积极、稳妥、有序推进殡葬改革；最大限度集约资源、保护生态、移风易俗；优化殡葬设施总体布局，补齐殡葬设施短板，支持殡仪设施提档升级，切实解决农村散埋乱葬问题，改善城乡人居环境，更好</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地</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满足人民群众殡葬服务需求，同时实现广水殡葬事业高质量发展，结合广水市城市建设实际情况和国土空间规划相关成果，编制《广水市殡葬设施专项规划（2021—2035年）》（以下简称“本规划”）。</w:t>
      </w:r>
    </w:p>
    <w:p w14:paraId="7A0BB8BC">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3" w:name="_Toc200565603"/>
      <w:r>
        <w:rPr>
          <w:rFonts w:hint="eastAsia" w:ascii="Times New Roman" w:hAnsi="Times New Roman" w:eastAsia="仿宋" w:cs="Times New Roman"/>
          <w:b w:val="0"/>
          <w:bCs w:val="0"/>
          <w:color w:val="000000" w:themeColor="text1"/>
          <w:szCs w:val="24"/>
          <w14:textFill>
            <w14:solidFill>
              <w14:schemeClr w14:val="tx1"/>
            </w14:solidFill>
          </w14:textFill>
        </w:rPr>
        <w:t>规划范围</w:t>
      </w:r>
      <w:bookmarkEnd w:id="3"/>
    </w:p>
    <w:p w14:paraId="2EBAF8F6">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 xml:space="preserve">本次规划范围为广水市行政辖区内的国土空间，包括市域和中心城区两个层次。 </w:t>
      </w:r>
    </w:p>
    <w:p w14:paraId="55EDC829">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市域范围包括应山街道、十里街道、城郊街道、广水街道、武胜关镇、杨寨镇、长岭镇、郝店镇、李店镇、马坪镇、余店镇、蔡河镇、吴店镇、陈巷镇、骆店镇、关庙镇、太平镇、广水市经济开发区，共4个街道办事处、13个镇及1个经济开发区。</w:t>
      </w:r>
    </w:p>
    <w:p w14:paraId="1E24C216">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中心城区范围为75.78平方公里。包括应山街道、广水街道、十里街道、城郊街道以及武胜关镇镇区。</w:t>
      </w:r>
    </w:p>
    <w:p w14:paraId="03367CC5">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4" w:name="_Toc200565604"/>
      <w:r>
        <w:rPr>
          <w:rFonts w:hint="eastAsia" w:ascii="Times New Roman" w:hAnsi="Times New Roman" w:eastAsia="仿宋" w:cs="Times New Roman"/>
          <w:b w:val="0"/>
          <w:bCs w:val="0"/>
          <w:color w:val="000000" w:themeColor="text1"/>
          <w:szCs w:val="24"/>
          <w14:textFill>
            <w14:solidFill>
              <w14:schemeClr w14:val="tx1"/>
            </w14:solidFill>
          </w14:textFill>
        </w:rPr>
        <w:t>规划原则</w:t>
      </w:r>
      <w:bookmarkEnd w:id="4"/>
    </w:p>
    <w:p w14:paraId="5C5D3C93">
      <w:pPr>
        <w:spacing w:line="600" w:lineRule="exact"/>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（1）多规协调，合理布局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。与新一轮国土空间规划相协调，统筹考虑城乡规划、土地利用规划、生态红线规划、林地保护利用规划、绿地系统规划等要求，结合设施服务半径、交通可达性、殡葬设施管理等要求合理布局。</w:t>
      </w:r>
    </w:p>
    <w:p w14:paraId="7FE9B748">
      <w:pPr>
        <w:spacing w:line="600" w:lineRule="exact"/>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（2）节约集约，存量挖潜。</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坚持殡葬改革方向，节约用地，贯彻少占地、不占地、复合利用土地的原则，加强现有殡葬设施的复合利用。合理引导，逐步过渡，积极发展生态殡葬，推广骨灰树葬、花坛葬、草坪葬等少占地、不占地的生态型葬式，实现葬式节地化。</w:t>
      </w:r>
    </w:p>
    <w:p w14:paraId="44293ADE">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加强对现有殡葬设施存量空间的利用，提高现有殡葬设施的服务能力和服务水平。</w:t>
      </w:r>
    </w:p>
    <w:p w14:paraId="7CC43E45">
      <w:pPr>
        <w:spacing w:line="600" w:lineRule="exact"/>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（3）统筹平衡，差异配置。</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在现状城乡发展差异的基础上提倡殡葬设施相对均衡，因时因地制宜，满足不同人群多样化需求。</w:t>
      </w:r>
    </w:p>
    <w:p w14:paraId="0F95E54A">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（4）适度前瞻，永续发展</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。综合考虑广水市经济社会发展水平，结合殡葬改革的发展方向，既要满足殡葬设施未来长远发展的要求，又要结合殡葬设施当前实施条件，处理好规划的前瞻性与近期操作的关系。</w:t>
      </w:r>
    </w:p>
    <w:p w14:paraId="048A040E">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（5）以人为本，人文关怀。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坚持贯彻殡葬改革精神，适当兼顾丧葬习俗，设施布局方便群众祭扫，使殡葬场所成为生命文化的集中体现。</w:t>
      </w:r>
    </w:p>
    <w:p w14:paraId="3DCA3B18">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5" w:name="_Toc200565605"/>
      <w:r>
        <w:rPr>
          <w:rFonts w:hint="eastAsia" w:ascii="Times New Roman" w:hAnsi="Times New Roman" w:eastAsia="仿宋" w:cs="Times New Roman"/>
          <w:b w:val="0"/>
          <w:bCs w:val="0"/>
          <w:color w:val="000000" w:themeColor="text1"/>
          <w:szCs w:val="24"/>
          <w14:textFill>
            <w14:solidFill>
              <w14:schemeClr w14:val="tx1"/>
            </w14:solidFill>
          </w14:textFill>
        </w:rPr>
        <w:t>规划对象</w:t>
      </w:r>
      <w:bookmarkEnd w:id="5"/>
    </w:p>
    <w:p w14:paraId="1249CF6E">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殡葬服务设施，即为开展殡葬活动而建立的殡仪设施、墓地设施和骨灰安放设施的统称，包括殡仪馆、殡仪服务中心、城市公益性公墓、农村公益性公墓、骨灰堂。</w:t>
      </w:r>
    </w:p>
    <w:p w14:paraId="34A75BEB">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6" w:name="_Toc200565606"/>
      <w:r>
        <w:rPr>
          <w:rFonts w:hint="eastAsia" w:ascii="Times New Roman" w:hAnsi="Times New Roman" w:eastAsia="仿宋" w:cs="Times New Roman"/>
          <w:b w:val="0"/>
          <w:bCs w:val="0"/>
          <w:color w:val="000000" w:themeColor="text1"/>
          <w:szCs w:val="24"/>
          <w14:textFill>
            <w14:solidFill>
              <w14:schemeClr w14:val="tx1"/>
            </w14:solidFill>
          </w14:textFill>
        </w:rPr>
        <w:t>规划期限</w:t>
      </w:r>
      <w:bookmarkEnd w:id="6"/>
    </w:p>
    <w:p w14:paraId="137E1F9D">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规划期限与国土空间规划保持一致，规划基期年为2020年，期限为2021-2035年，近期目标年至2025年，中期目标年至2030年，远景目标年至2035年。</w:t>
      </w:r>
    </w:p>
    <w:p w14:paraId="688F8A52">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7" w:name="_Toc200565607"/>
      <w:r>
        <w:rPr>
          <w:rFonts w:hint="eastAsia" w:ascii="Times New Roman" w:hAnsi="Times New Roman" w:eastAsia="仿宋" w:cs="Times New Roman"/>
          <w:b w:val="0"/>
          <w:bCs w:val="0"/>
          <w:color w:val="000000" w:themeColor="text1"/>
          <w:szCs w:val="24"/>
          <w14:textFill>
            <w14:solidFill>
              <w14:schemeClr w14:val="tx1"/>
            </w14:solidFill>
          </w14:textFill>
        </w:rPr>
        <w:t>规划目标</w:t>
      </w:r>
      <w:bookmarkEnd w:id="7"/>
    </w:p>
    <w:p w14:paraId="65BA6625">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应立足自身实际发展情况，构建惠民保障政策体系健全、土地利用生态集约、文化内涵健康与“生态宜居城市”相适宜的现代殡葬体系。积极推进殡葬改革，至规划期末全面实现广水市生态殡葬、文明殡葬、智慧殡葬、惠民殡葬的发展总目标。</w:t>
      </w:r>
    </w:p>
    <w:p w14:paraId="3AED8B09">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惠民殡葬</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——殡葬服务普遍惠及。着力补齐惠民殡葬政策上的短板，进一步提高殡葬基本服务质量，在多方面切实减轻人民群众丧葬负担。</w:t>
      </w:r>
    </w:p>
    <w:p w14:paraId="45FB99D5">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生态殡葬</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——生态安葬全面推广。推行不占或少占土地、少耗资源的节地生态安葬方式，推广骨灰堂安放、壁葬、树葬、花坛葬、撒散等多样化节地生态葬法。</w:t>
      </w:r>
    </w:p>
    <w:p w14:paraId="604957BE">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文明殡葬</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——公益设施做强做优。统筹推进与区域人口数量相适应的覆盖城乡居民的公益性安葬（放）骨灰存放设施建设，每个镇至少建有一个镇级公益性安葬（放）设施，村级公益性公墓覆盖到每个村。</w:t>
      </w:r>
    </w:p>
    <w:p w14:paraId="78B80C48">
      <w:pPr>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智慧殡葬</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——智慧殡葬加强建设，积极推进“互联网+殡葬”信息化建设，全面推广应用省殡葬管理服务信息系统，实现纵向贯通、横向互联、信息共享、业务协同的殡葬管理信息化发展</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格局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，殡葬信息化水平明显提高。</w:t>
      </w:r>
    </w:p>
    <w:p w14:paraId="47BC1473">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8" w:name="_Toc200565608"/>
      <w:r>
        <w:rPr>
          <w:rFonts w:hint="eastAsia" w:ascii="Times New Roman" w:hAnsi="Times New Roman" w:eastAsia="仿宋" w:cs="Times New Roman"/>
          <w:b w:val="0"/>
          <w:bCs w:val="0"/>
          <w:color w:val="000000" w:themeColor="text1"/>
          <w:szCs w:val="24"/>
          <w14:textFill>
            <w14:solidFill>
              <w14:schemeClr w14:val="tx1"/>
            </w14:solidFill>
          </w14:textFill>
        </w:rPr>
        <w:t>指标体系</w:t>
      </w:r>
      <w:bookmarkEnd w:id="8"/>
    </w:p>
    <w:p w14:paraId="15696801">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到2025年底，广水市殡葬管理趋于规范，服务设施基本建立，服务功能较为齐全，实现基本殡葬公共服务均等化，群众依法治丧办丧的意识显著增强。广水市全域依法划定为火葬区，全域实施火葬，禁止骨灰装棺土葬。城乡公益性公墓覆盖所有镇（街道）、村（社区）。“禁葬区”等重点区域散埋乱葬坟墓得到有效治理。</w:t>
      </w:r>
    </w:p>
    <w:p w14:paraId="07C7BB3E">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到2035年，广水市殡葬服务设施有1所符合标准化要求的市级殡仪馆；16处镇级殡仪服务中心，确保每个镇（街道）建设1处殡仪服务中心，作为殡仪馆殡仪服务的延伸，承接部分殡仪馆工作业务和属地政府交办的殡葬管理工作业务；公益性安葬（放）设施镇级、村级服务全覆盖，包括1处市级公益性公墓并附建1处市级骨灰堂，15处镇级公益性公墓、341处村级公益性公墓；</w:t>
      </w:r>
      <w:bookmarkStart w:id="9" w:name="OLE_LINK7"/>
      <w:bookmarkStart w:id="10" w:name="OLE_LINK9"/>
      <w:bookmarkStart w:id="11" w:name="OLE_LINK8"/>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树葬、花坛葬、草坪葬比例不断提升，有序</w:t>
      </w:r>
      <w:r>
        <w:rPr>
          <w:rFonts w:ascii="Times New Roman" w:hAnsi="Times New Roman" w:eastAsia="仿宋" w:cs="Times New Roman"/>
          <w:color w:val="000000" w:themeColor="text1"/>
          <w:sz w:val="32"/>
          <w:szCs w:val="24"/>
          <w14:textFill>
            <w14:solidFill>
              <w14:schemeClr w14:val="tx1"/>
            </w14:solidFill>
          </w14:textFill>
          <w14:ligatures w14:val="standardContextual"/>
        </w:rPr>
        <w:t>引导</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城镇开发边界内零散坟墓迁移集中安葬</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（安</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放）</w:t>
      </w:r>
      <w:bookmarkEnd w:id="9"/>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w:t>
      </w:r>
      <w:bookmarkEnd w:id="10"/>
      <w:bookmarkEnd w:id="11"/>
    </w:p>
    <w:p w14:paraId="1466FAF0">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12" w:name="_Toc200565609"/>
      <w:r>
        <w:rPr>
          <w:rFonts w:hint="eastAsia" w:ascii="Times New Roman" w:hAnsi="Times New Roman" w:eastAsia="仿宋" w:cs="Times New Roman"/>
          <w:b w:val="0"/>
          <w:bCs w:val="0"/>
          <w:color w:val="000000" w:themeColor="text1"/>
          <w:szCs w:val="24"/>
          <w14:textFill>
            <w14:solidFill>
              <w14:schemeClr w14:val="tx1"/>
            </w14:solidFill>
          </w14:textFill>
        </w:rPr>
        <w:t>规划依据</w:t>
      </w:r>
      <w:bookmarkEnd w:id="12"/>
    </w:p>
    <w:p w14:paraId="4DB5929E">
      <w:pPr>
        <w:widowControl/>
        <w:spacing w:line="560" w:lineRule="exact"/>
        <w:ind w:left="56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w:t>
      </w:r>
      <w:r>
        <w:rPr>
          <w:rFonts w:ascii="Times New Roman" w:hAnsi="Times New Roman" w:eastAsia="仿宋" w:cs="Times New Roman"/>
          <w:color w:val="000000" w:themeColor="text1"/>
          <w:sz w:val="32"/>
          <w:szCs w:val="24"/>
          <w14:textFill>
            <w14:solidFill>
              <w14:schemeClr w14:val="tx1"/>
            </w14:solidFill>
          </w14:textFill>
          <w14:ligatures w14:val="standardContextual"/>
        </w:rPr>
        <w:t>《中华人民共和国土地管理法》（2019年修正）</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w:t>
      </w:r>
    </w:p>
    <w:p w14:paraId="49C69189">
      <w:pPr>
        <w:widowControl/>
        <w:spacing w:line="560" w:lineRule="exact"/>
        <w:ind w:left="56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w:t>
      </w:r>
      <w:r>
        <w:rPr>
          <w:rFonts w:ascii="Times New Roman" w:hAnsi="Times New Roman" w:eastAsia="仿宋" w:cs="Times New Roman"/>
          <w:color w:val="000000" w:themeColor="text1"/>
          <w:sz w:val="32"/>
          <w:szCs w:val="24"/>
          <w14:textFill>
            <w14:solidFill>
              <w14:schemeClr w14:val="tx1"/>
            </w14:solidFill>
          </w14:textFill>
          <w14:ligatures w14:val="standardContextual"/>
        </w:rPr>
        <w:t>《中华人民共和国城乡规划法》（2019年修正）</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w:t>
      </w:r>
    </w:p>
    <w:p w14:paraId="61CA2250">
      <w:pPr>
        <w:widowControl/>
        <w:spacing w:line="560" w:lineRule="exact"/>
        <w:ind w:left="56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w:t>
      </w:r>
      <w:r>
        <w:rPr>
          <w:rFonts w:ascii="Times New Roman" w:hAnsi="Times New Roman" w:eastAsia="仿宋" w:cs="Times New Roman"/>
          <w:color w:val="000000" w:themeColor="text1"/>
          <w:sz w:val="32"/>
          <w:szCs w:val="24"/>
          <w14:textFill>
            <w14:solidFill>
              <w14:schemeClr w14:val="tx1"/>
            </w14:solidFill>
          </w14:textFill>
          <w14:ligatures w14:val="standardContextual"/>
        </w:rPr>
        <w:t>《中华人民共和国森林法》（2019年修订）</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w:t>
      </w:r>
    </w:p>
    <w:p w14:paraId="22934655">
      <w:pPr>
        <w:widowControl/>
        <w:spacing w:line="560" w:lineRule="exact"/>
        <w:ind w:left="56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4.《城市规划编制办法》（2006年）;</w:t>
      </w:r>
    </w:p>
    <w:p w14:paraId="06FDFA9B">
      <w:pPr>
        <w:widowControl/>
        <w:spacing w:line="560" w:lineRule="exact"/>
        <w:ind w:left="56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5.《殡葬管理条例》（国务院令[1997]225号）（2012年修正版）;</w:t>
      </w:r>
    </w:p>
    <w:p w14:paraId="5883C9F9">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6.《城市公益性公墓建设标准》</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JB182-2017</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52E8421A">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7.《公墓和骨灰寄存建筑设计规范》</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JGJ/397-2016</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333CC7D2">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8.</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《殡葬术语》（GB/T23287-2009）</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3DCA9E1A">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9.</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《关于党员干部带头推动殡葬改革的意见》（中办发[2013]23号）</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21202AFB">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10.</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《湖北省殡葬管理办法》（湖北省人民政府令第204号）</w:t>
      </w:r>
      <w:bookmarkStart w:id="35" w:name="_GoBack"/>
      <w:bookmarkEnd w:id="35"/>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6A1DA95C">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11.</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《市委办公室市政府办公室印发&lt;关于推进殡葬改革的实施意见&gt;的通知》（随办发〔2021〕7号）</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0EF727E2">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12.</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《&lt;关于深化殡葬改革推进全域火葬的工作方案&gt;的通知》（随殡改发〔2023〕2号）</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3AC1CD70">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13.</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《广水市人民政府关于实施全域火葬的通告》</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37F30E57">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14.</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《关于推进殡葬改革的实施意见（征求意见稿）》</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0279F27B">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15.</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《广水市人民政府关于划定禁葬区的通告（征求意见稿）》</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1B58081E">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16.</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《随州市民政事业发展“十四五”规划》</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1B3C198E">
      <w:pPr>
        <w:widowControl/>
        <w:spacing w:line="560" w:lineRule="exact"/>
        <w:ind w:left="560"/>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t>17.</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《广水市国土空间总体规划（2021-2035年）（征求意见稿）》</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p>
    <w:p w14:paraId="6BAD1EF8">
      <w:pPr>
        <w:rPr>
          <w:rFonts w:ascii="Times New Roman" w:hAnsi="Times New Roman" w:eastAsia="仿宋"/>
        </w:rPr>
      </w:pPr>
    </w:p>
    <w:p w14:paraId="6B8A0DBF">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13" w:name="_Toc200565610"/>
      <w:r>
        <w:rPr>
          <w:rFonts w:hint="eastAsia" w:ascii="Times New Roman" w:hAnsi="Times New Roman" w:eastAsia="仿宋" w:cs="Times New Roman"/>
          <w:color w:val="000000" w:themeColor="text1"/>
          <w:sz w:val="40"/>
          <w:szCs w:val="40"/>
          <w14:textFill>
            <w14:solidFill>
              <w14:schemeClr w14:val="tx1"/>
            </w14:solidFill>
          </w14:textFill>
        </w:rPr>
        <w:t>发展现状</w:t>
      </w:r>
      <w:bookmarkEnd w:id="13"/>
    </w:p>
    <w:p w14:paraId="2A3E49C1">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14" w:name="_Toc200565611"/>
      <w:r>
        <w:rPr>
          <w:rFonts w:hint="eastAsia" w:ascii="Times New Roman" w:hAnsi="Times New Roman" w:eastAsia="仿宋" w:cs="Times New Roman"/>
          <w:b w:val="0"/>
          <w:bCs w:val="0"/>
          <w:color w:val="000000" w:themeColor="text1"/>
          <w:szCs w:val="24"/>
          <w14:textFill>
            <w14:solidFill>
              <w14:schemeClr w14:val="tx1"/>
            </w14:solidFill>
          </w14:textFill>
        </w:rPr>
        <w:t>设施现状</w:t>
      </w:r>
      <w:bookmarkEnd w:id="14"/>
    </w:p>
    <w:p w14:paraId="32A04436">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（1）总体概况</w:t>
      </w:r>
    </w:p>
    <w:p w14:paraId="49658FF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全市现状殡葬设施共分两类三级，殡仪设施按照殡仪馆和殡仪服务中心两</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类</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进行配置，公墓划分为市、镇、村三级公益性公墓。其中市级殡仪馆1处（广水市殡仪馆），镇级殡仪服务中心16处；市级公益性公墓1处，位于城郊街道马蹄桥村；卧龙山公墓位于广水市经济开发区双岗社区；全市15个镇街所属镇级公墓15处，村级公墓341处均已全部建设完成，基本实现安葬设施全镇村覆盖，</w:t>
      </w:r>
      <w:r>
        <w:rPr>
          <w:rFonts w:ascii="Times New Roman" w:hAnsi="Times New Roman" w:eastAsia="仿宋" w:cs="Times New Roman"/>
          <w:color w:val="000000" w:themeColor="text1"/>
          <w:sz w:val="32"/>
          <w:szCs w:val="24"/>
          <w14:textFill>
            <w14:solidFill>
              <w14:schemeClr w14:val="tx1"/>
            </w14:solidFill>
          </w14:textFill>
          <w14:ligatures w14:val="standardContextual"/>
        </w:rPr>
        <w:t>其中</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 xml:space="preserve">305处公墓备案管理（2处公墓已办理手续），54处公墓封闭管理。 </w:t>
      </w:r>
    </w:p>
    <w:p w14:paraId="5850504B">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（2）现状殡葬设施基本情况分析</w:t>
      </w:r>
    </w:p>
    <w:p w14:paraId="1C25201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广水市殡仪馆于2012年落户城郊办事处马蹄桥村，由原大邦路殡仪馆迁建。殡仪馆占地面积113亩，建筑面积11000平方米，绿化面积40%以上。</w:t>
      </w:r>
    </w:p>
    <w:p w14:paraId="574DF4B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广水市级公益性公墓位于城郊办事处马蹄桥村，项目用地133亩，规划墓穴39000穴。</w:t>
      </w:r>
    </w:p>
    <w:p w14:paraId="64B1035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卧龙山公墓位于广水市经济开发区双岗社区，该公墓与印台山文化生态园西门隔路相望，</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占地</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约68亩，建有墓穴</w:t>
      </w:r>
      <w:r>
        <w:rPr>
          <w:rFonts w:ascii="Times New Roman" w:hAnsi="Times New Roman" w:eastAsia="仿宋" w:cs="Times New Roman"/>
          <w:color w:val="000000" w:themeColor="text1"/>
          <w:sz w:val="32"/>
          <w:szCs w:val="24"/>
          <w14:textFill>
            <w14:solidFill>
              <w14:schemeClr w14:val="tx1"/>
            </w14:solidFill>
          </w14:textFill>
          <w14:ligatures w14:val="standardContextual"/>
        </w:rPr>
        <w:t>1052</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穴，安葬</w:t>
      </w:r>
      <w:r>
        <w:rPr>
          <w:rFonts w:ascii="Times New Roman" w:hAnsi="Times New Roman" w:eastAsia="仿宋" w:cs="Times New Roman"/>
          <w:color w:val="000000" w:themeColor="text1"/>
          <w:sz w:val="32"/>
          <w:szCs w:val="24"/>
          <w14:textFill>
            <w14:solidFill>
              <w14:schemeClr w14:val="tx1"/>
            </w14:solidFill>
          </w14:textFill>
          <w14:ligatures w14:val="standardContextual"/>
        </w:rPr>
        <w:t>932</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穴；公墓处于城市建成区范围内，除安葬墓外，配套设施及环境绿化缺失，影响该区域发展建设及生态环境，</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同时</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处于“三沿五区”整治范围内</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目前已关停，进行封闭管理。</w:t>
      </w:r>
    </w:p>
    <w:p w14:paraId="75D90C2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 xml:space="preserve">现状16个镇级殡仪服务中心，用地面积在200-1000 ㎡之间。包括：城郊街道殡仪服务中心、十里街道殡仪服务中心、广水街道殡仪服务中心、武胜关镇殡仪服务中心、马坪镇殡仪服务中心、余店镇殡仪服务中心、长岭镇殡仪服务中心、太平镇殡仪服务中心、蔡河镇殡仪服务中心、李店镇殡仪服务中心、关庙镇殡仪服务中心、吴店镇殡仪服务中心、郝店镇殡仪服务中心、骆店镇殡仪服务中心、杨寨镇殡仪服务中心、陈巷镇殡仪服务中心。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3139"/>
        <w:gridCol w:w="2862"/>
        <w:gridCol w:w="1843"/>
      </w:tblGrid>
      <w:tr w14:paraId="0E42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000" w:type="pct"/>
            <w:gridSpan w:val="4"/>
            <w:shd w:val="clear" w:color="auto" w:fill="auto"/>
            <w:noWrap/>
            <w:vAlign w:val="center"/>
          </w:tcPr>
          <w:p w14:paraId="22B4D458">
            <w:pPr>
              <w:widowControl/>
              <w:jc w:val="center"/>
              <w:rPr>
                <w:rFonts w:ascii="Times New Roman" w:hAnsi="Times New Roman" w:eastAsia="仿宋" w:cs="宋体"/>
                <w:color w:val="000000"/>
                <w:kern w:val="0"/>
                <w:sz w:val="22"/>
              </w:rPr>
            </w:pPr>
            <w:r>
              <w:rPr>
                <w:rFonts w:hint="eastAsia" w:ascii="Times New Roman" w:hAnsi="Times New Roman" w:eastAsia="仿宋" w:cs="宋体"/>
                <w:b/>
                <w:bCs/>
                <w:color w:val="000000"/>
                <w:kern w:val="0"/>
                <w:szCs w:val="28"/>
              </w:rPr>
              <w:t>表2.1镇级殡仪服务中心</w:t>
            </w:r>
          </w:p>
        </w:tc>
      </w:tr>
      <w:tr w14:paraId="6E2F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3B1FAAC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序号</w:t>
            </w:r>
          </w:p>
        </w:tc>
        <w:tc>
          <w:tcPr>
            <w:tcW w:w="1842" w:type="pct"/>
            <w:shd w:val="clear" w:color="auto" w:fill="auto"/>
            <w:noWrap/>
            <w:vAlign w:val="center"/>
          </w:tcPr>
          <w:p w14:paraId="48E72E2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项目名称</w:t>
            </w:r>
          </w:p>
        </w:tc>
        <w:tc>
          <w:tcPr>
            <w:tcW w:w="1679" w:type="pct"/>
            <w:shd w:val="clear" w:color="auto" w:fill="auto"/>
            <w:noWrap/>
            <w:vAlign w:val="center"/>
          </w:tcPr>
          <w:p w14:paraId="67E20E7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位置</w:t>
            </w:r>
          </w:p>
        </w:tc>
        <w:tc>
          <w:tcPr>
            <w:tcW w:w="1081" w:type="pct"/>
            <w:shd w:val="clear" w:color="auto" w:fill="auto"/>
            <w:noWrap/>
            <w:vAlign w:val="center"/>
          </w:tcPr>
          <w:p w14:paraId="6651E0F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建筑面积</w:t>
            </w:r>
          </w:p>
        </w:tc>
      </w:tr>
      <w:tr w14:paraId="31BB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2B46715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w:t>
            </w:r>
          </w:p>
        </w:tc>
        <w:tc>
          <w:tcPr>
            <w:tcW w:w="1842" w:type="pct"/>
            <w:shd w:val="clear" w:color="auto" w:fill="auto"/>
            <w:noWrap/>
            <w:vAlign w:val="center"/>
          </w:tcPr>
          <w:p w14:paraId="4876B07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城郊街道殡仪服务中心</w:t>
            </w:r>
          </w:p>
        </w:tc>
        <w:tc>
          <w:tcPr>
            <w:tcW w:w="1679" w:type="pct"/>
            <w:shd w:val="clear" w:color="auto" w:fill="auto"/>
            <w:noWrap/>
            <w:vAlign w:val="center"/>
          </w:tcPr>
          <w:p w14:paraId="0C5C458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长辛村异地搬迁集中点</w:t>
            </w:r>
          </w:p>
        </w:tc>
        <w:tc>
          <w:tcPr>
            <w:tcW w:w="1081" w:type="pct"/>
            <w:shd w:val="clear" w:color="auto" w:fill="auto"/>
            <w:noWrap/>
            <w:vAlign w:val="center"/>
          </w:tcPr>
          <w:p w14:paraId="4AE441C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600㎡</w:t>
            </w:r>
          </w:p>
        </w:tc>
      </w:tr>
      <w:tr w14:paraId="4083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37CDBE6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w:t>
            </w:r>
          </w:p>
        </w:tc>
        <w:tc>
          <w:tcPr>
            <w:tcW w:w="1842" w:type="pct"/>
            <w:shd w:val="clear" w:color="auto" w:fill="auto"/>
            <w:noWrap/>
            <w:vAlign w:val="center"/>
          </w:tcPr>
          <w:p w14:paraId="6B0EA4E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十里街道殡仪服务中心</w:t>
            </w:r>
          </w:p>
        </w:tc>
        <w:tc>
          <w:tcPr>
            <w:tcW w:w="1679" w:type="pct"/>
            <w:shd w:val="clear" w:color="auto" w:fill="auto"/>
            <w:noWrap/>
            <w:vAlign w:val="center"/>
          </w:tcPr>
          <w:p w14:paraId="2BD8F4D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王家棚村异地搬迁房</w:t>
            </w:r>
          </w:p>
        </w:tc>
        <w:tc>
          <w:tcPr>
            <w:tcW w:w="1081" w:type="pct"/>
            <w:shd w:val="clear" w:color="auto" w:fill="auto"/>
            <w:noWrap/>
            <w:vAlign w:val="center"/>
          </w:tcPr>
          <w:p w14:paraId="3D354AC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175㎡</w:t>
            </w:r>
          </w:p>
        </w:tc>
      </w:tr>
      <w:tr w14:paraId="463F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3BE3A58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w:t>
            </w:r>
          </w:p>
        </w:tc>
        <w:tc>
          <w:tcPr>
            <w:tcW w:w="1842" w:type="pct"/>
            <w:shd w:val="clear" w:color="auto" w:fill="auto"/>
            <w:noWrap/>
            <w:vAlign w:val="center"/>
          </w:tcPr>
          <w:p w14:paraId="2752782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广水街道殡仪服务中心</w:t>
            </w:r>
          </w:p>
        </w:tc>
        <w:tc>
          <w:tcPr>
            <w:tcW w:w="1679" w:type="pct"/>
            <w:shd w:val="clear" w:color="auto" w:fill="auto"/>
            <w:noWrap/>
            <w:vAlign w:val="center"/>
          </w:tcPr>
          <w:p w14:paraId="21D81B8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苹果山</w:t>
            </w:r>
          </w:p>
        </w:tc>
        <w:tc>
          <w:tcPr>
            <w:tcW w:w="1081" w:type="pct"/>
            <w:shd w:val="clear" w:color="auto" w:fill="auto"/>
            <w:noWrap/>
            <w:vAlign w:val="center"/>
          </w:tcPr>
          <w:p w14:paraId="7AA5D09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240㎡</w:t>
            </w:r>
          </w:p>
        </w:tc>
      </w:tr>
      <w:tr w14:paraId="4C84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419004F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w:t>
            </w:r>
          </w:p>
        </w:tc>
        <w:tc>
          <w:tcPr>
            <w:tcW w:w="1842" w:type="pct"/>
            <w:shd w:val="clear" w:color="auto" w:fill="auto"/>
            <w:noWrap/>
            <w:vAlign w:val="center"/>
          </w:tcPr>
          <w:p w14:paraId="4D1C08F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武胜关镇殡仪服务中心</w:t>
            </w:r>
          </w:p>
        </w:tc>
        <w:tc>
          <w:tcPr>
            <w:tcW w:w="1679" w:type="pct"/>
            <w:shd w:val="clear" w:color="auto" w:fill="auto"/>
            <w:noWrap/>
            <w:vAlign w:val="center"/>
          </w:tcPr>
          <w:p w14:paraId="4791E31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腊水河村</w:t>
            </w:r>
          </w:p>
        </w:tc>
        <w:tc>
          <w:tcPr>
            <w:tcW w:w="1081" w:type="pct"/>
            <w:shd w:val="clear" w:color="auto" w:fill="auto"/>
            <w:noWrap/>
            <w:vAlign w:val="center"/>
          </w:tcPr>
          <w:p w14:paraId="42C2F6D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320㎡</w:t>
            </w:r>
          </w:p>
        </w:tc>
      </w:tr>
      <w:tr w14:paraId="7B73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7EDE04A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w:t>
            </w:r>
          </w:p>
        </w:tc>
        <w:tc>
          <w:tcPr>
            <w:tcW w:w="1842" w:type="pct"/>
            <w:shd w:val="clear" w:color="auto" w:fill="auto"/>
            <w:noWrap/>
            <w:vAlign w:val="center"/>
          </w:tcPr>
          <w:p w14:paraId="2665147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马坪镇殡仪服务中心</w:t>
            </w:r>
          </w:p>
        </w:tc>
        <w:tc>
          <w:tcPr>
            <w:tcW w:w="1679" w:type="pct"/>
            <w:shd w:val="clear" w:color="auto" w:fill="auto"/>
            <w:noWrap/>
            <w:vAlign w:val="center"/>
          </w:tcPr>
          <w:p w14:paraId="0ECE1F7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车站村11组</w:t>
            </w:r>
          </w:p>
        </w:tc>
        <w:tc>
          <w:tcPr>
            <w:tcW w:w="1081" w:type="pct"/>
            <w:shd w:val="clear" w:color="auto" w:fill="auto"/>
            <w:noWrap/>
            <w:vAlign w:val="center"/>
          </w:tcPr>
          <w:p w14:paraId="149A386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100㎡</w:t>
            </w:r>
          </w:p>
        </w:tc>
      </w:tr>
      <w:tr w14:paraId="5406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1C1F4E5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6</w:t>
            </w:r>
          </w:p>
        </w:tc>
        <w:tc>
          <w:tcPr>
            <w:tcW w:w="1842" w:type="pct"/>
            <w:shd w:val="clear" w:color="auto" w:fill="auto"/>
            <w:noWrap/>
            <w:vAlign w:val="center"/>
          </w:tcPr>
          <w:p w14:paraId="780D345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余店镇殡仪服务中心</w:t>
            </w:r>
          </w:p>
        </w:tc>
        <w:tc>
          <w:tcPr>
            <w:tcW w:w="1679" w:type="pct"/>
            <w:shd w:val="clear" w:color="auto" w:fill="auto"/>
            <w:noWrap/>
            <w:vAlign w:val="center"/>
          </w:tcPr>
          <w:p w14:paraId="2D9E24E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余店社区北桥村</w:t>
            </w:r>
          </w:p>
        </w:tc>
        <w:tc>
          <w:tcPr>
            <w:tcW w:w="1081" w:type="pct"/>
            <w:shd w:val="clear" w:color="auto" w:fill="auto"/>
            <w:noWrap/>
            <w:vAlign w:val="center"/>
          </w:tcPr>
          <w:p w14:paraId="26F9B0F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1200㎡</w:t>
            </w:r>
          </w:p>
        </w:tc>
      </w:tr>
      <w:tr w14:paraId="5AF2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2650B17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7</w:t>
            </w:r>
          </w:p>
        </w:tc>
        <w:tc>
          <w:tcPr>
            <w:tcW w:w="1842" w:type="pct"/>
            <w:shd w:val="clear" w:color="auto" w:fill="auto"/>
            <w:noWrap/>
            <w:vAlign w:val="center"/>
          </w:tcPr>
          <w:p w14:paraId="00B4B65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长岭镇殡仪服务中心</w:t>
            </w:r>
          </w:p>
        </w:tc>
        <w:tc>
          <w:tcPr>
            <w:tcW w:w="1679" w:type="pct"/>
            <w:shd w:val="clear" w:color="auto" w:fill="auto"/>
            <w:noWrap/>
            <w:vAlign w:val="center"/>
          </w:tcPr>
          <w:p w14:paraId="2FC2E89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建设村3组</w:t>
            </w:r>
          </w:p>
        </w:tc>
        <w:tc>
          <w:tcPr>
            <w:tcW w:w="1081" w:type="pct"/>
            <w:shd w:val="clear" w:color="auto" w:fill="auto"/>
            <w:noWrap/>
            <w:vAlign w:val="center"/>
          </w:tcPr>
          <w:p w14:paraId="6362A8C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225㎡</w:t>
            </w:r>
          </w:p>
        </w:tc>
      </w:tr>
      <w:tr w14:paraId="3798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278B570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8</w:t>
            </w:r>
          </w:p>
        </w:tc>
        <w:tc>
          <w:tcPr>
            <w:tcW w:w="1842" w:type="pct"/>
            <w:shd w:val="clear" w:color="auto" w:fill="auto"/>
            <w:noWrap/>
            <w:vAlign w:val="center"/>
          </w:tcPr>
          <w:p w14:paraId="279725E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太平镇殡仪服务中心</w:t>
            </w:r>
          </w:p>
        </w:tc>
        <w:tc>
          <w:tcPr>
            <w:tcW w:w="1679" w:type="pct"/>
            <w:shd w:val="clear" w:color="auto" w:fill="auto"/>
            <w:noWrap/>
            <w:vAlign w:val="center"/>
          </w:tcPr>
          <w:p w14:paraId="6C96C24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太平社区老陈家岗荒坡地(镇级公墓旁)</w:t>
            </w:r>
          </w:p>
        </w:tc>
        <w:tc>
          <w:tcPr>
            <w:tcW w:w="1081" w:type="pct"/>
            <w:shd w:val="clear" w:color="auto" w:fill="auto"/>
            <w:noWrap/>
            <w:vAlign w:val="center"/>
          </w:tcPr>
          <w:p w14:paraId="6EA7D4B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140㎡</w:t>
            </w:r>
          </w:p>
        </w:tc>
      </w:tr>
      <w:tr w14:paraId="75D9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693CB3F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9</w:t>
            </w:r>
          </w:p>
        </w:tc>
        <w:tc>
          <w:tcPr>
            <w:tcW w:w="1842" w:type="pct"/>
            <w:shd w:val="clear" w:color="auto" w:fill="auto"/>
            <w:noWrap/>
            <w:vAlign w:val="center"/>
          </w:tcPr>
          <w:p w14:paraId="58D0ED0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蔡河镇殡仪服务中心</w:t>
            </w:r>
          </w:p>
        </w:tc>
        <w:tc>
          <w:tcPr>
            <w:tcW w:w="1679" w:type="pct"/>
            <w:shd w:val="clear" w:color="auto" w:fill="auto"/>
            <w:noWrap/>
            <w:vAlign w:val="center"/>
          </w:tcPr>
          <w:p w14:paraId="6222581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蔡河镇甸子山社区</w:t>
            </w:r>
          </w:p>
        </w:tc>
        <w:tc>
          <w:tcPr>
            <w:tcW w:w="1081" w:type="pct"/>
            <w:shd w:val="clear" w:color="auto" w:fill="auto"/>
            <w:noWrap/>
            <w:vAlign w:val="center"/>
          </w:tcPr>
          <w:p w14:paraId="5A9A8B2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200㎡</w:t>
            </w:r>
          </w:p>
        </w:tc>
      </w:tr>
      <w:tr w14:paraId="7009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2714B89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10</w:t>
            </w:r>
          </w:p>
        </w:tc>
        <w:tc>
          <w:tcPr>
            <w:tcW w:w="1842" w:type="pct"/>
            <w:shd w:val="clear" w:color="auto" w:fill="auto"/>
            <w:noWrap/>
            <w:vAlign w:val="center"/>
          </w:tcPr>
          <w:p w14:paraId="60FA509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李店镇殡仪服务中心</w:t>
            </w:r>
          </w:p>
        </w:tc>
        <w:tc>
          <w:tcPr>
            <w:tcW w:w="1679" w:type="pct"/>
            <w:shd w:val="clear" w:color="auto" w:fill="auto"/>
            <w:noWrap/>
            <w:vAlign w:val="center"/>
          </w:tcPr>
          <w:p w14:paraId="69EB926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新峰村阳平公路旁</w:t>
            </w:r>
          </w:p>
          <w:p w14:paraId="7DF2CBF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(镇级公墓东)</w:t>
            </w:r>
          </w:p>
        </w:tc>
        <w:tc>
          <w:tcPr>
            <w:tcW w:w="1081" w:type="pct"/>
            <w:shd w:val="clear" w:color="auto" w:fill="auto"/>
            <w:noWrap/>
            <w:vAlign w:val="center"/>
          </w:tcPr>
          <w:p w14:paraId="66874FB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405㎡</w:t>
            </w:r>
          </w:p>
        </w:tc>
      </w:tr>
      <w:tr w14:paraId="0D5E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29A2C18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11</w:t>
            </w:r>
          </w:p>
        </w:tc>
        <w:tc>
          <w:tcPr>
            <w:tcW w:w="1842" w:type="pct"/>
            <w:shd w:val="clear" w:color="auto" w:fill="auto"/>
            <w:noWrap/>
            <w:vAlign w:val="center"/>
          </w:tcPr>
          <w:p w14:paraId="63E8544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关庙镇殡仪服务中心</w:t>
            </w:r>
          </w:p>
        </w:tc>
        <w:tc>
          <w:tcPr>
            <w:tcW w:w="1679" w:type="pct"/>
            <w:shd w:val="clear" w:color="auto" w:fill="auto"/>
            <w:noWrap/>
            <w:vAlign w:val="center"/>
          </w:tcPr>
          <w:p w14:paraId="62F7078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xml:space="preserve">张湾村 </w:t>
            </w:r>
          </w:p>
        </w:tc>
        <w:tc>
          <w:tcPr>
            <w:tcW w:w="1081" w:type="pct"/>
            <w:shd w:val="clear" w:color="auto" w:fill="auto"/>
            <w:noWrap/>
            <w:vAlign w:val="center"/>
          </w:tcPr>
          <w:p w14:paraId="39E7D18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2000㎡</w:t>
            </w:r>
          </w:p>
        </w:tc>
      </w:tr>
      <w:tr w14:paraId="5643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0E52632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12</w:t>
            </w:r>
          </w:p>
        </w:tc>
        <w:tc>
          <w:tcPr>
            <w:tcW w:w="1842" w:type="pct"/>
            <w:shd w:val="clear" w:color="auto" w:fill="auto"/>
            <w:noWrap/>
            <w:vAlign w:val="center"/>
          </w:tcPr>
          <w:p w14:paraId="09B19C8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吴店镇殡仪服务中心</w:t>
            </w:r>
          </w:p>
        </w:tc>
        <w:tc>
          <w:tcPr>
            <w:tcW w:w="1679" w:type="pct"/>
            <w:shd w:val="clear" w:color="auto" w:fill="auto"/>
            <w:noWrap/>
            <w:vAlign w:val="center"/>
          </w:tcPr>
          <w:p w14:paraId="7DCF32C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中心社区小赵家湾</w:t>
            </w:r>
          </w:p>
        </w:tc>
        <w:tc>
          <w:tcPr>
            <w:tcW w:w="1081" w:type="pct"/>
            <w:shd w:val="clear" w:color="auto" w:fill="auto"/>
            <w:noWrap/>
            <w:vAlign w:val="center"/>
          </w:tcPr>
          <w:p w14:paraId="10DBAB3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300㎡</w:t>
            </w:r>
          </w:p>
        </w:tc>
      </w:tr>
      <w:tr w14:paraId="4894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794F83F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13</w:t>
            </w:r>
          </w:p>
        </w:tc>
        <w:tc>
          <w:tcPr>
            <w:tcW w:w="1842" w:type="pct"/>
            <w:shd w:val="clear" w:color="auto" w:fill="auto"/>
            <w:noWrap/>
            <w:vAlign w:val="center"/>
          </w:tcPr>
          <w:p w14:paraId="7A8649D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郝店镇殡仪服务中心</w:t>
            </w:r>
          </w:p>
        </w:tc>
        <w:tc>
          <w:tcPr>
            <w:tcW w:w="1679" w:type="pct"/>
            <w:shd w:val="clear" w:color="auto" w:fill="auto"/>
            <w:noWrap/>
            <w:vAlign w:val="center"/>
          </w:tcPr>
          <w:p w14:paraId="0CCC608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天生村高家坳</w:t>
            </w:r>
          </w:p>
        </w:tc>
        <w:tc>
          <w:tcPr>
            <w:tcW w:w="1081" w:type="pct"/>
            <w:shd w:val="clear" w:color="auto" w:fill="auto"/>
            <w:noWrap/>
            <w:vAlign w:val="center"/>
          </w:tcPr>
          <w:p w14:paraId="179EF7C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216㎡</w:t>
            </w:r>
          </w:p>
        </w:tc>
      </w:tr>
      <w:tr w14:paraId="0790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7BB369A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14</w:t>
            </w:r>
          </w:p>
        </w:tc>
        <w:tc>
          <w:tcPr>
            <w:tcW w:w="1842" w:type="pct"/>
            <w:shd w:val="clear" w:color="auto" w:fill="auto"/>
            <w:noWrap/>
            <w:vAlign w:val="center"/>
          </w:tcPr>
          <w:p w14:paraId="2CE9471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骆店镇殡仪服务中心</w:t>
            </w:r>
          </w:p>
        </w:tc>
        <w:tc>
          <w:tcPr>
            <w:tcW w:w="1679" w:type="pct"/>
            <w:shd w:val="clear" w:color="auto" w:fill="auto"/>
            <w:noWrap/>
            <w:vAlign w:val="center"/>
          </w:tcPr>
          <w:p w14:paraId="0C584CE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鲁班新村易地扶贫安置点</w:t>
            </w:r>
          </w:p>
        </w:tc>
        <w:tc>
          <w:tcPr>
            <w:tcW w:w="1081" w:type="pct"/>
            <w:shd w:val="clear" w:color="auto" w:fill="auto"/>
            <w:noWrap/>
            <w:vAlign w:val="center"/>
          </w:tcPr>
          <w:p w14:paraId="328A880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290㎡</w:t>
            </w:r>
          </w:p>
        </w:tc>
      </w:tr>
      <w:tr w14:paraId="4D13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5B61DC1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15</w:t>
            </w:r>
          </w:p>
        </w:tc>
        <w:tc>
          <w:tcPr>
            <w:tcW w:w="1842" w:type="pct"/>
            <w:shd w:val="clear" w:color="auto" w:fill="auto"/>
            <w:noWrap/>
            <w:vAlign w:val="center"/>
          </w:tcPr>
          <w:p w14:paraId="5445E43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杨寨镇殡仪服务中心</w:t>
            </w:r>
          </w:p>
        </w:tc>
        <w:tc>
          <w:tcPr>
            <w:tcW w:w="1679" w:type="pct"/>
            <w:shd w:val="clear" w:color="auto" w:fill="auto"/>
            <w:noWrap/>
            <w:vAlign w:val="center"/>
          </w:tcPr>
          <w:p w14:paraId="18517EE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杨榨村上陈家湾</w:t>
            </w:r>
          </w:p>
        </w:tc>
        <w:tc>
          <w:tcPr>
            <w:tcW w:w="1081" w:type="pct"/>
            <w:shd w:val="clear" w:color="auto" w:fill="auto"/>
            <w:noWrap/>
            <w:vAlign w:val="center"/>
          </w:tcPr>
          <w:p w14:paraId="097E4B1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480㎡</w:t>
            </w:r>
          </w:p>
        </w:tc>
      </w:tr>
      <w:tr w14:paraId="6D8F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auto"/>
            <w:noWrap/>
            <w:vAlign w:val="center"/>
          </w:tcPr>
          <w:p w14:paraId="083EE4B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16</w:t>
            </w:r>
          </w:p>
        </w:tc>
        <w:tc>
          <w:tcPr>
            <w:tcW w:w="1842" w:type="pct"/>
            <w:shd w:val="clear" w:color="auto" w:fill="auto"/>
            <w:noWrap/>
            <w:vAlign w:val="center"/>
          </w:tcPr>
          <w:p w14:paraId="6FD9C47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陈巷镇殡仪服务中心</w:t>
            </w:r>
          </w:p>
        </w:tc>
        <w:tc>
          <w:tcPr>
            <w:tcW w:w="1679" w:type="pct"/>
            <w:shd w:val="clear" w:color="auto" w:fill="auto"/>
            <w:noWrap/>
            <w:vAlign w:val="center"/>
          </w:tcPr>
          <w:p w14:paraId="105387C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梧桐村委会院内</w:t>
            </w:r>
          </w:p>
        </w:tc>
        <w:tc>
          <w:tcPr>
            <w:tcW w:w="1081" w:type="pct"/>
            <w:shd w:val="clear" w:color="auto" w:fill="auto"/>
            <w:noWrap/>
            <w:vAlign w:val="center"/>
          </w:tcPr>
          <w:p w14:paraId="6F8C1F0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400㎡</w:t>
            </w:r>
          </w:p>
        </w:tc>
      </w:tr>
    </w:tbl>
    <w:p w14:paraId="7DC1373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建有镇级公墓15处，包括关庙镇公益性公墓、马坪镇公益性公墓、长岭镇公益性公墓、武胜关镇公益性公墓、蔡河镇公益性公墓、广水街道公益性公墓、郝店镇公益性公墓、骆店镇公益性公墓、太平镇公益性公墓、李店镇公益性公墓、吴店镇公益性公墓、十里街道万福山公墓、陈巷镇公益性公墓、余店镇公益性公墓、杨寨镇公益性公墓，用地面积约</w:t>
      </w:r>
      <w:r>
        <w:rPr>
          <w:rFonts w:ascii="Times New Roman" w:hAnsi="Times New Roman" w:eastAsia="仿宋" w:cs="Times New Roman"/>
          <w:color w:val="000000" w:themeColor="text1"/>
          <w:sz w:val="32"/>
          <w:szCs w:val="24"/>
          <w14:textFill>
            <w14:solidFill>
              <w14:schemeClr w14:val="tx1"/>
            </w14:solidFill>
          </w14:textFill>
          <w14:ligatures w14:val="standardContextual"/>
        </w:rPr>
        <w:t>48.89</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亩。</w:t>
      </w:r>
    </w:p>
    <w:tbl>
      <w:tblPr>
        <w:tblStyle w:val="10"/>
        <w:tblW w:w="51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3904"/>
        <w:gridCol w:w="3203"/>
        <w:gridCol w:w="1130"/>
      </w:tblGrid>
      <w:tr w14:paraId="5B5E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000" w:type="pct"/>
            <w:gridSpan w:val="4"/>
            <w:shd w:val="clear" w:color="auto" w:fill="auto"/>
            <w:noWrap/>
            <w:vAlign w:val="center"/>
          </w:tcPr>
          <w:p w14:paraId="786F27FE">
            <w:pPr>
              <w:widowControl/>
              <w:jc w:val="center"/>
              <w:rPr>
                <w:rFonts w:ascii="Times New Roman" w:hAnsi="Times New Roman" w:eastAsia="仿宋" w:cs="宋体"/>
                <w:color w:val="000000"/>
                <w:kern w:val="0"/>
                <w:sz w:val="22"/>
              </w:rPr>
            </w:pPr>
            <w:r>
              <w:rPr>
                <w:rFonts w:hint="eastAsia" w:ascii="Times New Roman" w:hAnsi="Times New Roman" w:eastAsia="仿宋" w:cs="宋体"/>
                <w:b/>
                <w:bCs/>
                <w:color w:val="000000"/>
                <w:kern w:val="0"/>
                <w:szCs w:val="28"/>
              </w:rPr>
              <w:t>表2.2镇级公墓</w:t>
            </w:r>
          </w:p>
        </w:tc>
      </w:tr>
      <w:tr w14:paraId="2428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42" w:type="pct"/>
            <w:shd w:val="clear" w:color="auto" w:fill="auto"/>
            <w:noWrap/>
            <w:vAlign w:val="center"/>
          </w:tcPr>
          <w:p w14:paraId="4664E85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序号</w:t>
            </w:r>
          </w:p>
        </w:tc>
        <w:tc>
          <w:tcPr>
            <w:tcW w:w="2208" w:type="pct"/>
            <w:shd w:val="clear" w:color="auto" w:fill="auto"/>
            <w:noWrap/>
            <w:vAlign w:val="center"/>
          </w:tcPr>
          <w:p w14:paraId="283317F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项目名称</w:t>
            </w:r>
          </w:p>
        </w:tc>
        <w:tc>
          <w:tcPr>
            <w:tcW w:w="1811" w:type="pct"/>
            <w:shd w:val="clear" w:color="auto" w:fill="auto"/>
            <w:noWrap/>
            <w:vAlign w:val="center"/>
          </w:tcPr>
          <w:p w14:paraId="4B2C4DC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位置</w:t>
            </w:r>
          </w:p>
        </w:tc>
        <w:tc>
          <w:tcPr>
            <w:tcW w:w="639" w:type="pct"/>
          </w:tcPr>
          <w:p w14:paraId="7DB1AC3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面积</w:t>
            </w:r>
            <w:r>
              <w:rPr>
                <w:rFonts w:ascii="Times New Roman" w:hAnsi="Times New Roman" w:eastAsia="仿宋" w:cs="宋体"/>
                <w:color w:val="000000"/>
                <w:kern w:val="0"/>
                <w:sz w:val="24"/>
                <w:szCs w:val="24"/>
              </w:rPr>
              <w:t>（</w:t>
            </w:r>
            <w:r>
              <w:rPr>
                <w:rFonts w:hint="eastAsia" w:ascii="Times New Roman" w:hAnsi="Times New Roman" w:eastAsia="仿宋" w:cs="宋体"/>
                <w:color w:val="000000"/>
                <w:kern w:val="0"/>
                <w:sz w:val="24"/>
                <w:szCs w:val="24"/>
              </w:rPr>
              <w:t>亩</w:t>
            </w:r>
            <w:r>
              <w:rPr>
                <w:rFonts w:ascii="Times New Roman" w:hAnsi="Times New Roman" w:eastAsia="仿宋" w:cs="宋体"/>
                <w:color w:val="000000"/>
                <w:kern w:val="0"/>
                <w:sz w:val="24"/>
                <w:szCs w:val="24"/>
              </w:rPr>
              <w:t>）</w:t>
            </w:r>
          </w:p>
        </w:tc>
      </w:tr>
      <w:tr w14:paraId="6B20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42" w:type="pct"/>
            <w:shd w:val="clear" w:color="auto" w:fill="auto"/>
            <w:noWrap/>
            <w:vAlign w:val="center"/>
          </w:tcPr>
          <w:p w14:paraId="358494C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w:t>
            </w:r>
          </w:p>
        </w:tc>
        <w:tc>
          <w:tcPr>
            <w:tcW w:w="2208" w:type="pct"/>
            <w:shd w:val="clear" w:color="auto" w:fill="auto"/>
            <w:noWrap/>
            <w:vAlign w:val="center"/>
          </w:tcPr>
          <w:p w14:paraId="3A4BDD0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关庙镇公益性公墓</w:t>
            </w:r>
          </w:p>
        </w:tc>
        <w:tc>
          <w:tcPr>
            <w:tcW w:w="1811" w:type="pct"/>
            <w:shd w:val="clear" w:color="auto" w:fill="auto"/>
            <w:noWrap/>
            <w:vAlign w:val="center"/>
          </w:tcPr>
          <w:p w14:paraId="0B6BF7E5">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关庙街社区</w:t>
            </w:r>
          </w:p>
        </w:tc>
        <w:tc>
          <w:tcPr>
            <w:tcW w:w="639" w:type="pct"/>
            <w:vAlign w:val="center"/>
          </w:tcPr>
          <w:p w14:paraId="4811BA32">
            <w:pPr>
              <w:jc w:val="center"/>
              <w:rPr>
                <w:rFonts w:ascii="Times New Roman" w:hAnsi="Times New Roman" w:eastAsia="仿宋"/>
                <w:color w:val="000000"/>
                <w:sz w:val="24"/>
                <w:szCs w:val="24"/>
              </w:rPr>
            </w:pPr>
            <w:r>
              <w:rPr>
                <w:rFonts w:ascii="Times New Roman" w:hAnsi="Times New Roman" w:eastAsia="仿宋"/>
                <w:color w:val="000000"/>
                <w:sz w:val="24"/>
                <w:szCs w:val="24"/>
              </w:rPr>
              <w:t>1.2</w:t>
            </w:r>
          </w:p>
        </w:tc>
      </w:tr>
      <w:tr w14:paraId="4E7C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6BC6171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w:t>
            </w:r>
          </w:p>
        </w:tc>
        <w:tc>
          <w:tcPr>
            <w:tcW w:w="2208" w:type="pct"/>
            <w:shd w:val="clear" w:color="auto" w:fill="auto"/>
            <w:noWrap/>
            <w:vAlign w:val="center"/>
          </w:tcPr>
          <w:p w14:paraId="2971B324">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马坪镇公益性公墓</w:t>
            </w:r>
          </w:p>
        </w:tc>
        <w:tc>
          <w:tcPr>
            <w:tcW w:w="1811" w:type="pct"/>
            <w:shd w:val="clear" w:color="auto" w:fill="auto"/>
            <w:noWrap/>
            <w:vAlign w:val="center"/>
          </w:tcPr>
          <w:p w14:paraId="09F22C72">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龟山村雅雀湾山</w:t>
            </w:r>
          </w:p>
        </w:tc>
        <w:tc>
          <w:tcPr>
            <w:tcW w:w="639" w:type="pct"/>
            <w:vAlign w:val="center"/>
          </w:tcPr>
          <w:p w14:paraId="2A9FC604">
            <w:pPr>
              <w:jc w:val="center"/>
              <w:rPr>
                <w:rFonts w:ascii="Times New Roman" w:hAnsi="Times New Roman" w:eastAsia="仿宋"/>
                <w:color w:val="000000"/>
                <w:sz w:val="24"/>
                <w:szCs w:val="24"/>
              </w:rPr>
            </w:pPr>
            <w:r>
              <w:rPr>
                <w:rFonts w:ascii="Times New Roman" w:hAnsi="Times New Roman" w:eastAsia="仿宋"/>
                <w:color w:val="000000"/>
                <w:sz w:val="24"/>
                <w:szCs w:val="24"/>
              </w:rPr>
              <w:t>6.13</w:t>
            </w:r>
          </w:p>
        </w:tc>
      </w:tr>
      <w:tr w14:paraId="5611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11DEAC4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w:t>
            </w:r>
          </w:p>
        </w:tc>
        <w:tc>
          <w:tcPr>
            <w:tcW w:w="2208" w:type="pct"/>
            <w:shd w:val="clear" w:color="auto" w:fill="auto"/>
            <w:noWrap/>
            <w:vAlign w:val="center"/>
          </w:tcPr>
          <w:p w14:paraId="2682E719">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长岭镇公益性公墓</w:t>
            </w:r>
          </w:p>
        </w:tc>
        <w:tc>
          <w:tcPr>
            <w:tcW w:w="1811" w:type="pct"/>
            <w:shd w:val="clear" w:color="auto" w:fill="auto"/>
            <w:noWrap/>
            <w:vAlign w:val="center"/>
          </w:tcPr>
          <w:p w14:paraId="06E86761">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月仙坳村</w:t>
            </w:r>
          </w:p>
        </w:tc>
        <w:tc>
          <w:tcPr>
            <w:tcW w:w="639" w:type="pct"/>
            <w:vAlign w:val="center"/>
          </w:tcPr>
          <w:p w14:paraId="1CD297AF">
            <w:pPr>
              <w:jc w:val="center"/>
              <w:rPr>
                <w:rFonts w:ascii="Times New Roman" w:hAnsi="Times New Roman" w:eastAsia="仿宋"/>
                <w:color w:val="000000"/>
                <w:sz w:val="24"/>
                <w:szCs w:val="24"/>
              </w:rPr>
            </w:pPr>
            <w:r>
              <w:rPr>
                <w:rFonts w:ascii="Times New Roman" w:hAnsi="Times New Roman" w:eastAsia="仿宋"/>
                <w:color w:val="000000"/>
                <w:sz w:val="24"/>
                <w:szCs w:val="24"/>
              </w:rPr>
              <w:t>2.26</w:t>
            </w:r>
          </w:p>
        </w:tc>
      </w:tr>
      <w:tr w14:paraId="3AD6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02B8D1F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w:t>
            </w:r>
          </w:p>
        </w:tc>
        <w:tc>
          <w:tcPr>
            <w:tcW w:w="2208" w:type="pct"/>
            <w:shd w:val="clear" w:color="auto" w:fill="auto"/>
            <w:noWrap/>
            <w:vAlign w:val="center"/>
          </w:tcPr>
          <w:p w14:paraId="075B6EC9">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武胜关镇公益性公墓</w:t>
            </w:r>
          </w:p>
        </w:tc>
        <w:tc>
          <w:tcPr>
            <w:tcW w:w="1811" w:type="pct"/>
            <w:shd w:val="clear" w:color="auto" w:fill="auto"/>
            <w:noWrap/>
            <w:vAlign w:val="center"/>
          </w:tcPr>
          <w:p w14:paraId="59B5D323">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新岗村</w:t>
            </w:r>
          </w:p>
        </w:tc>
        <w:tc>
          <w:tcPr>
            <w:tcW w:w="639" w:type="pct"/>
            <w:vAlign w:val="center"/>
          </w:tcPr>
          <w:p w14:paraId="2F71C670">
            <w:pPr>
              <w:jc w:val="center"/>
              <w:rPr>
                <w:rFonts w:ascii="Times New Roman" w:hAnsi="Times New Roman" w:eastAsia="仿宋"/>
                <w:color w:val="000000"/>
                <w:sz w:val="24"/>
                <w:szCs w:val="24"/>
              </w:rPr>
            </w:pPr>
            <w:r>
              <w:rPr>
                <w:rFonts w:ascii="Times New Roman" w:hAnsi="Times New Roman" w:eastAsia="仿宋"/>
                <w:color w:val="000000"/>
                <w:sz w:val="24"/>
                <w:szCs w:val="24"/>
              </w:rPr>
              <w:t>2.84</w:t>
            </w:r>
          </w:p>
        </w:tc>
      </w:tr>
      <w:tr w14:paraId="5744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5505F61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w:t>
            </w:r>
          </w:p>
        </w:tc>
        <w:tc>
          <w:tcPr>
            <w:tcW w:w="2208" w:type="pct"/>
            <w:shd w:val="clear" w:color="auto" w:fill="auto"/>
            <w:noWrap/>
            <w:vAlign w:val="center"/>
          </w:tcPr>
          <w:p w14:paraId="60BFCA4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蔡河镇公益性公墓</w:t>
            </w:r>
          </w:p>
        </w:tc>
        <w:tc>
          <w:tcPr>
            <w:tcW w:w="1811" w:type="pct"/>
            <w:shd w:val="clear" w:color="auto" w:fill="auto"/>
            <w:noWrap/>
            <w:vAlign w:val="center"/>
          </w:tcPr>
          <w:p w14:paraId="38C08094">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甸子山社区</w:t>
            </w:r>
          </w:p>
        </w:tc>
        <w:tc>
          <w:tcPr>
            <w:tcW w:w="639" w:type="pct"/>
            <w:vAlign w:val="center"/>
          </w:tcPr>
          <w:p w14:paraId="4C1185BB">
            <w:pPr>
              <w:jc w:val="center"/>
              <w:rPr>
                <w:rFonts w:ascii="Times New Roman" w:hAnsi="Times New Roman" w:eastAsia="仿宋"/>
                <w:color w:val="000000"/>
                <w:sz w:val="24"/>
                <w:szCs w:val="24"/>
              </w:rPr>
            </w:pPr>
            <w:r>
              <w:rPr>
                <w:rFonts w:ascii="Times New Roman" w:hAnsi="Times New Roman" w:eastAsia="仿宋"/>
                <w:color w:val="000000"/>
                <w:sz w:val="24"/>
                <w:szCs w:val="24"/>
              </w:rPr>
              <w:t>5.35</w:t>
            </w:r>
          </w:p>
        </w:tc>
      </w:tr>
      <w:tr w14:paraId="387D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6F7A1D4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6</w:t>
            </w:r>
          </w:p>
        </w:tc>
        <w:tc>
          <w:tcPr>
            <w:tcW w:w="2208" w:type="pct"/>
            <w:shd w:val="clear" w:color="auto" w:fill="auto"/>
            <w:noWrap/>
            <w:vAlign w:val="center"/>
          </w:tcPr>
          <w:p w14:paraId="3AC3248F">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广水街道公益性公墓</w:t>
            </w:r>
          </w:p>
        </w:tc>
        <w:tc>
          <w:tcPr>
            <w:tcW w:w="1811" w:type="pct"/>
            <w:shd w:val="clear" w:color="auto" w:fill="auto"/>
            <w:noWrap/>
            <w:vAlign w:val="center"/>
          </w:tcPr>
          <w:p w14:paraId="6B5E5917">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九皇社区</w:t>
            </w:r>
          </w:p>
        </w:tc>
        <w:tc>
          <w:tcPr>
            <w:tcW w:w="639" w:type="pct"/>
            <w:vAlign w:val="center"/>
          </w:tcPr>
          <w:p w14:paraId="1D8CAAB6">
            <w:pPr>
              <w:jc w:val="center"/>
              <w:rPr>
                <w:rFonts w:ascii="Times New Roman" w:hAnsi="Times New Roman" w:eastAsia="仿宋"/>
                <w:color w:val="000000"/>
                <w:sz w:val="24"/>
                <w:szCs w:val="24"/>
              </w:rPr>
            </w:pPr>
            <w:r>
              <w:rPr>
                <w:rFonts w:ascii="Times New Roman" w:hAnsi="Times New Roman" w:eastAsia="仿宋"/>
                <w:color w:val="000000"/>
                <w:sz w:val="24"/>
                <w:szCs w:val="24"/>
              </w:rPr>
              <w:t>5.07</w:t>
            </w:r>
          </w:p>
        </w:tc>
      </w:tr>
      <w:tr w14:paraId="0899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4F834EF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7</w:t>
            </w:r>
          </w:p>
        </w:tc>
        <w:tc>
          <w:tcPr>
            <w:tcW w:w="2208" w:type="pct"/>
            <w:shd w:val="clear" w:color="auto" w:fill="auto"/>
            <w:noWrap/>
            <w:vAlign w:val="center"/>
          </w:tcPr>
          <w:p w14:paraId="7B7A0F1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郝店镇公益性公墓</w:t>
            </w:r>
          </w:p>
        </w:tc>
        <w:tc>
          <w:tcPr>
            <w:tcW w:w="1811" w:type="pct"/>
            <w:shd w:val="clear" w:color="auto" w:fill="auto"/>
            <w:noWrap/>
            <w:vAlign w:val="center"/>
          </w:tcPr>
          <w:p w14:paraId="14A27ECA">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天生村</w:t>
            </w:r>
          </w:p>
        </w:tc>
        <w:tc>
          <w:tcPr>
            <w:tcW w:w="639" w:type="pct"/>
            <w:vAlign w:val="center"/>
          </w:tcPr>
          <w:p w14:paraId="38E6C827">
            <w:pPr>
              <w:jc w:val="center"/>
              <w:rPr>
                <w:rFonts w:ascii="Times New Roman" w:hAnsi="Times New Roman" w:eastAsia="仿宋"/>
                <w:color w:val="000000"/>
                <w:sz w:val="24"/>
                <w:szCs w:val="24"/>
              </w:rPr>
            </w:pPr>
            <w:r>
              <w:rPr>
                <w:rFonts w:ascii="Times New Roman" w:hAnsi="Times New Roman" w:eastAsia="仿宋"/>
                <w:color w:val="000000"/>
                <w:sz w:val="24"/>
                <w:szCs w:val="24"/>
              </w:rPr>
              <w:t>2.94</w:t>
            </w:r>
          </w:p>
        </w:tc>
      </w:tr>
      <w:tr w14:paraId="4BCA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7A281E0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8</w:t>
            </w:r>
          </w:p>
        </w:tc>
        <w:tc>
          <w:tcPr>
            <w:tcW w:w="2208" w:type="pct"/>
            <w:shd w:val="clear" w:color="auto" w:fill="auto"/>
            <w:noWrap/>
            <w:vAlign w:val="center"/>
          </w:tcPr>
          <w:p w14:paraId="7015AF0A">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骆店镇公益性公墓</w:t>
            </w:r>
          </w:p>
        </w:tc>
        <w:tc>
          <w:tcPr>
            <w:tcW w:w="1811" w:type="pct"/>
            <w:shd w:val="clear" w:color="auto" w:fill="auto"/>
            <w:noWrap/>
            <w:vAlign w:val="center"/>
          </w:tcPr>
          <w:p w14:paraId="0AE8F611">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红桥村大凹山人文公园</w:t>
            </w:r>
          </w:p>
        </w:tc>
        <w:tc>
          <w:tcPr>
            <w:tcW w:w="639" w:type="pct"/>
            <w:vAlign w:val="center"/>
          </w:tcPr>
          <w:p w14:paraId="26349F27">
            <w:pPr>
              <w:jc w:val="center"/>
              <w:rPr>
                <w:rFonts w:ascii="Times New Roman" w:hAnsi="Times New Roman" w:eastAsia="仿宋"/>
                <w:color w:val="000000"/>
                <w:sz w:val="24"/>
                <w:szCs w:val="24"/>
              </w:rPr>
            </w:pPr>
            <w:r>
              <w:rPr>
                <w:rFonts w:ascii="Times New Roman" w:hAnsi="Times New Roman" w:eastAsia="仿宋"/>
                <w:color w:val="000000"/>
                <w:sz w:val="24"/>
                <w:szCs w:val="24"/>
              </w:rPr>
              <w:t>2.78</w:t>
            </w:r>
          </w:p>
        </w:tc>
      </w:tr>
      <w:tr w14:paraId="4070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2DA1E5C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9</w:t>
            </w:r>
          </w:p>
        </w:tc>
        <w:tc>
          <w:tcPr>
            <w:tcW w:w="2208" w:type="pct"/>
            <w:shd w:val="clear" w:color="auto" w:fill="auto"/>
            <w:noWrap/>
            <w:vAlign w:val="center"/>
          </w:tcPr>
          <w:p w14:paraId="36FA0BE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太平镇公益性公墓</w:t>
            </w:r>
          </w:p>
        </w:tc>
        <w:tc>
          <w:tcPr>
            <w:tcW w:w="1811" w:type="pct"/>
            <w:shd w:val="clear" w:color="auto" w:fill="auto"/>
            <w:noWrap/>
            <w:vAlign w:val="center"/>
          </w:tcPr>
          <w:p w14:paraId="31A8086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太平社区</w:t>
            </w:r>
          </w:p>
        </w:tc>
        <w:tc>
          <w:tcPr>
            <w:tcW w:w="639" w:type="pct"/>
            <w:vAlign w:val="center"/>
          </w:tcPr>
          <w:p w14:paraId="1657C6BE">
            <w:pPr>
              <w:jc w:val="center"/>
              <w:rPr>
                <w:rFonts w:ascii="Times New Roman" w:hAnsi="Times New Roman" w:eastAsia="仿宋"/>
                <w:color w:val="000000"/>
                <w:sz w:val="24"/>
                <w:szCs w:val="24"/>
              </w:rPr>
            </w:pPr>
            <w:r>
              <w:rPr>
                <w:rFonts w:ascii="Times New Roman" w:hAnsi="Times New Roman" w:eastAsia="仿宋"/>
                <w:color w:val="000000"/>
                <w:sz w:val="24"/>
                <w:szCs w:val="24"/>
              </w:rPr>
              <w:t>2.24</w:t>
            </w:r>
          </w:p>
        </w:tc>
      </w:tr>
      <w:tr w14:paraId="0C5B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28A1279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10</w:t>
            </w:r>
          </w:p>
        </w:tc>
        <w:tc>
          <w:tcPr>
            <w:tcW w:w="2208" w:type="pct"/>
            <w:shd w:val="clear" w:color="auto" w:fill="auto"/>
            <w:noWrap/>
            <w:vAlign w:val="center"/>
          </w:tcPr>
          <w:p w14:paraId="4977C668">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李店镇公益性公墓</w:t>
            </w:r>
          </w:p>
        </w:tc>
        <w:tc>
          <w:tcPr>
            <w:tcW w:w="1811" w:type="pct"/>
            <w:shd w:val="clear" w:color="auto" w:fill="auto"/>
            <w:noWrap/>
            <w:vAlign w:val="center"/>
          </w:tcPr>
          <w:p w14:paraId="130370B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李店社区</w:t>
            </w:r>
          </w:p>
        </w:tc>
        <w:tc>
          <w:tcPr>
            <w:tcW w:w="639" w:type="pct"/>
            <w:vAlign w:val="center"/>
          </w:tcPr>
          <w:p w14:paraId="06086D76">
            <w:pPr>
              <w:jc w:val="center"/>
              <w:rPr>
                <w:rFonts w:ascii="Times New Roman" w:hAnsi="Times New Roman" w:eastAsia="仿宋"/>
                <w:color w:val="000000"/>
                <w:sz w:val="24"/>
                <w:szCs w:val="24"/>
              </w:rPr>
            </w:pPr>
            <w:r>
              <w:rPr>
                <w:rFonts w:ascii="Times New Roman" w:hAnsi="Times New Roman" w:eastAsia="仿宋"/>
                <w:color w:val="000000"/>
                <w:sz w:val="24"/>
                <w:szCs w:val="24"/>
              </w:rPr>
              <w:t>2.04</w:t>
            </w:r>
          </w:p>
        </w:tc>
      </w:tr>
      <w:tr w14:paraId="7E38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3D732B6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11</w:t>
            </w:r>
          </w:p>
        </w:tc>
        <w:tc>
          <w:tcPr>
            <w:tcW w:w="2208" w:type="pct"/>
            <w:shd w:val="clear" w:color="auto" w:fill="auto"/>
            <w:noWrap/>
            <w:vAlign w:val="center"/>
          </w:tcPr>
          <w:p w14:paraId="06553D9B">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吴店镇公益性公墓</w:t>
            </w:r>
          </w:p>
        </w:tc>
        <w:tc>
          <w:tcPr>
            <w:tcW w:w="1811" w:type="pct"/>
            <w:shd w:val="clear" w:color="auto" w:fill="auto"/>
            <w:noWrap/>
            <w:vAlign w:val="center"/>
          </w:tcPr>
          <w:p w14:paraId="0F290A59">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中心村玉石坡</w:t>
            </w:r>
          </w:p>
        </w:tc>
        <w:tc>
          <w:tcPr>
            <w:tcW w:w="639" w:type="pct"/>
            <w:vAlign w:val="center"/>
          </w:tcPr>
          <w:p w14:paraId="347EC429">
            <w:pPr>
              <w:jc w:val="center"/>
              <w:rPr>
                <w:rFonts w:ascii="Times New Roman" w:hAnsi="Times New Roman" w:eastAsia="仿宋"/>
                <w:color w:val="000000"/>
                <w:sz w:val="24"/>
                <w:szCs w:val="24"/>
              </w:rPr>
            </w:pPr>
            <w:r>
              <w:rPr>
                <w:rFonts w:ascii="Times New Roman" w:hAnsi="Times New Roman" w:eastAsia="仿宋"/>
                <w:color w:val="000000"/>
                <w:sz w:val="24"/>
                <w:szCs w:val="24"/>
              </w:rPr>
              <w:t>5.44</w:t>
            </w:r>
          </w:p>
        </w:tc>
      </w:tr>
      <w:tr w14:paraId="3645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4BF6B3D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12</w:t>
            </w:r>
          </w:p>
        </w:tc>
        <w:tc>
          <w:tcPr>
            <w:tcW w:w="2208" w:type="pct"/>
            <w:shd w:val="clear" w:color="auto" w:fill="auto"/>
            <w:noWrap/>
            <w:vAlign w:val="center"/>
          </w:tcPr>
          <w:p w14:paraId="525F20B1">
            <w:pPr>
              <w:jc w:val="center"/>
              <w:rPr>
                <w:rFonts w:ascii="Times New Roman" w:hAnsi="Times New Roman" w:eastAsia="仿宋" w:cs="宋体"/>
                <w:color w:val="000000"/>
                <w:kern w:val="0"/>
                <w:sz w:val="24"/>
                <w:szCs w:val="24"/>
              </w:rPr>
            </w:pPr>
            <w:bookmarkStart w:id="15" w:name="OLE_LINK6"/>
            <w:r>
              <w:rPr>
                <w:rFonts w:hint="eastAsia" w:ascii="Times New Roman" w:hAnsi="Times New Roman" w:eastAsia="仿宋" w:cs="宋体"/>
                <w:color w:val="000000"/>
                <w:kern w:val="0"/>
                <w:sz w:val="24"/>
                <w:szCs w:val="24"/>
              </w:rPr>
              <w:t>十里街道万福山公墓</w:t>
            </w:r>
            <w:bookmarkEnd w:id="15"/>
          </w:p>
        </w:tc>
        <w:tc>
          <w:tcPr>
            <w:tcW w:w="1811" w:type="pct"/>
            <w:shd w:val="clear" w:color="auto" w:fill="auto"/>
            <w:noWrap/>
            <w:vAlign w:val="center"/>
          </w:tcPr>
          <w:p w14:paraId="2676065C">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三合社区</w:t>
            </w:r>
          </w:p>
        </w:tc>
        <w:tc>
          <w:tcPr>
            <w:tcW w:w="639" w:type="pct"/>
            <w:vAlign w:val="center"/>
          </w:tcPr>
          <w:p w14:paraId="18DECC05">
            <w:pPr>
              <w:jc w:val="center"/>
              <w:rPr>
                <w:rFonts w:ascii="Times New Roman" w:hAnsi="Times New Roman" w:eastAsia="仿宋"/>
                <w:color w:val="000000"/>
                <w:sz w:val="24"/>
                <w:szCs w:val="24"/>
              </w:rPr>
            </w:pPr>
            <w:r>
              <w:rPr>
                <w:rFonts w:ascii="Times New Roman" w:hAnsi="Times New Roman" w:eastAsia="仿宋"/>
                <w:color w:val="000000"/>
                <w:sz w:val="24"/>
                <w:szCs w:val="24"/>
              </w:rPr>
              <w:t>1.52</w:t>
            </w:r>
          </w:p>
        </w:tc>
      </w:tr>
      <w:tr w14:paraId="17BE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26015D2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13</w:t>
            </w:r>
          </w:p>
        </w:tc>
        <w:tc>
          <w:tcPr>
            <w:tcW w:w="2208" w:type="pct"/>
            <w:shd w:val="clear" w:color="auto" w:fill="auto"/>
            <w:noWrap/>
            <w:vAlign w:val="center"/>
          </w:tcPr>
          <w:p w14:paraId="1D5EBBB8">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陈巷镇公益性公墓</w:t>
            </w:r>
          </w:p>
        </w:tc>
        <w:tc>
          <w:tcPr>
            <w:tcW w:w="1811" w:type="pct"/>
            <w:shd w:val="clear" w:color="auto" w:fill="auto"/>
            <w:noWrap/>
            <w:vAlign w:val="center"/>
          </w:tcPr>
          <w:p w14:paraId="56543791">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高庙村</w:t>
            </w:r>
          </w:p>
        </w:tc>
        <w:tc>
          <w:tcPr>
            <w:tcW w:w="639" w:type="pct"/>
            <w:vAlign w:val="center"/>
          </w:tcPr>
          <w:p w14:paraId="77E49894">
            <w:pPr>
              <w:jc w:val="center"/>
              <w:rPr>
                <w:rFonts w:ascii="Times New Roman" w:hAnsi="Times New Roman" w:eastAsia="仿宋"/>
                <w:color w:val="000000"/>
                <w:sz w:val="24"/>
                <w:szCs w:val="24"/>
              </w:rPr>
            </w:pPr>
            <w:r>
              <w:rPr>
                <w:rFonts w:ascii="Times New Roman" w:hAnsi="Times New Roman" w:eastAsia="仿宋"/>
                <w:color w:val="000000"/>
                <w:sz w:val="24"/>
                <w:szCs w:val="24"/>
              </w:rPr>
              <w:t>2.22</w:t>
            </w:r>
          </w:p>
        </w:tc>
      </w:tr>
      <w:tr w14:paraId="6550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7D01BC5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14</w:t>
            </w:r>
          </w:p>
        </w:tc>
        <w:tc>
          <w:tcPr>
            <w:tcW w:w="2208" w:type="pct"/>
            <w:shd w:val="clear" w:color="auto" w:fill="auto"/>
            <w:noWrap/>
            <w:vAlign w:val="center"/>
          </w:tcPr>
          <w:p w14:paraId="46A3F195">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余店镇公益性公墓</w:t>
            </w:r>
          </w:p>
        </w:tc>
        <w:tc>
          <w:tcPr>
            <w:tcW w:w="1811" w:type="pct"/>
            <w:shd w:val="clear" w:color="auto" w:fill="auto"/>
            <w:noWrap/>
            <w:vAlign w:val="center"/>
          </w:tcPr>
          <w:p w14:paraId="1A77CB28">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英姿寨村</w:t>
            </w:r>
          </w:p>
        </w:tc>
        <w:tc>
          <w:tcPr>
            <w:tcW w:w="639" w:type="pct"/>
            <w:vAlign w:val="center"/>
          </w:tcPr>
          <w:p w14:paraId="00B971D6">
            <w:pPr>
              <w:jc w:val="center"/>
              <w:rPr>
                <w:rFonts w:ascii="Times New Roman" w:hAnsi="Times New Roman" w:eastAsia="仿宋"/>
                <w:color w:val="000000"/>
                <w:sz w:val="24"/>
                <w:szCs w:val="24"/>
              </w:rPr>
            </w:pPr>
            <w:r>
              <w:rPr>
                <w:rFonts w:ascii="Times New Roman" w:hAnsi="Times New Roman" w:eastAsia="仿宋"/>
                <w:color w:val="000000"/>
                <w:sz w:val="24"/>
                <w:szCs w:val="24"/>
              </w:rPr>
              <w:t>2.8</w:t>
            </w:r>
          </w:p>
        </w:tc>
      </w:tr>
      <w:tr w14:paraId="7A4A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42" w:type="pct"/>
            <w:shd w:val="clear" w:color="auto" w:fill="auto"/>
            <w:noWrap/>
            <w:vAlign w:val="center"/>
          </w:tcPr>
          <w:p w14:paraId="67614E3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15</w:t>
            </w:r>
          </w:p>
        </w:tc>
        <w:tc>
          <w:tcPr>
            <w:tcW w:w="2208" w:type="pct"/>
            <w:shd w:val="clear" w:color="auto" w:fill="auto"/>
            <w:noWrap/>
            <w:vAlign w:val="center"/>
          </w:tcPr>
          <w:p w14:paraId="1B037E56">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杨寨镇公益性公墓</w:t>
            </w:r>
          </w:p>
        </w:tc>
        <w:tc>
          <w:tcPr>
            <w:tcW w:w="1811" w:type="pct"/>
            <w:shd w:val="clear" w:color="auto" w:fill="auto"/>
            <w:noWrap/>
            <w:vAlign w:val="center"/>
          </w:tcPr>
          <w:p w14:paraId="70126C9A">
            <w:pPr>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杨田村</w:t>
            </w:r>
          </w:p>
        </w:tc>
        <w:tc>
          <w:tcPr>
            <w:tcW w:w="639" w:type="pct"/>
            <w:vAlign w:val="center"/>
          </w:tcPr>
          <w:p w14:paraId="0DDD351A">
            <w:pPr>
              <w:jc w:val="center"/>
              <w:rPr>
                <w:rFonts w:ascii="Times New Roman" w:hAnsi="Times New Roman" w:eastAsia="仿宋"/>
                <w:color w:val="000000"/>
                <w:sz w:val="24"/>
                <w:szCs w:val="24"/>
              </w:rPr>
            </w:pPr>
            <w:r>
              <w:rPr>
                <w:rFonts w:ascii="Times New Roman" w:hAnsi="Times New Roman" w:eastAsia="仿宋"/>
                <w:color w:val="000000"/>
                <w:sz w:val="24"/>
                <w:szCs w:val="24"/>
              </w:rPr>
              <w:t>4.06</w:t>
            </w:r>
          </w:p>
        </w:tc>
      </w:tr>
    </w:tbl>
    <w:p w14:paraId="25D8F5EC">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16" w:name="_Toc200565612"/>
      <w:r>
        <w:rPr>
          <w:rFonts w:hint="eastAsia" w:ascii="Times New Roman" w:hAnsi="Times New Roman" w:eastAsia="仿宋" w:cs="Times New Roman"/>
          <w:b w:val="0"/>
          <w:bCs w:val="0"/>
          <w:color w:val="000000" w:themeColor="text1"/>
          <w:szCs w:val="24"/>
          <w14:textFill>
            <w14:solidFill>
              <w14:schemeClr w14:val="tx1"/>
            </w14:solidFill>
          </w14:textFill>
        </w:rPr>
        <w:t>现状问题</w:t>
      </w:r>
      <w:bookmarkEnd w:id="16"/>
    </w:p>
    <w:p w14:paraId="0F5F3714">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（1）市级殡仪馆难以满足现状需求 </w:t>
      </w:r>
    </w:p>
    <w:p w14:paraId="52D0B3A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现状市级殡仪馆设1个大型悼念厅、4个中型悼念厅、4个小型悼念厅、</w:t>
      </w:r>
      <w:r>
        <w:rPr>
          <w:rFonts w:ascii="Times New Roman" w:hAnsi="Times New Roman" w:eastAsia="仿宋" w:cs="Times New Roman"/>
          <w:color w:val="000000" w:themeColor="text1"/>
          <w:sz w:val="32"/>
          <w:szCs w:val="24"/>
          <w14:textFill>
            <w14:solidFill>
              <w14:schemeClr w14:val="tx1"/>
            </w14:solidFill>
          </w14:textFill>
          <w14:ligatures w14:val="standardContextual"/>
        </w:rPr>
        <w:t>4</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套火化设备和环保设施、</w:t>
      </w:r>
      <w:r>
        <w:rPr>
          <w:rFonts w:ascii="Times New Roman" w:hAnsi="Times New Roman" w:eastAsia="仿宋" w:cs="Times New Roman"/>
          <w:color w:val="000000" w:themeColor="text1"/>
          <w:sz w:val="32"/>
          <w:szCs w:val="24"/>
          <w14:textFill>
            <w14:solidFill>
              <w14:schemeClr w14:val="tx1"/>
            </w14:solidFill>
          </w14:textFill>
          <w14:ligatures w14:val="standardContextual"/>
        </w:rPr>
        <w:t>4台殡仪车</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 xml:space="preserve">，年平均火化量5000具左右，业务辐射广水市全域。随着殡葬改革工作推进，全面实行遗体火化，现状殡仪馆难以满足治丧需求。 </w:t>
      </w:r>
    </w:p>
    <w:p w14:paraId="2B89397B">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（2）散埋乱葬历史遗留问题突出 </w:t>
      </w:r>
    </w:p>
    <w:p w14:paraId="4A6EEA6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广水市2024年3月</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开始全面实行遗体火化，骨灰进入公墓安葬，现状散埋乱葬数量众多，占地面积大，分布范围广。</w:t>
      </w:r>
    </w:p>
    <w:p w14:paraId="1C23D055">
      <w:pPr>
        <w:rPr>
          <w:rFonts w:ascii="Times New Roman" w:hAnsi="Times New Roman" w:eastAsia="仿宋" w:cs="宋体"/>
          <w:color w:val="000000"/>
          <w:kern w:val="0"/>
          <w:szCs w:val="28"/>
        </w:rPr>
      </w:pPr>
      <w:r>
        <w:rPr>
          <w:rFonts w:hint="eastAsia" w:ascii="Times New Roman" w:hAnsi="Times New Roman" w:eastAsia="仿宋" w:cs="宋体"/>
          <w:color w:val="000000"/>
          <w:kern w:val="0"/>
          <w:szCs w:val="28"/>
        </w:rPr>
        <w:br w:type="page"/>
      </w:r>
    </w:p>
    <w:p w14:paraId="24FC0EF8">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17" w:name="_Toc200565613"/>
      <w:r>
        <w:rPr>
          <w:rFonts w:hint="eastAsia" w:ascii="Times New Roman" w:hAnsi="Times New Roman" w:eastAsia="仿宋" w:cs="Times New Roman"/>
          <w:color w:val="000000" w:themeColor="text1"/>
          <w:sz w:val="40"/>
          <w:szCs w:val="40"/>
          <w14:textFill>
            <w14:solidFill>
              <w14:schemeClr w14:val="tx1"/>
            </w14:solidFill>
          </w14:textFill>
        </w:rPr>
        <w:t>需求预测</w:t>
      </w:r>
      <w:bookmarkEnd w:id="17"/>
    </w:p>
    <w:p w14:paraId="74D6FB82">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18" w:name="_Toc200565614"/>
      <w:r>
        <w:rPr>
          <w:rFonts w:hint="eastAsia" w:ascii="Times New Roman" w:hAnsi="Times New Roman" w:eastAsia="仿宋" w:cs="Times New Roman"/>
          <w:b w:val="0"/>
          <w:bCs w:val="0"/>
          <w:color w:val="000000" w:themeColor="text1"/>
          <w:szCs w:val="24"/>
          <w14:textFill>
            <w14:solidFill>
              <w14:schemeClr w14:val="tx1"/>
            </w14:solidFill>
          </w14:textFill>
        </w:rPr>
        <w:t>死亡人口预测</w:t>
      </w:r>
      <w:bookmarkEnd w:id="18"/>
    </w:p>
    <w:p w14:paraId="767BAC0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基于2021年第七次人口普查数据与年末统计数据，广水市2020年市域户籍总人口89.62万人，常住人口71.09万人，全市常住人口中，男性人口为363880人，女性人口为347020人。常住人口性别比（以女性为100，男性对女性的比例）为104.86。</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根据</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2021年第七次人口普查，湖北省人口死亡率7.03‰，本规划人口死亡率以7.0‰计，人口自然增长率以1.96‰计</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依据广水市国土空间规划相关专题预测，预测至2035年，广水全市累计新增死亡人口为7.6万人。</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4"/>
        <w:gridCol w:w="2429"/>
        <w:gridCol w:w="2759"/>
      </w:tblGrid>
      <w:tr w14:paraId="0399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000" w:type="pct"/>
            <w:gridSpan w:val="3"/>
            <w:shd w:val="clear" w:color="auto" w:fill="auto"/>
            <w:noWrap/>
            <w:vAlign w:val="center"/>
          </w:tcPr>
          <w:p w14:paraId="01826CEC">
            <w:pPr>
              <w:widowControl/>
              <w:jc w:val="center"/>
              <w:rPr>
                <w:rFonts w:ascii="Times New Roman" w:hAnsi="Times New Roman" w:eastAsia="仿宋" w:cs="宋体"/>
                <w:color w:val="000000"/>
                <w:kern w:val="0"/>
                <w:sz w:val="22"/>
              </w:rPr>
            </w:pPr>
            <w:r>
              <w:rPr>
                <w:rFonts w:hint="eastAsia" w:ascii="Times New Roman" w:hAnsi="Times New Roman" w:eastAsia="仿宋" w:cs="宋体"/>
                <w:b/>
                <w:bCs/>
                <w:color w:val="000000"/>
                <w:kern w:val="0"/>
                <w:szCs w:val="28"/>
              </w:rPr>
              <w:t>表</w:t>
            </w:r>
            <w:r>
              <w:rPr>
                <w:rFonts w:ascii="Times New Roman" w:hAnsi="Times New Roman" w:eastAsia="仿宋" w:cs="宋体"/>
                <w:b/>
                <w:bCs/>
                <w:color w:val="000000"/>
                <w:kern w:val="0"/>
                <w:szCs w:val="28"/>
              </w:rPr>
              <w:t>3.1 2021-</w:t>
            </w:r>
            <w:r>
              <w:rPr>
                <w:rFonts w:hint="eastAsia" w:ascii="Times New Roman" w:hAnsi="Times New Roman" w:eastAsia="仿宋" w:cs="宋体"/>
                <w:b/>
                <w:bCs/>
                <w:color w:val="000000"/>
                <w:kern w:val="0"/>
                <w:szCs w:val="28"/>
              </w:rPr>
              <w:t>20</w:t>
            </w:r>
            <w:r>
              <w:rPr>
                <w:rFonts w:ascii="Times New Roman" w:hAnsi="Times New Roman" w:eastAsia="仿宋" w:cs="宋体"/>
                <w:b/>
                <w:bCs/>
                <w:color w:val="000000"/>
                <w:kern w:val="0"/>
                <w:szCs w:val="28"/>
              </w:rPr>
              <w:t>35</w:t>
            </w:r>
            <w:r>
              <w:rPr>
                <w:rFonts w:hint="eastAsia" w:ascii="Times New Roman" w:hAnsi="Times New Roman" w:eastAsia="仿宋" w:cs="宋体"/>
                <w:b/>
                <w:bCs/>
                <w:color w:val="000000"/>
                <w:kern w:val="0"/>
                <w:szCs w:val="28"/>
              </w:rPr>
              <w:t>年累计死亡人口测算</w:t>
            </w:r>
          </w:p>
        </w:tc>
      </w:tr>
      <w:tr w14:paraId="232E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29ACF3E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地区名称</w:t>
            </w:r>
          </w:p>
        </w:tc>
        <w:tc>
          <w:tcPr>
            <w:tcW w:w="1425" w:type="pct"/>
            <w:shd w:val="clear" w:color="auto" w:fill="auto"/>
            <w:noWrap/>
            <w:vAlign w:val="center"/>
          </w:tcPr>
          <w:p w14:paraId="6B14D4A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2020年常住人口</w:t>
            </w:r>
          </w:p>
        </w:tc>
        <w:tc>
          <w:tcPr>
            <w:tcW w:w="1618" w:type="pct"/>
            <w:shd w:val="clear" w:color="auto" w:fill="auto"/>
            <w:noWrap/>
            <w:vAlign w:val="center"/>
          </w:tcPr>
          <w:p w14:paraId="192E603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死亡人口（</w:t>
            </w:r>
            <w:r>
              <w:rPr>
                <w:rFonts w:ascii="Times New Roman" w:hAnsi="Times New Roman" w:eastAsia="仿宋" w:cs="宋体"/>
                <w:color w:val="000000"/>
                <w:kern w:val="0"/>
                <w:sz w:val="24"/>
                <w:szCs w:val="24"/>
              </w:rPr>
              <w:t>2035</w:t>
            </w:r>
            <w:r>
              <w:rPr>
                <w:rFonts w:hint="eastAsia" w:ascii="Times New Roman" w:hAnsi="Times New Roman" w:eastAsia="仿宋" w:cs="宋体"/>
                <w:color w:val="000000"/>
                <w:kern w:val="0"/>
                <w:sz w:val="24"/>
                <w:szCs w:val="24"/>
              </w:rPr>
              <w:t>年）</w:t>
            </w:r>
          </w:p>
        </w:tc>
      </w:tr>
      <w:tr w14:paraId="2602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3EBE1AE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应山街道</w:t>
            </w:r>
          </w:p>
        </w:tc>
        <w:tc>
          <w:tcPr>
            <w:tcW w:w="1425" w:type="pct"/>
            <w:shd w:val="clear" w:color="auto" w:fill="auto"/>
            <w:noWrap/>
            <w:vAlign w:val="center"/>
          </w:tcPr>
          <w:p w14:paraId="1E1B591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162732</w:t>
            </w:r>
          </w:p>
        </w:tc>
        <w:tc>
          <w:tcPr>
            <w:tcW w:w="1618" w:type="pct"/>
            <w:shd w:val="clear" w:color="auto" w:fill="auto"/>
            <w:noWrap/>
            <w:vAlign w:val="center"/>
          </w:tcPr>
          <w:p w14:paraId="1A3608F9">
            <w:pPr>
              <w:widowControl/>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17432</w:t>
            </w:r>
          </w:p>
        </w:tc>
      </w:tr>
      <w:tr w14:paraId="769E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5B32E9B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十里街道</w:t>
            </w:r>
          </w:p>
        </w:tc>
        <w:tc>
          <w:tcPr>
            <w:tcW w:w="1425" w:type="pct"/>
            <w:shd w:val="clear" w:color="auto" w:fill="auto"/>
            <w:noWrap/>
            <w:vAlign w:val="center"/>
          </w:tcPr>
          <w:p w14:paraId="4B3C5A6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44111</w:t>
            </w:r>
          </w:p>
        </w:tc>
        <w:tc>
          <w:tcPr>
            <w:tcW w:w="1618" w:type="pct"/>
            <w:shd w:val="clear" w:color="auto" w:fill="auto"/>
            <w:noWrap/>
            <w:vAlign w:val="center"/>
          </w:tcPr>
          <w:p w14:paraId="65653493">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4725</w:t>
            </w:r>
          </w:p>
        </w:tc>
      </w:tr>
      <w:tr w14:paraId="235B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4845FC0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广水街道</w:t>
            </w:r>
          </w:p>
        </w:tc>
        <w:tc>
          <w:tcPr>
            <w:tcW w:w="1425" w:type="pct"/>
            <w:shd w:val="clear" w:color="auto" w:fill="auto"/>
            <w:noWrap/>
            <w:vAlign w:val="center"/>
          </w:tcPr>
          <w:p w14:paraId="3FE35F2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63652</w:t>
            </w:r>
          </w:p>
        </w:tc>
        <w:tc>
          <w:tcPr>
            <w:tcW w:w="1618" w:type="pct"/>
            <w:shd w:val="clear" w:color="auto" w:fill="auto"/>
            <w:noWrap/>
            <w:vAlign w:val="center"/>
          </w:tcPr>
          <w:p w14:paraId="10C6529B">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6818</w:t>
            </w:r>
          </w:p>
        </w:tc>
      </w:tr>
      <w:tr w14:paraId="32ED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13BA084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城郊街道</w:t>
            </w:r>
          </w:p>
        </w:tc>
        <w:tc>
          <w:tcPr>
            <w:tcW w:w="1425" w:type="pct"/>
            <w:shd w:val="clear" w:color="auto" w:fill="auto"/>
            <w:noWrap/>
            <w:vAlign w:val="center"/>
          </w:tcPr>
          <w:p w14:paraId="62DB94B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56838</w:t>
            </w:r>
          </w:p>
        </w:tc>
        <w:tc>
          <w:tcPr>
            <w:tcW w:w="1618" w:type="pct"/>
            <w:shd w:val="clear" w:color="auto" w:fill="auto"/>
            <w:noWrap/>
            <w:vAlign w:val="center"/>
          </w:tcPr>
          <w:p w14:paraId="1CE5B216">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6088</w:t>
            </w:r>
          </w:p>
        </w:tc>
      </w:tr>
      <w:tr w14:paraId="5D19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654E527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武胜关镇</w:t>
            </w:r>
          </w:p>
        </w:tc>
        <w:tc>
          <w:tcPr>
            <w:tcW w:w="1425" w:type="pct"/>
            <w:shd w:val="clear" w:color="auto" w:fill="auto"/>
            <w:noWrap/>
            <w:vAlign w:val="center"/>
          </w:tcPr>
          <w:p w14:paraId="08BDF533">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32961</w:t>
            </w:r>
          </w:p>
        </w:tc>
        <w:tc>
          <w:tcPr>
            <w:tcW w:w="1618" w:type="pct"/>
            <w:shd w:val="clear" w:color="auto" w:fill="auto"/>
            <w:noWrap/>
            <w:vAlign w:val="center"/>
          </w:tcPr>
          <w:p w14:paraId="7A745CD2">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3531</w:t>
            </w:r>
          </w:p>
        </w:tc>
      </w:tr>
      <w:tr w14:paraId="5BC8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45AA442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杨寨镇</w:t>
            </w:r>
          </w:p>
        </w:tc>
        <w:tc>
          <w:tcPr>
            <w:tcW w:w="1425" w:type="pct"/>
            <w:shd w:val="clear" w:color="auto" w:fill="auto"/>
            <w:noWrap/>
            <w:vAlign w:val="center"/>
          </w:tcPr>
          <w:p w14:paraId="30059AD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33389</w:t>
            </w:r>
          </w:p>
        </w:tc>
        <w:tc>
          <w:tcPr>
            <w:tcW w:w="1618" w:type="pct"/>
            <w:shd w:val="clear" w:color="auto" w:fill="auto"/>
            <w:noWrap/>
            <w:vAlign w:val="center"/>
          </w:tcPr>
          <w:p w14:paraId="6211B139">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3577</w:t>
            </w:r>
          </w:p>
        </w:tc>
      </w:tr>
      <w:tr w14:paraId="4A6A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3EC8A89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陈巷镇</w:t>
            </w:r>
          </w:p>
        </w:tc>
        <w:tc>
          <w:tcPr>
            <w:tcW w:w="1425" w:type="pct"/>
            <w:shd w:val="clear" w:color="auto" w:fill="auto"/>
            <w:noWrap/>
            <w:vAlign w:val="center"/>
          </w:tcPr>
          <w:p w14:paraId="32F87F7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29360</w:t>
            </w:r>
          </w:p>
        </w:tc>
        <w:tc>
          <w:tcPr>
            <w:tcW w:w="1618" w:type="pct"/>
            <w:shd w:val="clear" w:color="auto" w:fill="auto"/>
            <w:noWrap/>
            <w:vAlign w:val="center"/>
          </w:tcPr>
          <w:p w14:paraId="023F1DE7">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3145</w:t>
            </w:r>
          </w:p>
        </w:tc>
      </w:tr>
      <w:tr w14:paraId="60BA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7E07605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长岭镇</w:t>
            </w:r>
          </w:p>
        </w:tc>
        <w:tc>
          <w:tcPr>
            <w:tcW w:w="1425" w:type="pct"/>
            <w:shd w:val="clear" w:color="auto" w:fill="auto"/>
            <w:noWrap/>
            <w:vAlign w:val="center"/>
          </w:tcPr>
          <w:p w14:paraId="7C088A2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56454</w:t>
            </w:r>
          </w:p>
        </w:tc>
        <w:tc>
          <w:tcPr>
            <w:tcW w:w="1618" w:type="pct"/>
            <w:shd w:val="clear" w:color="auto" w:fill="auto"/>
            <w:noWrap/>
            <w:vAlign w:val="center"/>
          </w:tcPr>
          <w:p w14:paraId="6EA8E730">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6047</w:t>
            </w:r>
          </w:p>
        </w:tc>
      </w:tr>
      <w:tr w14:paraId="56E5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5AD3406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马坪镇</w:t>
            </w:r>
          </w:p>
        </w:tc>
        <w:tc>
          <w:tcPr>
            <w:tcW w:w="1425" w:type="pct"/>
            <w:shd w:val="clear" w:color="auto" w:fill="auto"/>
            <w:noWrap/>
            <w:vAlign w:val="center"/>
          </w:tcPr>
          <w:p w14:paraId="755A6D4E">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27745</w:t>
            </w:r>
          </w:p>
        </w:tc>
        <w:tc>
          <w:tcPr>
            <w:tcW w:w="1618" w:type="pct"/>
            <w:shd w:val="clear" w:color="auto" w:fill="auto"/>
            <w:noWrap/>
            <w:vAlign w:val="center"/>
          </w:tcPr>
          <w:p w14:paraId="29204AE4">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2972</w:t>
            </w:r>
          </w:p>
        </w:tc>
      </w:tr>
      <w:tr w14:paraId="49DE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47657E2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关庙镇</w:t>
            </w:r>
          </w:p>
        </w:tc>
        <w:tc>
          <w:tcPr>
            <w:tcW w:w="1425" w:type="pct"/>
            <w:shd w:val="clear" w:color="auto" w:fill="auto"/>
            <w:noWrap/>
            <w:vAlign w:val="center"/>
          </w:tcPr>
          <w:p w14:paraId="1BA488D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24918</w:t>
            </w:r>
          </w:p>
        </w:tc>
        <w:tc>
          <w:tcPr>
            <w:tcW w:w="1618" w:type="pct"/>
            <w:shd w:val="clear" w:color="auto" w:fill="auto"/>
            <w:noWrap/>
            <w:vAlign w:val="center"/>
          </w:tcPr>
          <w:p w14:paraId="12225336">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2669</w:t>
            </w:r>
          </w:p>
        </w:tc>
      </w:tr>
      <w:tr w14:paraId="16CB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08481C6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余店镇</w:t>
            </w:r>
          </w:p>
        </w:tc>
        <w:tc>
          <w:tcPr>
            <w:tcW w:w="1425" w:type="pct"/>
            <w:shd w:val="clear" w:color="auto" w:fill="auto"/>
            <w:noWrap/>
            <w:vAlign w:val="center"/>
          </w:tcPr>
          <w:p w14:paraId="5176B47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38973</w:t>
            </w:r>
          </w:p>
        </w:tc>
        <w:tc>
          <w:tcPr>
            <w:tcW w:w="1618" w:type="pct"/>
            <w:shd w:val="clear" w:color="auto" w:fill="auto"/>
            <w:noWrap/>
            <w:vAlign w:val="center"/>
          </w:tcPr>
          <w:p w14:paraId="51F7497F">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4175</w:t>
            </w:r>
          </w:p>
        </w:tc>
      </w:tr>
      <w:tr w14:paraId="2B5D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1617810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吴店镇</w:t>
            </w:r>
          </w:p>
        </w:tc>
        <w:tc>
          <w:tcPr>
            <w:tcW w:w="1425" w:type="pct"/>
            <w:shd w:val="clear" w:color="auto" w:fill="auto"/>
            <w:noWrap/>
            <w:vAlign w:val="center"/>
          </w:tcPr>
          <w:p w14:paraId="1EBDA30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17479</w:t>
            </w:r>
          </w:p>
        </w:tc>
        <w:tc>
          <w:tcPr>
            <w:tcW w:w="1618" w:type="pct"/>
            <w:shd w:val="clear" w:color="auto" w:fill="auto"/>
            <w:noWrap/>
            <w:vAlign w:val="center"/>
          </w:tcPr>
          <w:p w14:paraId="6C239024">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1872</w:t>
            </w:r>
          </w:p>
        </w:tc>
      </w:tr>
      <w:tr w14:paraId="454C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418544F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郝店镇</w:t>
            </w:r>
          </w:p>
        </w:tc>
        <w:tc>
          <w:tcPr>
            <w:tcW w:w="1425" w:type="pct"/>
            <w:shd w:val="clear" w:color="auto" w:fill="auto"/>
            <w:noWrap/>
            <w:vAlign w:val="center"/>
          </w:tcPr>
          <w:p w14:paraId="30B4B02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21651</w:t>
            </w:r>
          </w:p>
        </w:tc>
        <w:tc>
          <w:tcPr>
            <w:tcW w:w="1618" w:type="pct"/>
            <w:shd w:val="clear" w:color="auto" w:fill="auto"/>
            <w:noWrap/>
            <w:vAlign w:val="center"/>
          </w:tcPr>
          <w:p w14:paraId="1ED7510B">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2319</w:t>
            </w:r>
          </w:p>
        </w:tc>
      </w:tr>
      <w:tr w14:paraId="4D87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2DF97B0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蔡河镇</w:t>
            </w:r>
          </w:p>
        </w:tc>
        <w:tc>
          <w:tcPr>
            <w:tcW w:w="1425" w:type="pct"/>
            <w:shd w:val="clear" w:color="auto" w:fill="auto"/>
            <w:noWrap/>
            <w:vAlign w:val="center"/>
          </w:tcPr>
          <w:p w14:paraId="56F1CF4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28327</w:t>
            </w:r>
          </w:p>
        </w:tc>
        <w:tc>
          <w:tcPr>
            <w:tcW w:w="1618" w:type="pct"/>
            <w:shd w:val="clear" w:color="auto" w:fill="auto"/>
            <w:noWrap/>
            <w:vAlign w:val="center"/>
          </w:tcPr>
          <w:p w14:paraId="15AA9E4F">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3034</w:t>
            </w:r>
          </w:p>
        </w:tc>
      </w:tr>
      <w:tr w14:paraId="4C5C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72CDE340">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李店镇</w:t>
            </w:r>
          </w:p>
        </w:tc>
        <w:tc>
          <w:tcPr>
            <w:tcW w:w="1425" w:type="pct"/>
            <w:shd w:val="clear" w:color="auto" w:fill="auto"/>
            <w:noWrap/>
            <w:vAlign w:val="center"/>
          </w:tcPr>
          <w:p w14:paraId="5F9401F0">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24937</w:t>
            </w:r>
          </w:p>
        </w:tc>
        <w:tc>
          <w:tcPr>
            <w:tcW w:w="1618" w:type="pct"/>
            <w:shd w:val="clear" w:color="auto" w:fill="auto"/>
            <w:noWrap/>
            <w:vAlign w:val="center"/>
          </w:tcPr>
          <w:p w14:paraId="4C1B3F69">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2671</w:t>
            </w:r>
          </w:p>
        </w:tc>
      </w:tr>
      <w:tr w14:paraId="74C1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122FD20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太平镇</w:t>
            </w:r>
          </w:p>
        </w:tc>
        <w:tc>
          <w:tcPr>
            <w:tcW w:w="1425" w:type="pct"/>
            <w:shd w:val="clear" w:color="auto" w:fill="auto"/>
            <w:noWrap/>
            <w:vAlign w:val="center"/>
          </w:tcPr>
          <w:p w14:paraId="4F9848C7">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18953</w:t>
            </w:r>
          </w:p>
        </w:tc>
        <w:tc>
          <w:tcPr>
            <w:tcW w:w="1618" w:type="pct"/>
            <w:shd w:val="clear" w:color="auto" w:fill="auto"/>
            <w:noWrap/>
            <w:vAlign w:val="center"/>
          </w:tcPr>
          <w:p w14:paraId="202CE106">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2030</w:t>
            </w:r>
          </w:p>
        </w:tc>
      </w:tr>
      <w:tr w14:paraId="76BC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38515AC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骆店镇</w:t>
            </w:r>
          </w:p>
        </w:tc>
        <w:tc>
          <w:tcPr>
            <w:tcW w:w="1425" w:type="pct"/>
            <w:shd w:val="clear" w:color="auto" w:fill="auto"/>
            <w:noWrap/>
            <w:vAlign w:val="center"/>
          </w:tcPr>
          <w:p w14:paraId="2413D338">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18843</w:t>
            </w:r>
          </w:p>
        </w:tc>
        <w:tc>
          <w:tcPr>
            <w:tcW w:w="1618" w:type="pct"/>
            <w:shd w:val="clear" w:color="auto" w:fill="auto"/>
            <w:noWrap/>
            <w:vAlign w:val="center"/>
          </w:tcPr>
          <w:p w14:paraId="279ABFCC">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2018</w:t>
            </w:r>
          </w:p>
        </w:tc>
      </w:tr>
      <w:tr w14:paraId="3A3B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3F76CA5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国有广水市中华山林场</w:t>
            </w:r>
          </w:p>
        </w:tc>
        <w:tc>
          <w:tcPr>
            <w:tcW w:w="1425" w:type="pct"/>
            <w:shd w:val="clear" w:color="auto" w:fill="auto"/>
            <w:noWrap/>
            <w:vAlign w:val="center"/>
          </w:tcPr>
          <w:p w14:paraId="4B3D187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47</w:t>
            </w:r>
          </w:p>
        </w:tc>
        <w:tc>
          <w:tcPr>
            <w:tcW w:w="1618" w:type="pct"/>
            <w:shd w:val="clear" w:color="auto" w:fill="auto"/>
            <w:noWrap/>
            <w:vAlign w:val="center"/>
          </w:tcPr>
          <w:p w14:paraId="01E145AF">
            <w:pPr>
              <w:jc w:val="center"/>
              <w:rPr>
                <w:rFonts w:ascii="Times New Roman" w:hAnsi="Times New Roman" w:eastAsia="仿宋"/>
                <w:color w:val="000000"/>
                <w:sz w:val="24"/>
                <w:szCs w:val="24"/>
              </w:rPr>
            </w:pPr>
            <w:r>
              <w:rPr>
                <w:rFonts w:hint="eastAsia" w:ascii="Times New Roman" w:hAnsi="Times New Roman" w:eastAsia="仿宋"/>
                <w:color w:val="000000"/>
                <w:sz w:val="24"/>
                <w:szCs w:val="24"/>
              </w:rPr>
              <w:t>5</w:t>
            </w:r>
          </w:p>
        </w:tc>
      </w:tr>
      <w:tr w14:paraId="7F44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956" w:type="pct"/>
            <w:shd w:val="clear" w:color="auto" w:fill="auto"/>
            <w:noWrap/>
            <w:vAlign w:val="center"/>
          </w:tcPr>
          <w:p w14:paraId="06BAAD2C">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广水市三潭风景区</w:t>
            </w:r>
          </w:p>
        </w:tc>
        <w:tc>
          <w:tcPr>
            <w:tcW w:w="1425" w:type="pct"/>
            <w:shd w:val="clear" w:color="auto" w:fill="auto"/>
            <w:noWrap/>
            <w:vAlign w:val="center"/>
          </w:tcPr>
          <w:p w14:paraId="42923060">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584</w:t>
            </w:r>
          </w:p>
        </w:tc>
        <w:tc>
          <w:tcPr>
            <w:tcW w:w="1618" w:type="pct"/>
            <w:shd w:val="clear" w:color="auto" w:fill="auto"/>
            <w:noWrap/>
            <w:vAlign w:val="center"/>
          </w:tcPr>
          <w:p w14:paraId="7D569FF9">
            <w:pPr>
              <w:jc w:val="center"/>
              <w:rPr>
                <w:rFonts w:ascii="Times New Roman" w:hAnsi="Times New Roman" w:eastAsia="仿宋"/>
                <w:color w:val="000000"/>
                <w:sz w:val="22"/>
              </w:rPr>
            </w:pPr>
            <w:r>
              <w:rPr>
                <w:rFonts w:hint="eastAsia" w:ascii="Times New Roman" w:hAnsi="Times New Roman" w:eastAsia="仿宋"/>
                <w:color w:val="000000"/>
                <w:sz w:val="22"/>
              </w:rPr>
              <w:t>63</w:t>
            </w:r>
          </w:p>
        </w:tc>
      </w:tr>
      <w:tr w14:paraId="4333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712BF224">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广水市经济开发区</w:t>
            </w:r>
          </w:p>
        </w:tc>
        <w:tc>
          <w:tcPr>
            <w:tcW w:w="1425" w:type="pct"/>
            <w:shd w:val="clear" w:color="auto" w:fill="auto"/>
            <w:noWrap/>
            <w:vAlign w:val="center"/>
          </w:tcPr>
          <w:p w14:paraId="3DF550C8">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8946</w:t>
            </w:r>
          </w:p>
        </w:tc>
        <w:tc>
          <w:tcPr>
            <w:tcW w:w="1618" w:type="pct"/>
            <w:shd w:val="clear" w:color="auto" w:fill="auto"/>
            <w:noWrap/>
            <w:vAlign w:val="center"/>
          </w:tcPr>
          <w:p w14:paraId="0728CC52">
            <w:pPr>
              <w:jc w:val="center"/>
              <w:rPr>
                <w:rFonts w:ascii="Times New Roman" w:hAnsi="Times New Roman" w:eastAsia="仿宋"/>
                <w:color w:val="000000"/>
                <w:sz w:val="22"/>
              </w:rPr>
            </w:pPr>
            <w:r>
              <w:rPr>
                <w:rFonts w:hint="eastAsia" w:ascii="Times New Roman" w:hAnsi="Times New Roman" w:eastAsia="仿宋"/>
                <w:color w:val="000000"/>
                <w:sz w:val="22"/>
              </w:rPr>
              <w:t>958</w:t>
            </w:r>
          </w:p>
        </w:tc>
      </w:tr>
      <w:tr w14:paraId="7F9F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6" w:type="pct"/>
            <w:shd w:val="clear" w:color="auto" w:fill="auto"/>
            <w:noWrap/>
            <w:vAlign w:val="center"/>
          </w:tcPr>
          <w:p w14:paraId="1A7CB5F4">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合计</w:t>
            </w:r>
          </w:p>
        </w:tc>
        <w:tc>
          <w:tcPr>
            <w:tcW w:w="1425" w:type="pct"/>
            <w:shd w:val="clear" w:color="auto" w:fill="auto"/>
            <w:noWrap/>
            <w:vAlign w:val="center"/>
          </w:tcPr>
          <w:p w14:paraId="3D5D2410">
            <w:pPr>
              <w:widowControl/>
              <w:jc w:val="center"/>
              <w:rPr>
                <w:rFonts w:ascii="Times New Roman" w:hAnsi="Times New Roman" w:eastAsia="仿宋" w:cs="宋体"/>
                <w:color w:val="000000"/>
                <w:kern w:val="0"/>
                <w:sz w:val="22"/>
              </w:rPr>
            </w:pPr>
            <w:r>
              <w:rPr>
                <w:rFonts w:hint="eastAsia" w:ascii="Times New Roman" w:hAnsi="Times New Roman" w:eastAsia="仿宋" w:cs="宋体"/>
                <w:color w:val="000000"/>
                <w:kern w:val="0"/>
                <w:sz w:val="22"/>
              </w:rPr>
              <w:t>710900</w:t>
            </w:r>
          </w:p>
        </w:tc>
        <w:tc>
          <w:tcPr>
            <w:tcW w:w="1618" w:type="pct"/>
            <w:shd w:val="clear" w:color="auto" w:fill="auto"/>
            <w:noWrap/>
            <w:vAlign w:val="center"/>
          </w:tcPr>
          <w:p w14:paraId="393D4C29">
            <w:pPr>
              <w:jc w:val="center"/>
              <w:rPr>
                <w:rFonts w:ascii="Times New Roman" w:hAnsi="Times New Roman" w:eastAsia="仿宋"/>
                <w:color w:val="000000"/>
                <w:sz w:val="22"/>
              </w:rPr>
            </w:pPr>
            <w:r>
              <w:rPr>
                <w:rFonts w:hint="eastAsia" w:ascii="Times New Roman" w:hAnsi="Times New Roman" w:eastAsia="仿宋"/>
                <w:color w:val="000000"/>
                <w:sz w:val="22"/>
              </w:rPr>
              <w:t>76152</w:t>
            </w:r>
          </w:p>
        </w:tc>
      </w:tr>
    </w:tbl>
    <w:p w14:paraId="26D528EE">
      <w:pPr>
        <w:rPr>
          <w:rFonts w:ascii="Times New Roman" w:hAnsi="Times New Roman" w:eastAsia="仿宋" w:cs="宋体"/>
          <w:color w:val="000000"/>
          <w:kern w:val="0"/>
          <w:sz w:val="24"/>
          <w:szCs w:val="28"/>
        </w:rPr>
      </w:pPr>
      <w:r>
        <w:rPr>
          <w:rFonts w:ascii="Times New Roman" w:hAnsi="Times New Roman" w:eastAsia="仿宋" w:cs="宋体"/>
          <w:color w:val="000000"/>
          <w:kern w:val="0"/>
          <w:sz w:val="24"/>
          <w:szCs w:val="28"/>
        </w:rPr>
        <w:t>2021</w:t>
      </w:r>
      <w:r>
        <w:rPr>
          <w:rFonts w:hint="eastAsia" w:ascii="Times New Roman" w:hAnsi="Times New Roman" w:eastAsia="仿宋" w:cs="宋体"/>
          <w:color w:val="000000"/>
          <w:kern w:val="0"/>
          <w:sz w:val="24"/>
          <w:szCs w:val="28"/>
        </w:rPr>
        <w:t>年第七次人口普查，湖北省人口死亡率</w:t>
      </w:r>
      <w:r>
        <w:rPr>
          <w:rFonts w:ascii="Times New Roman" w:hAnsi="Times New Roman" w:eastAsia="仿宋" w:cs="宋体"/>
          <w:color w:val="000000"/>
          <w:kern w:val="0"/>
          <w:sz w:val="24"/>
          <w:szCs w:val="28"/>
        </w:rPr>
        <w:t>7.03</w:t>
      </w:r>
      <w:r>
        <w:rPr>
          <w:rFonts w:hint="eastAsia" w:ascii="Times New Roman" w:hAnsi="Times New Roman" w:eastAsia="仿宋" w:cs="宋体"/>
          <w:color w:val="000000"/>
          <w:kern w:val="0"/>
          <w:sz w:val="24"/>
          <w:szCs w:val="28"/>
        </w:rPr>
        <w:t>‰，本规划人口死亡率以</w:t>
      </w:r>
      <w:r>
        <w:rPr>
          <w:rFonts w:ascii="Times New Roman" w:hAnsi="Times New Roman" w:eastAsia="仿宋" w:cs="宋体"/>
          <w:color w:val="000000"/>
          <w:kern w:val="0"/>
          <w:sz w:val="24"/>
          <w:szCs w:val="28"/>
        </w:rPr>
        <w:t>7.0</w:t>
      </w:r>
      <w:r>
        <w:rPr>
          <w:rFonts w:hint="eastAsia" w:ascii="Times New Roman" w:hAnsi="Times New Roman" w:eastAsia="仿宋" w:cs="宋体"/>
          <w:color w:val="000000"/>
          <w:kern w:val="0"/>
          <w:sz w:val="24"/>
          <w:szCs w:val="28"/>
        </w:rPr>
        <w:t>‰计，人口自然增长率以</w:t>
      </w:r>
      <w:r>
        <w:rPr>
          <w:rFonts w:ascii="Times New Roman" w:hAnsi="Times New Roman" w:eastAsia="仿宋" w:cs="宋体"/>
          <w:color w:val="000000"/>
          <w:kern w:val="0"/>
          <w:sz w:val="24"/>
          <w:szCs w:val="28"/>
        </w:rPr>
        <w:t>1.96</w:t>
      </w:r>
      <w:r>
        <w:rPr>
          <w:rFonts w:hint="eastAsia" w:ascii="Times New Roman" w:hAnsi="Times New Roman" w:eastAsia="仿宋" w:cs="宋体"/>
          <w:color w:val="000000"/>
          <w:kern w:val="0"/>
          <w:sz w:val="24"/>
          <w:szCs w:val="28"/>
        </w:rPr>
        <w:t>‰计。</w:t>
      </w:r>
    </w:p>
    <w:p w14:paraId="5A9001A9">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19" w:name="_Toc200565615"/>
      <w:r>
        <w:rPr>
          <w:rFonts w:hint="eastAsia" w:ascii="Times New Roman" w:hAnsi="Times New Roman" w:eastAsia="仿宋" w:cs="Times New Roman"/>
          <w:b w:val="0"/>
          <w:bCs w:val="0"/>
          <w:color w:val="000000" w:themeColor="text1"/>
          <w:szCs w:val="24"/>
          <w14:textFill>
            <w14:solidFill>
              <w14:schemeClr w14:val="tx1"/>
            </w14:solidFill>
          </w14:textFill>
        </w:rPr>
        <w:t>殡仪设施需求</w:t>
      </w:r>
      <w:bookmarkEnd w:id="19"/>
    </w:p>
    <w:p w14:paraId="619C8A0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基于死亡人口预测，2021-2035年均死亡人口</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为</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 xml:space="preserve">5077人，日均死亡人口为14人。基于日均死亡人口预测，结合日常检修、日均死亡人口不确定性等因素，预留20%余量，全市至少需配备37辆殡仪专用车辆。 </w:t>
      </w:r>
    </w:p>
    <w:p w14:paraId="4D6751DB">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0" w:name="_Toc200565616"/>
      <w:r>
        <w:rPr>
          <w:rFonts w:hint="eastAsia" w:ascii="Times New Roman" w:hAnsi="Times New Roman" w:eastAsia="仿宋" w:cs="Times New Roman"/>
          <w:b w:val="0"/>
          <w:bCs w:val="0"/>
          <w:color w:val="000000" w:themeColor="text1"/>
          <w:szCs w:val="24"/>
          <w14:textFill>
            <w14:solidFill>
              <w14:schemeClr w14:val="tx1"/>
            </w14:solidFill>
          </w14:textFill>
        </w:rPr>
        <w:t>安葬设施需求</w:t>
      </w:r>
      <w:bookmarkEnd w:id="20"/>
    </w:p>
    <w:p w14:paraId="0FBC245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安葬需求主要包含两部分内容，即新增死亡人口安葬需求和现状墓穴平迁安置需求。</w:t>
      </w:r>
    </w:p>
    <w:p w14:paraId="3FC9DE2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预测2021-2035年死亡人口总计7.6万人，新增死亡人口骨灰安置需求为7.6万穴（格）。</w:t>
      </w:r>
    </w:p>
    <w:p w14:paraId="3E5CC793">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依据《关于深化殡葬改革推进全域火葬的工作方案》，广水市实现城乡公益性公墓全部建成并覆盖广水全域，确保满足安葬需求。包括广水市17个镇、办和1个经济开发区、341个村庄。</w:t>
      </w:r>
    </w:p>
    <w:p w14:paraId="63A56F81">
      <w:pPr>
        <w:spacing w:line="600" w:lineRule="exact"/>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086135D6">
      <w:pPr>
        <w:rPr>
          <w:rFonts w:ascii="Times New Roman" w:hAnsi="Times New Roman" w:eastAsia="仿宋"/>
        </w:rPr>
      </w:pPr>
    </w:p>
    <w:p w14:paraId="145B07A5">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21" w:name="_Toc200565617"/>
      <w:r>
        <w:rPr>
          <w:rFonts w:hint="eastAsia" w:ascii="Times New Roman" w:hAnsi="Times New Roman" w:eastAsia="仿宋" w:cs="Times New Roman"/>
          <w:color w:val="000000" w:themeColor="text1"/>
          <w:sz w:val="40"/>
          <w:szCs w:val="40"/>
          <w14:textFill>
            <w14:solidFill>
              <w14:schemeClr w14:val="tx1"/>
            </w14:solidFill>
          </w14:textFill>
        </w:rPr>
        <w:t>殡葬设施空间布局</w:t>
      </w:r>
      <w:bookmarkEnd w:id="21"/>
    </w:p>
    <w:p w14:paraId="03410190">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2" w:name="_Toc200565618"/>
      <w:r>
        <w:rPr>
          <w:rFonts w:hint="eastAsia" w:ascii="Times New Roman" w:hAnsi="Times New Roman" w:eastAsia="仿宋" w:cs="Times New Roman"/>
          <w:b w:val="0"/>
          <w:bCs w:val="0"/>
          <w:color w:val="000000" w:themeColor="text1"/>
          <w:szCs w:val="24"/>
          <w14:textFill>
            <w14:solidFill>
              <w14:schemeClr w14:val="tx1"/>
            </w14:solidFill>
          </w14:textFill>
        </w:rPr>
        <w:t>殡葬服务设施建设标准</w:t>
      </w:r>
      <w:bookmarkEnd w:id="22"/>
    </w:p>
    <w:p w14:paraId="6FE5A2C3">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1.殡仪设施</w:t>
      </w:r>
    </w:p>
    <w:p w14:paraId="57A20E8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（1）原则上每个县（市）建有1个殡仪馆，依据国家级标准建设。</w:t>
      </w:r>
    </w:p>
    <w:p w14:paraId="7F14FD6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原则上每个镇（乡）建有1个殡仪服务中心，参考相关建设标准要求，结合广水各镇实际情况，建议新增镇级殡仪服务中心用地不小于500㎡，建筑面积不小于1000㎡，灵堂数量不小于2间。镇级殡仪服务中心建设，由市民政局根据需要进行总体规划，在集镇周边或镇级公益性公墓所在村选址，因地制宜利用公办闲置资产进行改扩建，或进行房屋场地租赁改建，实行轻资产运营，不提倡大拆大建、重资产投资。为避免丧事活动扰民，不得在集镇和居民区选址。镇级殡仪服务中心需配足殡仪车和冰棺。4万人以下的镇（街道），原则上配备2-3台殡仪车、5-8台冰棺；4万人以上的镇（街道），原则上配备3-4台殡仪车、8-12台冰棺。</w:t>
      </w:r>
    </w:p>
    <w:p w14:paraId="634B465E">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2.安葬设施</w:t>
      </w:r>
    </w:p>
    <w:p w14:paraId="59D7631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（1）公墓分类</w:t>
      </w:r>
    </w:p>
    <w:p w14:paraId="3700FBC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按公墓等级，分为市级、镇级和村级；</w:t>
      </w:r>
    </w:p>
    <w:p w14:paraId="3BC84216">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按公墓的经营模式，分为经营性与公益性；公益性公墓包括城市公益性公墓和农村公益性墓地。</w:t>
      </w:r>
    </w:p>
    <w:p w14:paraId="0C9C075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按公墓的建设方式，分为公墓与骨灰存放处。</w:t>
      </w:r>
    </w:p>
    <w:p w14:paraId="58D20A57">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根据骨灰安置规划总量并兼顾经济发展水平等因素，城市公益性公墓分为四类。城市公益性公墓的建设规模应根据骨灰安置总量确定，并与服务人口数量、年死亡率、地区经济发展水平等因素相协调。城市公益性公墓的墓穴安葬数量不宜高于骨灰安置总量的40％，其建设规模分类应符合下表的规定。</w:t>
      </w:r>
    </w:p>
    <w:tbl>
      <w:tblPr>
        <w:tblStyle w:val="10"/>
        <w:tblW w:w="8926" w:type="dxa"/>
        <w:tblInd w:w="0" w:type="dxa"/>
        <w:tblLayout w:type="autofit"/>
        <w:tblCellMar>
          <w:top w:w="0" w:type="dxa"/>
          <w:left w:w="108" w:type="dxa"/>
          <w:bottom w:w="0" w:type="dxa"/>
          <w:right w:w="108" w:type="dxa"/>
        </w:tblCellMar>
      </w:tblPr>
      <w:tblGrid>
        <w:gridCol w:w="1271"/>
        <w:gridCol w:w="2835"/>
        <w:gridCol w:w="1843"/>
        <w:gridCol w:w="2977"/>
      </w:tblGrid>
      <w:tr w14:paraId="102CD075">
        <w:tblPrEx>
          <w:tblCellMar>
            <w:top w:w="0" w:type="dxa"/>
            <w:left w:w="108" w:type="dxa"/>
            <w:bottom w:w="0" w:type="dxa"/>
            <w:right w:w="108" w:type="dxa"/>
          </w:tblCellMar>
        </w:tblPrEx>
        <w:trPr>
          <w:trHeight w:val="270" w:hRule="atLeast"/>
        </w:trPr>
        <w:tc>
          <w:tcPr>
            <w:tcW w:w="89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CE389DE">
            <w:pPr>
              <w:widowControl/>
              <w:jc w:val="center"/>
              <w:rPr>
                <w:rFonts w:ascii="Times New Roman" w:hAnsi="Times New Roman" w:eastAsia="仿宋" w:cs="宋体"/>
                <w:color w:val="000000"/>
                <w:kern w:val="0"/>
                <w:szCs w:val="28"/>
              </w:rPr>
            </w:pPr>
            <w:r>
              <w:rPr>
                <w:rFonts w:hint="eastAsia" w:ascii="Times New Roman" w:hAnsi="Times New Roman" w:eastAsia="仿宋" w:cs="宋体"/>
                <w:b/>
                <w:bCs/>
                <w:color w:val="000000"/>
                <w:kern w:val="0"/>
                <w:szCs w:val="28"/>
              </w:rPr>
              <w:t>表4.1城市公益性公墓建设规模分类</w:t>
            </w:r>
          </w:p>
        </w:tc>
      </w:tr>
      <w:tr w14:paraId="547FB93B">
        <w:tblPrEx>
          <w:tblCellMar>
            <w:top w:w="0" w:type="dxa"/>
            <w:left w:w="108" w:type="dxa"/>
            <w:bottom w:w="0" w:type="dxa"/>
            <w:right w:w="108" w:type="dxa"/>
          </w:tblCellMar>
        </w:tblPrEx>
        <w:trPr>
          <w:trHeight w:val="270" w:hRule="atLeast"/>
        </w:trPr>
        <w:tc>
          <w:tcPr>
            <w:tcW w:w="1271" w:type="dxa"/>
            <w:tcBorders>
              <w:top w:val="nil"/>
              <w:left w:val="single" w:color="auto" w:sz="4" w:space="0"/>
              <w:bottom w:val="single" w:color="auto" w:sz="4" w:space="0"/>
              <w:right w:val="single" w:color="auto" w:sz="4" w:space="0"/>
            </w:tcBorders>
            <w:shd w:val="clear" w:color="auto" w:fill="auto"/>
            <w:noWrap/>
            <w:vAlign w:val="center"/>
          </w:tcPr>
          <w:p w14:paraId="2245E4E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类别</w:t>
            </w:r>
          </w:p>
        </w:tc>
        <w:tc>
          <w:tcPr>
            <w:tcW w:w="2835" w:type="dxa"/>
            <w:tcBorders>
              <w:top w:val="nil"/>
              <w:left w:val="nil"/>
              <w:bottom w:val="single" w:color="auto" w:sz="4" w:space="0"/>
              <w:right w:val="single" w:color="auto" w:sz="4" w:space="0"/>
            </w:tcBorders>
            <w:shd w:val="clear" w:color="auto" w:fill="auto"/>
            <w:noWrap/>
            <w:vAlign w:val="center"/>
          </w:tcPr>
          <w:p w14:paraId="6E6C62C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骨灰安置总量（个）</w:t>
            </w:r>
          </w:p>
        </w:tc>
        <w:tc>
          <w:tcPr>
            <w:tcW w:w="1843" w:type="dxa"/>
            <w:tcBorders>
              <w:top w:val="nil"/>
              <w:left w:val="nil"/>
              <w:bottom w:val="single" w:color="auto" w:sz="4" w:space="0"/>
              <w:right w:val="single" w:color="auto" w:sz="4" w:space="0"/>
            </w:tcBorders>
            <w:shd w:val="clear" w:color="auto" w:fill="auto"/>
            <w:noWrap/>
            <w:vAlign w:val="center"/>
          </w:tcPr>
          <w:p w14:paraId="4F16C18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占地面积（㎡）</w:t>
            </w:r>
          </w:p>
        </w:tc>
        <w:tc>
          <w:tcPr>
            <w:tcW w:w="2977" w:type="dxa"/>
            <w:tcBorders>
              <w:top w:val="nil"/>
              <w:left w:val="nil"/>
              <w:bottom w:val="single" w:color="auto" w:sz="4" w:space="0"/>
              <w:right w:val="single" w:color="auto" w:sz="4" w:space="0"/>
            </w:tcBorders>
            <w:shd w:val="clear" w:color="auto" w:fill="auto"/>
            <w:noWrap/>
            <w:vAlign w:val="center"/>
          </w:tcPr>
          <w:p w14:paraId="370BA32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服务人口（万人）</w:t>
            </w:r>
          </w:p>
        </w:tc>
      </w:tr>
      <w:tr w14:paraId="196B70DC">
        <w:tblPrEx>
          <w:tblCellMar>
            <w:top w:w="0" w:type="dxa"/>
            <w:left w:w="108" w:type="dxa"/>
            <w:bottom w:w="0" w:type="dxa"/>
            <w:right w:w="108" w:type="dxa"/>
          </w:tblCellMar>
        </w:tblPrEx>
        <w:trPr>
          <w:trHeight w:val="270" w:hRule="atLeast"/>
        </w:trPr>
        <w:tc>
          <w:tcPr>
            <w:tcW w:w="1271" w:type="dxa"/>
            <w:tcBorders>
              <w:top w:val="nil"/>
              <w:left w:val="single" w:color="auto" w:sz="4" w:space="0"/>
              <w:bottom w:val="single" w:color="auto" w:sz="4" w:space="0"/>
              <w:right w:val="single" w:color="auto" w:sz="4" w:space="0"/>
            </w:tcBorders>
            <w:shd w:val="clear" w:color="auto" w:fill="auto"/>
            <w:noWrap/>
            <w:vAlign w:val="center"/>
          </w:tcPr>
          <w:p w14:paraId="42F1FC0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一类</w:t>
            </w:r>
          </w:p>
        </w:tc>
        <w:tc>
          <w:tcPr>
            <w:tcW w:w="2835" w:type="dxa"/>
            <w:tcBorders>
              <w:top w:val="nil"/>
              <w:left w:val="nil"/>
              <w:bottom w:val="single" w:color="auto" w:sz="4" w:space="0"/>
              <w:right w:val="single" w:color="auto" w:sz="4" w:space="0"/>
            </w:tcBorders>
            <w:shd w:val="clear" w:color="auto" w:fill="auto"/>
            <w:noWrap/>
            <w:vAlign w:val="center"/>
          </w:tcPr>
          <w:p w14:paraId="585D7799">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75001-90000</w:t>
            </w:r>
          </w:p>
        </w:tc>
        <w:tc>
          <w:tcPr>
            <w:tcW w:w="1843" w:type="dxa"/>
            <w:tcBorders>
              <w:top w:val="nil"/>
              <w:left w:val="nil"/>
              <w:bottom w:val="single" w:color="auto" w:sz="4" w:space="0"/>
              <w:right w:val="single" w:color="auto" w:sz="4" w:space="0"/>
            </w:tcBorders>
            <w:shd w:val="clear" w:color="auto" w:fill="auto"/>
            <w:noWrap/>
            <w:vAlign w:val="center"/>
          </w:tcPr>
          <w:p w14:paraId="14C1FC21">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130001-200000</w:t>
            </w:r>
          </w:p>
        </w:tc>
        <w:tc>
          <w:tcPr>
            <w:tcW w:w="2977" w:type="dxa"/>
            <w:tcBorders>
              <w:top w:val="nil"/>
              <w:left w:val="nil"/>
              <w:bottom w:val="single" w:color="auto" w:sz="4" w:space="0"/>
              <w:right w:val="single" w:color="auto" w:sz="4" w:space="0"/>
            </w:tcBorders>
            <w:shd w:val="clear" w:color="auto" w:fill="auto"/>
            <w:noWrap/>
            <w:vAlign w:val="center"/>
          </w:tcPr>
          <w:p w14:paraId="70F245C4">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＞100</w:t>
            </w:r>
          </w:p>
        </w:tc>
      </w:tr>
      <w:tr w14:paraId="5415CE18">
        <w:tblPrEx>
          <w:tblCellMar>
            <w:top w:w="0" w:type="dxa"/>
            <w:left w:w="108" w:type="dxa"/>
            <w:bottom w:w="0" w:type="dxa"/>
            <w:right w:w="108" w:type="dxa"/>
          </w:tblCellMar>
        </w:tblPrEx>
        <w:trPr>
          <w:trHeight w:val="270" w:hRule="atLeast"/>
        </w:trPr>
        <w:tc>
          <w:tcPr>
            <w:tcW w:w="1271" w:type="dxa"/>
            <w:tcBorders>
              <w:top w:val="nil"/>
              <w:left w:val="single" w:color="auto" w:sz="4" w:space="0"/>
              <w:bottom w:val="single" w:color="auto" w:sz="4" w:space="0"/>
              <w:right w:val="single" w:color="auto" w:sz="4" w:space="0"/>
            </w:tcBorders>
            <w:shd w:val="clear" w:color="auto" w:fill="auto"/>
            <w:noWrap/>
            <w:vAlign w:val="center"/>
          </w:tcPr>
          <w:p w14:paraId="49D556C0">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二类</w:t>
            </w:r>
          </w:p>
        </w:tc>
        <w:tc>
          <w:tcPr>
            <w:tcW w:w="2835" w:type="dxa"/>
            <w:tcBorders>
              <w:top w:val="nil"/>
              <w:left w:val="nil"/>
              <w:bottom w:val="single" w:color="auto" w:sz="4" w:space="0"/>
              <w:right w:val="single" w:color="auto" w:sz="4" w:space="0"/>
            </w:tcBorders>
            <w:shd w:val="clear" w:color="auto" w:fill="auto"/>
            <w:noWrap/>
            <w:vAlign w:val="center"/>
          </w:tcPr>
          <w:p w14:paraId="186DF1BF">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45001-75000</w:t>
            </w:r>
          </w:p>
        </w:tc>
        <w:tc>
          <w:tcPr>
            <w:tcW w:w="1843" w:type="dxa"/>
            <w:tcBorders>
              <w:top w:val="nil"/>
              <w:left w:val="nil"/>
              <w:bottom w:val="single" w:color="auto" w:sz="4" w:space="0"/>
              <w:right w:val="single" w:color="auto" w:sz="4" w:space="0"/>
            </w:tcBorders>
            <w:shd w:val="clear" w:color="auto" w:fill="auto"/>
            <w:noWrap/>
            <w:vAlign w:val="center"/>
          </w:tcPr>
          <w:p w14:paraId="4CDFF8BD">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70001-130000</w:t>
            </w:r>
          </w:p>
        </w:tc>
        <w:tc>
          <w:tcPr>
            <w:tcW w:w="2977" w:type="dxa"/>
            <w:tcBorders>
              <w:top w:val="nil"/>
              <w:left w:val="nil"/>
              <w:bottom w:val="single" w:color="auto" w:sz="4" w:space="0"/>
              <w:right w:val="single" w:color="auto" w:sz="4" w:space="0"/>
            </w:tcBorders>
            <w:shd w:val="clear" w:color="auto" w:fill="auto"/>
            <w:noWrap/>
            <w:vAlign w:val="center"/>
          </w:tcPr>
          <w:p w14:paraId="47564805">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60-100</w:t>
            </w:r>
          </w:p>
        </w:tc>
      </w:tr>
      <w:tr w14:paraId="6A370001">
        <w:tblPrEx>
          <w:tblCellMar>
            <w:top w:w="0" w:type="dxa"/>
            <w:left w:w="108" w:type="dxa"/>
            <w:bottom w:w="0" w:type="dxa"/>
            <w:right w:w="108" w:type="dxa"/>
          </w:tblCellMar>
        </w:tblPrEx>
        <w:trPr>
          <w:trHeight w:val="270" w:hRule="atLeast"/>
        </w:trPr>
        <w:tc>
          <w:tcPr>
            <w:tcW w:w="1271" w:type="dxa"/>
            <w:tcBorders>
              <w:top w:val="nil"/>
              <w:left w:val="single" w:color="auto" w:sz="4" w:space="0"/>
              <w:bottom w:val="single" w:color="auto" w:sz="4" w:space="0"/>
              <w:right w:val="single" w:color="auto" w:sz="4" w:space="0"/>
            </w:tcBorders>
            <w:shd w:val="clear" w:color="auto" w:fill="auto"/>
            <w:noWrap/>
            <w:vAlign w:val="center"/>
          </w:tcPr>
          <w:p w14:paraId="6390463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三类</w:t>
            </w:r>
          </w:p>
        </w:tc>
        <w:tc>
          <w:tcPr>
            <w:tcW w:w="2835" w:type="dxa"/>
            <w:tcBorders>
              <w:top w:val="nil"/>
              <w:left w:val="nil"/>
              <w:bottom w:val="single" w:color="auto" w:sz="4" w:space="0"/>
              <w:right w:val="single" w:color="auto" w:sz="4" w:space="0"/>
            </w:tcBorders>
            <w:shd w:val="clear" w:color="auto" w:fill="auto"/>
            <w:noWrap/>
            <w:vAlign w:val="center"/>
          </w:tcPr>
          <w:p w14:paraId="30E34BA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15001-45000</w:t>
            </w:r>
          </w:p>
        </w:tc>
        <w:tc>
          <w:tcPr>
            <w:tcW w:w="1843" w:type="dxa"/>
            <w:tcBorders>
              <w:top w:val="nil"/>
              <w:left w:val="nil"/>
              <w:bottom w:val="single" w:color="auto" w:sz="4" w:space="0"/>
              <w:right w:val="single" w:color="auto" w:sz="4" w:space="0"/>
            </w:tcBorders>
            <w:shd w:val="clear" w:color="auto" w:fill="auto"/>
            <w:noWrap/>
            <w:vAlign w:val="center"/>
          </w:tcPr>
          <w:p w14:paraId="1AD9458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35001-70000</w:t>
            </w:r>
          </w:p>
        </w:tc>
        <w:tc>
          <w:tcPr>
            <w:tcW w:w="2977" w:type="dxa"/>
            <w:tcBorders>
              <w:top w:val="nil"/>
              <w:left w:val="nil"/>
              <w:bottom w:val="single" w:color="auto" w:sz="4" w:space="0"/>
              <w:right w:val="single" w:color="auto" w:sz="4" w:space="0"/>
            </w:tcBorders>
            <w:shd w:val="clear" w:color="auto" w:fill="auto"/>
            <w:noWrap/>
            <w:vAlign w:val="center"/>
          </w:tcPr>
          <w:p w14:paraId="1C4DA81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20-60</w:t>
            </w:r>
          </w:p>
        </w:tc>
      </w:tr>
      <w:tr w14:paraId="7F6DE7C2">
        <w:tblPrEx>
          <w:tblCellMar>
            <w:top w:w="0" w:type="dxa"/>
            <w:left w:w="108" w:type="dxa"/>
            <w:bottom w:w="0" w:type="dxa"/>
            <w:right w:w="108" w:type="dxa"/>
          </w:tblCellMar>
        </w:tblPrEx>
        <w:trPr>
          <w:trHeight w:val="270" w:hRule="atLeast"/>
        </w:trPr>
        <w:tc>
          <w:tcPr>
            <w:tcW w:w="1271" w:type="dxa"/>
            <w:tcBorders>
              <w:top w:val="nil"/>
              <w:left w:val="single" w:color="auto" w:sz="4" w:space="0"/>
              <w:bottom w:val="single" w:color="auto" w:sz="4" w:space="0"/>
              <w:right w:val="single" w:color="auto" w:sz="4" w:space="0"/>
            </w:tcBorders>
            <w:shd w:val="clear" w:color="auto" w:fill="auto"/>
            <w:noWrap/>
            <w:vAlign w:val="center"/>
          </w:tcPr>
          <w:p w14:paraId="5B080B4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四类</w:t>
            </w:r>
          </w:p>
        </w:tc>
        <w:tc>
          <w:tcPr>
            <w:tcW w:w="2835" w:type="dxa"/>
            <w:tcBorders>
              <w:top w:val="nil"/>
              <w:left w:val="nil"/>
              <w:bottom w:val="single" w:color="auto" w:sz="4" w:space="0"/>
              <w:right w:val="single" w:color="auto" w:sz="4" w:space="0"/>
            </w:tcBorders>
            <w:shd w:val="clear" w:color="auto" w:fill="auto"/>
            <w:noWrap/>
            <w:vAlign w:val="center"/>
          </w:tcPr>
          <w:p w14:paraId="5EA6096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5000-15000</w:t>
            </w:r>
          </w:p>
        </w:tc>
        <w:tc>
          <w:tcPr>
            <w:tcW w:w="1843" w:type="dxa"/>
            <w:tcBorders>
              <w:top w:val="nil"/>
              <w:left w:val="nil"/>
              <w:bottom w:val="single" w:color="auto" w:sz="4" w:space="0"/>
              <w:right w:val="single" w:color="auto" w:sz="4" w:space="0"/>
            </w:tcBorders>
            <w:shd w:val="clear" w:color="auto" w:fill="auto"/>
            <w:noWrap/>
            <w:vAlign w:val="center"/>
          </w:tcPr>
          <w:p w14:paraId="22C4518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10000-35000</w:t>
            </w:r>
          </w:p>
        </w:tc>
        <w:tc>
          <w:tcPr>
            <w:tcW w:w="2977" w:type="dxa"/>
            <w:tcBorders>
              <w:top w:val="nil"/>
              <w:left w:val="nil"/>
              <w:bottom w:val="single" w:color="auto" w:sz="4" w:space="0"/>
              <w:right w:val="single" w:color="auto" w:sz="4" w:space="0"/>
            </w:tcBorders>
            <w:shd w:val="clear" w:color="auto" w:fill="auto"/>
            <w:noWrap/>
            <w:vAlign w:val="center"/>
          </w:tcPr>
          <w:p w14:paraId="60783AA0">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＜20</w:t>
            </w:r>
          </w:p>
        </w:tc>
      </w:tr>
    </w:tbl>
    <w:p w14:paraId="3661034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依据随州市殡葬改革工作领导小组文件《农村公益性公墓建设指南》，</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镇级公益性公墓一期建设用地一般不超过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5亩</w:t>
      </w:r>
      <w:r>
        <w:rPr>
          <w:rFonts w:ascii="Times New Roman" w:hAnsi="Times New Roman" w:eastAsia="仿宋" w:cs="Times New Roman"/>
          <w:color w:val="000000" w:themeColor="text1"/>
          <w:sz w:val="32"/>
          <w:szCs w:val="24"/>
          <w14:textFill>
            <w14:solidFill>
              <w14:schemeClr w14:val="tx1"/>
            </w14:solidFill>
          </w14:textFill>
          <w14:ligatures w14:val="standardContextual"/>
        </w:rPr>
        <w:t>，建</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设200个墓穴</w:t>
      </w:r>
      <w:r>
        <w:rPr>
          <w:rFonts w:ascii="Times New Roman" w:hAnsi="Times New Roman" w:eastAsia="仿宋" w:cs="Times New Roman"/>
          <w:color w:val="000000" w:themeColor="text1"/>
          <w:sz w:val="32"/>
          <w:szCs w:val="24"/>
          <w14:textFill>
            <w14:solidFill>
              <w14:schemeClr w14:val="tx1"/>
            </w14:solidFill>
          </w14:textFill>
          <w14:ligatures w14:val="standardContextual"/>
        </w:rPr>
        <w:t>，总占地不超过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20亩</w:t>
      </w:r>
      <w:r>
        <w:rPr>
          <w:rFonts w:ascii="Times New Roman" w:hAnsi="Times New Roman" w:eastAsia="仿宋" w:cs="Times New Roman"/>
          <w:color w:val="000000" w:themeColor="text1"/>
          <w:sz w:val="32"/>
          <w:szCs w:val="24"/>
          <w14:textFill>
            <w14:solidFill>
              <w14:schemeClr w14:val="tx1"/>
            </w14:solidFill>
          </w14:textFill>
          <w14:ligatures w14:val="standardContextual"/>
        </w:rPr>
        <w:t>；村级公益性公墓一期建设用地一般不超过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3亩</w:t>
      </w:r>
      <w:r>
        <w:rPr>
          <w:rFonts w:ascii="Times New Roman" w:hAnsi="Times New Roman" w:eastAsia="仿宋" w:cs="Times New Roman"/>
          <w:color w:val="000000" w:themeColor="text1"/>
          <w:sz w:val="32"/>
          <w:szCs w:val="24"/>
          <w14:textFill>
            <w14:solidFill>
              <w14:schemeClr w14:val="tx1"/>
            </w14:solidFill>
          </w14:textFill>
          <w14:ligatures w14:val="standardContextual"/>
        </w:rPr>
        <w:t>，建设墓穴</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50个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，总占地不超过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10亩</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；镇级公益性公墓可以与村级公益性公墓联建。</w:t>
      </w:r>
    </w:p>
    <w:p w14:paraId="42C8645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各个公墓</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需</w:t>
      </w:r>
      <w:r>
        <w:rPr>
          <w:rFonts w:ascii="Times New Roman" w:hAnsi="Times New Roman" w:eastAsia="仿宋" w:cs="Times New Roman"/>
          <w:color w:val="000000" w:themeColor="text1"/>
          <w:sz w:val="32"/>
          <w:szCs w:val="24"/>
          <w14:textFill>
            <w14:solidFill>
              <w14:schemeClr w14:val="tx1"/>
            </w14:solidFill>
          </w14:textFill>
          <w14:ligatures w14:val="standardContextual"/>
        </w:rPr>
        <w:t>划出一定区域作为树葬、花坛藏、草坪藏等</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节地</w:t>
      </w:r>
      <w:r>
        <w:rPr>
          <w:rFonts w:ascii="Times New Roman" w:hAnsi="Times New Roman" w:eastAsia="仿宋" w:cs="Times New Roman"/>
          <w:color w:val="000000" w:themeColor="text1"/>
          <w:sz w:val="32"/>
          <w:szCs w:val="24"/>
          <w14:textFill>
            <w14:solidFill>
              <w14:schemeClr w14:val="tx1"/>
            </w14:solidFill>
          </w14:textFill>
          <w14:ligatures w14:val="standardContextual"/>
        </w:rPr>
        <w:t>生态安葬用地。</w:t>
      </w:r>
    </w:p>
    <w:p w14:paraId="1CBDF60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（2）公墓项目构成及安葬比例</w:t>
      </w:r>
    </w:p>
    <w:p w14:paraId="3E9472F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公益性公墓由墓地建筑、房屋建筑、建筑设备及场地等构成。</w:t>
      </w:r>
    </w:p>
    <w:p w14:paraId="600C24D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公益性公墓墓地建筑包括骨灰安置墓穴建筑和骨灰安放格位建筑。骨灰安置墓穴包括独立墓穴和合葬墓穴；骨灰安放格位建筑包括骨灰堂、骨灰楼、骨灰廊、骨灰墙、骨灰亭、骨灰花坛等。</w:t>
      </w:r>
    </w:p>
    <w:p w14:paraId="4CEDDFD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公益性公墓房屋建筑包括业务用房、管理用房和附属用房。</w:t>
      </w:r>
    </w:p>
    <w:p w14:paraId="5CAFFFA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公益性公墓建筑设备包括建筑给排水、建筑通风、建筑照明、建筑采暖、建筑电气等设备。</w:t>
      </w:r>
    </w:p>
    <w:p w14:paraId="66EED83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场地包括集散广场、祭扫场地、绿地、道路及公共停车场等。对于新建公益性公墓的占地面积以30亩～300亩为宜，而且在规划设计中，应逐渐减少墓穴安置数量，逐步增加骨灰格位安放数量，提倡少占地、节地和不占地等生态葬式葬法。骨灰安葬与骨灰安放比例的确定：根据调研数据，依公墓类别将骨灰安葬与骨灰安放占地面积比例估算为80:20（一类），85:15（二类），90:10（三类），95:5（四类）。</w:t>
      </w:r>
    </w:p>
    <w:p w14:paraId="73E9CB8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镇级公益性公墓可根据需要，配套管理用房、公共厕所、防火设施等。公墓内不得大面积硬化，不修建高大牌坊和硬化广场。新建</w:t>
      </w:r>
      <w:r>
        <w:rPr>
          <w:rFonts w:ascii="Times New Roman" w:hAnsi="Times New Roman" w:eastAsia="仿宋" w:cs="Times New Roman"/>
          <w:color w:val="000000" w:themeColor="text1"/>
          <w:sz w:val="32"/>
          <w:szCs w:val="24"/>
          <w14:textFill>
            <w14:solidFill>
              <w14:schemeClr w14:val="tx1"/>
            </w14:solidFill>
          </w14:textFill>
          <w14:ligatures w14:val="standardContextual"/>
        </w:rPr>
        <w:t>的</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农村</w:t>
      </w:r>
      <w:r>
        <w:rPr>
          <w:rFonts w:ascii="Times New Roman" w:hAnsi="Times New Roman" w:eastAsia="仿宋" w:cs="Times New Roman"/>
          <w:color w:val="000000" w:themeColor="text1"/>
          <w:sz w:val="32"/>
          <w:szCs w:val="24"/>
          <w14:textFill>
            <w14:solidFill>
              <w14:schemeClr w14:val="tx1"/>
            </w14:solidFill>
          </w14:textFill>
          <w14:ligatures w14:val="standardContextual"/>
        </w:rPr>
        <w:t>公益性公墓节地生态率</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需</w:t>
      </w:r>
      <w:r>
        <w:rPr>
          <w:rFonts w:ascii="Times New Roman" w:hAnsi="Times New Roman" w:eastAsia="仿宋" w:cs="Times New Roman"/>
          <w:color w:val="000000" w:themeColor="text1"/>
          <w:sz w:val="32"/>
          <w:szCs w:val="24"/>
          <w14:textFill>
            <w14:solidFill>
              <w14:schemeClr w14:val="tx1"/>
            </w14:solidFill>
          </w14:textFill>
          <w14:ligatures w14:val="standardContextual"/>
        </w:rPr>
        <w:t>达到</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100%。</w:t>
      </w:r>
    </w:p>
    <w:p w14:paraId="6B3235E3">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（3）单个公墓建设标准</w:t>
      </w:r>
    </w:p>
    <w:p w14:paraId="004A2DB2">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骨灰安置区墓穴建筑建设标准</w:t>
      </w:r>
    </w:p>
    <w:p w14:paraId="38C7AC4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随州市殡葬改革</w:t>
      </w:r>
      <w:r>
        <w:rPr>
          <w:rFonts w:ascii="Times New Roman" w:hAnsi="Times New Roman" w:eastAsia="仿宋" w:cs="Times New Roman"/>
          <w:color w:val="000000" w:themeColor="text1"/>
          <w:sz w:val="32"/>
          <w:szCs w:val="24"/>
          <w14:textFill>
            <w14:solidFill>
              <w14:schemeClr w14:val="tx1"/>
            </w14:solidFill>
          </w14:textFill>
          <w14:ligatures w14:val="standardContextual"/>
        </w:rPr>
        <w:t>工作领导小组文件</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《农村公益性</w:t>
      </w:r>
      <w:r>
        <w:rPr>
          <w:rFonts w:ascii="Times New Roman" w:hAnsi="Times New Roman" w:eastAsia="仿宋" w:cs="Times New Roman"/>
          <w:color w:val="000000" w:themeColor="text1"/>
          <w:sz w:val="32"/>
          <w:szCs w:val="24"/>
          <w14:textFill>
            <w14:solidFill>
              <w14:schemeClr w14:val="tx1"/>
            </w14:solidFill>
          </w14:textFill>
          <w14:ligatures w14:val="standardContextual"/>
        </w:rPr>
        <w:t>公墓建设指南</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》——每亩安葬量200个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左右，即</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200个墓穴/亩；</w:t>
      </w:r>
    </w:p>
    <w:p w14:paraId="5F2801F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广水市根据实际情况参考随州地区标准，综合分析不少于2</w:t>
      </w:r>
      <w:r>
        <w:rPr>
          <w:rFonts w:ascii="Times New Roman" w:hAnsi="Times New Roman" w:eastAsia="仿宋" w:cs="Times New Roman"/>
          <w:color w:val="000000" w:themeColor="text1"/>
          <w:sz w:val="32"/>
          <w:szCs w:val="24"/>
          <w14:textFill>
            <w14:solidFill>
              <w14:schemeClr w14:val="tx1"/>
            </w14:solidFill>
          </w14:textFill>
          <w14:ligatures w14:val="standardContextual"/>
        </w:rPr>
        <w:t>0</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0个墓穴/亩（含周围绿化，不含停车、道路、辅助用房等）；</w:t>
      </w:r>
    </w:p>
    <w:p w14:paraId="1CE16756">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城市公益性公墓独立墓穴的单位占地面积不得超过0.5㎡，合葬墓穴不超过0.8㎡（不含公共绿化和道路用地）。</w:t>
      </w:r>
    </w:p>
    <w:p w14:paraId="0E45FD9A">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骨灰安置区骨灰格建设标准</w:t>
      </w:r>
    </w:p>
    <w:p w14:paraId="2E1EA8A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骨灰楼、骨灰堂等建筑不宜高于6层，倡导建设骨灰廊、骨灰墙、骨灰亭、骨灰花坛等设施。 骨灰安放格位的单位建筑面积指标不宜大于0.25㎡/格。</w:t>
      </w:r>
    </w:p>
    <w:p w14:paraId="6937FE5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骨灰安放格位的单位建筑面积=骨灰安放格位建筑的建筑面积/格位安放总量。根据相关数据，骨灰安放格位的单位建筑面积指标一般在0.1㎡/格—0.25㎡/格之间，为便于管理，鼓励骨灰安放格位等节地葬式，骨灰安放格位的单位建筑面积指标不宜大于0.25㎡/格。本次测算公益性墓穴平均使用面积指标：单个骨灰格位建筑面积指标取0.2㎡/格。</w:t>
      </w:r>
    </w:p>
    <w:p w14:paraId="2425C90B">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3" w:name="_Toc200565619"/>
      <w:r>
        <w:rPr>
          <w:rFonts w:hint="eastAsia" w:ascii="Times New Roman" w:hAnsi="Times New Roman" w:eastAsia="仿宋" w:cs="Times New Roman"/>
          <w:b w:val="0"/>
          <w:bCs w:val="0"/>
          <w:color w:val="000000" w:themeColor="text1"/>
          <w:szCs w:val="24"/>
          <w14:textFill>
            <w14:solidFill>
              <w14:schemeClr w14:val="tx1"/>
            </w14:solidFill>
          </w14:textFill>
        </w:rPr>
        <w:t>开发建设模式</w:t>
      </w:r>
      <w:bookmarkEnd w:id="23"/>
    </w:p>
    <w:p w14:paraId="589E789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公益性公墓、殡仪服务中心依据《关于推行节地生态安葬的指导意见》、《公益性公墓建设标准》、《殡仪馆建设标准》、《公墓和骨灰寄存建筑设计规范》等文件，以及参考相应建筑设计规范开展建设。公益性公墓建设满足节地生态葬要求。</w:t>
      </w:r>
    </w:p>
    <w:p w14:paraId="52864C7E">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（1）公益性公墓建设模式</w:t>
      </w:r>
    </w:p>
    <w:p w14:paraId="05316AB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益性公墓可划分为骨灰安置区、业务办公区、公共服务区。骨灰安置按不同形式的比例要求集中规划，形成分布集中、用地紧凑的“标准”公墓建设模式。流线组织要求不同业务区分离、机动车与非机动车分离。规划用地容积率小于0.5；建筑密度小于30%；绿地率大于40%；绿化覆盖率大于50%。</w:t>
      </w:r>
    </w:p>
    <w:p w14:paraId="53D7F2B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公墓各分区面积占比：骨灰安置区面积占≥50%；业务办公区≤5%；公共服务区（停车等）30-45%。骨灰安葬占比：格位安放≥50%；墓穴安葬≤40%；生态循环10%。</w:t>
      </w:r>
    </w:p>
    <w:p w14:paraId="1E87BA44">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（2）殡仪服务中心建设模式</w:t>
      </w:r>
    </w:p>
    <w:p w14:paraId="58017D5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仪服务中心包含接待服务区、守灵区、办公区、停车场等功能分区，各镇建设不超过1处，每处用地面积至少为3亩，每处殡仪服务能力至少应达到2具/日。根据未来发展需要，全市统筹协调殡仪服务中心总量。在传统守灵、悼念、餐饮等基本功能基础上，进一步集合丧葬用品销售、殡仪专用车辆服务等功能，促进殡葬活动的集中管理，加强殡葬活动的管控协调。</w:t>
      </w:r>
    </w:p>
    <w:p w14:paraId="4C3387F8">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（3）“公益性公墓+殡仪服务中心”结合建设模式</w:t>
      </w:r>
    </w:p>
    <w:p w14:paraId="6FF4027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为便于集中管理，最大化集约、高效利用土地，减少空间闲置，提倡将公墓和殡仪服务中心合建，形成“公墓+殡仪服务中心”结合建设模式。两类殡葬设施共用公共服务空间（停车场等），</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形成</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最大化空间利用，空间布局上为人民群众丧葬活动提供更集中便捷的服务。</w:t>
      </w:r>
    </w:p>
    <w:p w14:paraId="7F108DF6">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4" w:name="_Toc200565620"/>
      <w:r>
        <w:rPr>
          <w:rFonts w:hint="eastAsia" w:ascii="Times New Roman" w:hAnsi="Times New Roman" w:eastAsia="仿宋" w:cs="Times New Roman"/>
          <w:b w:val="0"/>
          <w:bCs w:val="0"/>
          <w:color w:val="000000" w:themeColor="text1"/>
          <w:szCs w:val="24"/>
          <w14:textFill>
            <w14:solidFill>
              <w14:schemeClr w14:val="tx1"/>
            </w14:solidFill>
          </w14:textFill>
        </w:rPr>
        <w:t>选址原则</w:t>
      </w:r>
      <w:bookmarkEnd w:id="24"/>
    </w:p>
    <w:p w14:paraId="39230FAD">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（1）立足当前，着眼长远：</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面向广水市2035年殡葬发展事业，衔接《广水市国土空间总体规划（2021-2035）</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年</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》，殡葬服务设施规划总量供给和选址应满足长远要求。</w:t>
      </w:r>
    </w:p>
    <w:p w14:paraId="111D3CB0">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（2）片区平衡，集聚集约：</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按照省级标准，落实每个镇至少建有1座镇级公益性骨灰安葬（放）设施的要求，实现市域各片区之间、城乡之间殡葬事业发展平衡。</w:t>
      </w:r>
    </w:p>
    <w:p w14:paraId="29ADE170">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（3）绿色倡导，生态改造：</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深入践行习近平生态文明思想，推行不占或少占土地、少耗资源的节地生态安葬方式，充分发挥现有殡葬服务设施效能，节约土地，保护好城乡风景、森林和人居等生态环境。</w:t>
      </w:r>
    </w:p>
    <w:p w14:paraId="0EAE53B1">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（4）存量挖潜，设施合建：</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加强存量现状设施的利用，并通过引导，逐步实现现状设施的复合利用，鼓励新增的殡仪服务中心与公墓、安息堂等现状设施合建。落实部分已批拟建殡葬服务设施建设，优化已有拟建殡葬服务设施范围。</w:t>
      </w:r>
    </w:p>
    <w:p w14:paraId="50CD6426">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（5）交通导向，因地制宜：</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服务设施规划应考虑交通方便可达，为祭扫高峰预留足够交通疏导。避免选择灾害频发地段，宜有植被且利于排水，宜布置在山体山丘阳面。尽量远离水源保护地，与河流保持2000米以上防护距离。尽量位于当地盛行风下风向或非盛行风方向。</w:t>
      </w:r>
    </w:p>
    <w:p w14:paraId="7287DE24">
      <w:pPr>
        <w:spacing w:before="120" w:after="120" w:line="360" w:lineRule="auto"/>
        <w:ind w:firstLine="643"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（6）规避红线，远离禁区：</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严格规避广水市划定的“禁葬区”，包括市域内耕地（含基本农田）、市域内水利工程区域、沿高速路和公路干线、沿铁路、沿河道，水源保护区、文物保护区、风景名胜区、自然保护区、城市规划区、镇（办事处）集镇规划区和村庄规划区。位于禁葬区内的现存坟墓，除受国家保护的具有历史、艺术、科学价值的墓地予以保留外，应当逐步迁移或者绿化整改。</w:t>
      </w:r>
    </w:p>
    <w:p w14:paraId="61621133">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5" w:name="_Toc200565621"/>
      <w:r>
        <w:rPr>
          <w:rFonts w:hint="eastAsia" w:ascii="Times New Roman" w:hAnsi="Times New Roman" w:eastAsia="仿宋" w:cs="Times New Roman"/>
          <w:b w:val="0"/>
          <w:bCs w:val="0"/>
          <w:color w:val="000000" w:themeColor="text1"/>
          <w:szCs w:val="24"/>
          <w14:textFill>
            <w14:solidFill>
              <w14:schemeClr w14:val="tx1"/>
            </w14:solidFill>
          </w14:textFill>
        </w:rPr>
        <w:t>布局规划</w:t>
      </w:r>
      <w:bookmarkEnd w:id="25"/>
    </w:p>
    <w:p w14:paraId="0A3AB0C4">
      <w:pPr>
        <w:pStyle w:val="14"/>
        <w:ind w:left="72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（1）布局体系</w:t>
      </w:r>
    </w:p>
    <w:p w14:paraId="089BFD83">
      <w:pPr>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秉承政府主导、统筹规划、公益便民、节地生态等基本原则，基于现有殡葬设施基础，结合广水市未来15年丧葬需求和现状墓穴平迁需求，充分沟通协调各镇街实际情况，规划形成“3级-2大类-5小类”殡葬设施管理布局体系。</w:t>
      </w:r>
    </w:p>
    <w:p w14:paraId="635947C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“3级”为市级、镇级、村级；“2大类”为殡仪设施和安葬设施；“5小类”为市级殡仪馆、镇级殡仪服务中心、城市公益性公墓（骨灰堂）、镇级公益性公墓、村级公益性公墓。</w:t>
      </w:r>
    </w:p>
    <w:p w14:paraId="7324930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本次专项规划分为殡仪设施布局规划、安葬设施布局规划以及相关的规划实施安排、保障措施等部分。规划殡葬设施布点采用虚位控制，其选址原则、规模及设施要求原则上不得更改，位置可根据设施推进过程中实际情况进行调整。</w:t>
      </w:r>
    </w:p>
    <w:p w14:paraId="5D299B02">
      <w:pPr>
        <w:pStyle w:val="14"/>
        <w:ind w:left="72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（2）殡仪设施布局规划</w:t>
      </w:r>
    </w:p>
    <w:p w14:paraId="202C745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殡仪设施按照殡仪馆和殡仪服务中心两级进行配置。</w:t>
      </w:r>
    </w:p>
    <w:p w14:paraId="64790F6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保留现状广水市殡仪馆，为积极推进殡葬改革，满足全域火葬需求，拟对广水市殡仪馆进行改扩建。原址规划新增殡葬用地2410.8平方米，新建吊唁厅一栋7个，二层框架结构，建筑占地面积795.2平方米，总建筑面积1454.2平方米，并配套建设火化炉1台、给排水、照明、绿化、消防等基础设施。资金来源为申请上级拨款及自筹资金。目前已完成发改立项、可研、初设、用地申报等前期准备工作，属于近期重点项目。</w:t>
      </w:r>
    </w:p>
    <w:p w14:paraId="13514A7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16处镇级殡仪服务中心分属广水市除应山街道外的16个街镇，大多为近期新建，合计提供吊唁厅46个，基本能够满足“逝有所安”的办丧需求。</w:t>
      </w:r>
    </w:p>
    <w:p w14:paraId="30A2CC30">
      <w:pPr>
        <w:pStyle w:val="14"/>
        <w:ind w:left="720" w:firstLine="0" w:firstLineChars="0"/>
        <w:rPr>
          <w:rFonts w:ascii="Times New Roman" w:hAnsi="Times New Roman" w:eastAsia="仿宋"/>
          <w:b/>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（3）安葬设施布局规划</w:t>
      </w:r>
    </w:p>
    <w:p w14:paraId="70802B2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安葬设施布局规划按照市级、镇级、村级三级进行配置，实现公益性公墓镇村全覆盖。</w:t>
      </w:r>
    </w:p>
    <w:p w14:paraId="000519B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以镇为单位，以规划期限内死亡人数为基础，骨灰、生态、室内公墓安葬方式并存，鼓励树葬、花坛葬、草坪葬等多种生态节地葬方式。按布局原则落实各公墓的建设方式，控制公墓规模，满足总量需求。至规划期末，全市共有经营运作的15个镇级公墓（卧龙山不计），1个骨灰堂（城市公益性公墓附设1处），341个村级公墓，其中市级公益性公墓规划穴数39000个；15处镇级公墓每处穴位不少于200个；341处村级公墓每处穴位不少于50个，远期扩容至100穴/每处存进公墓，村级公墓平均占地2亩满足远期扩展需求，总穴数不少于7.64万，可以满足规划期末人们对于墓葬的需求。</w:t>
      </w:r>
    </w:p>
    <w:p w14:paraId="5EB9511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保留现状市级公益性公墓，位于城郊办事处马蹄桥村，该项目占地133亩，规划穴位3.9万个。现状市级公益性公墓一期工程已完工，建设穴位5000个；至规划中期2030年，完成广水市殡仪馆提档升级；至规划末期2035年建设完成市级公益性公墓二期工程，二期规划70亩，目前已完成规划和征地手续，扩容建设穴位至15000个；结合用地集约节约原则，市级公益性公墓采用集中式公墓建设模式，规划新增广水市公益性骨灰堂一处，附设于市级公益性公墓。该项目为远期建设项目，至规划期末2035年，容纳骨灰数量约</w:t>
      </w:r>
      <w:r>
        <w:rPr>
          <w:rFonts w:ascii="Times New Roman" w:hAnsi="Times New Roman" w:eastAsia="仿宋" w:cs="Times New Roman"/>
          <w:color w:val="000000" w:themeColor="text1"/>
          <w:sz w:val="32"/>
          <w:szCs w:val="24"/>
          <w14:textFill>
            <w14:solidFill>
              <w14:schemeClr w14:val="tx1"/>
            </w14:solidFill>
          </w14:textFill>
          <w14:ligatures w14:val="standardContextual"/>
        </w:rPr>
        <w:t>10000</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个。</w:t>
      </w:r>
    </w:p>
    <w:p w14:paraId="06688247">
      <w:pPr>
        <w:spacing w:before="120" w:after="120" w:line="360" w:lineRule="auto"/>
        <w:ind w:firstLine="640" w:firstLineChars="200"/>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暂时</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停用位于广水市经济开发区双岗社区的卧龙山公墓，该公墓约68亩，建有墓穴1052</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穴</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，安葬932穴。</w:t>
      </w:r>
    </w:p>
    <w:p w14:paraId="725A917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广水市拟提升扩容现状341处村级公益性公墓，其中关庙</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26个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马坪</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12个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长岭</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36个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、武胜关镇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w:t>
      </w:r>
      <w:r>
        <w:rPr>
          <w:rFonts w:ascii="Times New Roman" w:hAnsi="Times New Roman" w:eastAsia="仿宋" w:cs="Times New Roman"/>
          <w:color w:val="000000" w:themeColor="text1"/>
          <w:sz w:val="32"/>
          <w:szCs w:val="24"/>
          <w14:textFill>
            <w14:solidFill>
              <w14:schemeClr w14:val="tx1"/>
            </w14:solidFill>
          </w14:textFill>
          <w14:ligatures w14:val="standardContextual"/>
        </w:rPr>
        <w:t>6</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蔡河镇21个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w:t>
      </w:r>
      <w:r>
        <w:rPr>
          <w:rFonts w:ascii="Times New Roman" w:hAnsi="Times New Roman" w:eastAsia="仿宋" w:cs="Times New Roman"/>
          <w:color w:val="000000" w:themeColor="text1"/>
          <w:sz w:val="32"/>
          <w:szCs w:val="24"/>
          <w14:textFill>
            <w14:solidFill>
              <w14:schemeClr w14:val="tx1"/>
            </w14:solidFill>
          </w14:textFill>
          <w14:ligatures w14:val="standardContextual"/>
        </w:rPr>
        <w:t>街道</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12个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郝店镇12个、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骆店镇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17个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太平镇15个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、李店镇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19个、吴店</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13个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十里</w:t>
      </w:r>
      <w:r>
        <w:rPr>
          <w:rFonts w:ascii="Times New Roman" w:hAnsi="Times New Roman" w:eastAsia="仿宋" w:cs="Times New Roman"/>
          <w:color w:val="000000" w:themeColor="text1"/>
          <w:sz w:val="32"/>
          <w:szCs w:val="24"/>
          <w14:textFill>
            <w14:solidFill>
              <w14:schemeClr w14:val="tx1"/>
            </w14:solidFill>
          </w14:textFill>
          <w14:ligatures w14:val="standardContextual"/>
        </w:rPr>
        <w:t>街道</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29个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陈巷镇22个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余店</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38个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城郊</w:t>
      </w:r>
      <w:r>
        <w:rPr>
          <w:rFonts w:ascii="Times New Roman" w:hAnsi="Times New Roman" w:eastAsia="仿宋" w:cs="Times New Roman"/>
          <w:color w:val="000000" w:themeColor="text1"/>
          <w:sz w:val="32"/>
          <w:szCs w:val="24"/>
          <w14:textFill>
            <w14:solidFill>
              <w14:schemeClr w14:val="tx1"/>
            </w14:solidFill>
          </w14:textFill>
          <w14:ligatures w14:val="standardContextual"/>
        </w:rPr>
        <w:t>街道</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18个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杨寨</w:t>
      </w:r>
      <w:r>
        <w:rPr>
          <w:rFonts w:ascii="Times New Roman" w:hAnsi="Times New Roman" w:eastAsia="仿宋" w:cs="Times New Roman"/>
          <w:color w:val="000000" w:themeColor="text1"/>
          <w:sz w:val="32"/>
          <w:szCs w:val="24"/>
          <w14:textFill>
            <w14:solidFill>
              <w14:schemeClr w14:val="tx1"/>
            </w14:solidFill>
          </w14:textFill>
          <w14:ligatures w14:val="standardContextual"/>
        </w:rPr>
        <w:t>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22个以及工业</w:t>
      </w:r>
      <w:r>
        <w:rPr>
          <w:rFonts w:ascii="Times New Roman" w:hAnsi="Times New Roman" w:eastAsia="仿宋" w:cs="Times New Roman"/>
          <w:color w:val="000000" w:themeColor="text1"/>
          <w:sz w:val="32"/>
          <w:szCs w:val="24"/>
          <w14:textFill>
            <w14:solidFill>
              <w14:schemeClr w14:val="tx1"/>
            </w14:solidFill>
          </w14:textFill>
          <w14:ligatures w14:val="standardContextual"/>
        </w:rPr>
        <w:t>基地</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灵山</w:t>
      </w:r>
      <w:r>
        <w:rPr>
          <w:rFonts w:ascii="Times New Roman" w:hAnsi="Times New Roman" w:eastAsia="仿宋" w:cs="Times New Roman"/>
          <w:color w:val="000000" w:themeColor="text1"/>
          <w:sz w:val="32"/>
          <w:szCs w:val="24"/>
          <w14:textFill>
            <w14:solidFill>
              <w14:schemeClr w14:val="tx1"/>
            </w14:solidFill>
          </w14:textFill>
          <w14:ligatures w14:val="standardContextual"/>
        </w:rPr>
        <w:t>村</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公墓1个</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中华山林场</w:t>
      </w:r>
      <w:r>
        <w:rPr>
          <w:rFonts w:hint="eastAsia" w:ascii="Times New Roman" w:hAnsi="Times New Roman" w:eastAsia="仿宋" w:cs="微软雅黑"/>
          <w:color w:val="000000" w:themeColor="text1"/>
          <w:sz w:val="32"/>
          <w:szCs w:val="24"/>
          <w14:textFill>
            <w14:solidFill>
              <w14:schemeClr w14:val="tx1"/>
            </w14:solidFill>
          </w14:textFill>
          <w14:ligatures w14:val="standardContextual"/>
        </w:rPr>
        <w:t>莲</w:t>
      </w:r>
      <w:r>
        <w:rPr>
          <w:rFonts w:hint="eastAsia" w:ascii="Times New Roman" w:hAnsi="Times New Roman" w:eastAsia="仿宋" w:cs="___WRD_EMBED_SUB_44"/>
          <w:color w:val="000000" w:themeColor="text1"/>
          <w:sz w:val="32"/>
          <w:szCs w:val="24"/>
          <w14:textFill>
            <w14:solidFill>
              <w14:schemeClr w14:val="tx1"/>
            </w14:solidFill>
          </w14:textFill>
          <w14:ligatures w14:val="standardContextual"/>
        </w:rPr>
        <w:t>花村公墓</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1个、三</w:t>
      </w:r>
      <w:r>
        <w:rPr>
          <w:rFonts w:hint="eastAsia" w:ascii="Times New Roman" w:hAnsi="Times New Roman" w:eastAsia="仿宋" w:cs="微软雅黑"/>
          <w:color w:val="000000" w:themeColor="text1"/>
          <w:sz w:val="32"/>
          <w:szCs w:val="24"/>
          <w14:textFill>
            <w14:solidFill>
              <w14:schemeClr w14:val="tx1"/>
            </w14:solidFill>
          </w14:textFill>
          <w14:ligatures w14:val="standardContextual"/>
        </w:rPr>
        <w:t>潭</w:t>
      </w:r>
      <w:r>
        <w:rPr>
          <w:rFonts w:hint="eastAsia" w:ascii="Times New Roman" w:hAnsi="Times New Roman" w:eastAsia="仿宋" w:cs="___WRD_EMBED_SUB_44"/>
          <w:color w:val="000000" w:themeColor="text1"/>
          <w:sz w:val="32"/>
          <w:szCs w:val="24"/>
          <w14:textFill>
            <w14:solidFill>
              <w14:schemeClr w14:val="tx1"/>
            </w14:solidFill>
          </w14:textFill>
          <w14:ligatures w14:val="standardContextual"/>
        </w:rPr>
        <w:t>风景区公益性公墓1个</w:t>
      </w:r>
      <w:r>
        <w:rPr>
          <w:rFonts w:ascii="Times New Roman" w:hAnsi="Times New Roman" w:eastAsia="仿宋" w:cs="___WRD_EMBED_SUB_44"/>
          <w:color w:val="000000" w:themeColor="text1"/>
          <w:sz w:val="32"/>
          <w:szCs w:val="24"/>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实现公益性公墓建设村村全覆盖，近期村级公墓每处不少于50穴，集约节约建设，预留用地远期扩容至100穴/每处村级公墓。</w:t>
      </w:r>
    </w:p>
    <w:p w14:paraId="178C755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至规划期末2035年，广水市共有村级公墓341处。</w:t>
      </w:r>
    </w:p>
    <w:p w14:paraId="027ECACD">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6" w:name="_Toc200565622"/>
      <w:r>
        <w:rPr>
          <w:rFonts w:hint="eastAsia" w:ascii="Times New Roman" w:hAnsi="Times New Roman" w:eastAsia="仿宋" w:cs="Times New Roman"/>
          <w:b w:val="0"/>
          <w:bCs w:val="0"/>
          <w:color w:val="000000" w:themeColor="text1"/>
          <w:szCs w:val="24"/>
          <w14:textFill>
            <w14:solidFill>
              <w14:schemeClr w14:val="tx1"/>
            </w14:solidFill>
          </w14:textFill>
        </w:rPr>
        <w:t>环境控制规划</w:t>
      </w:r>
      <w:bookmarkEnd w:id="26"/>
    </w:p>
    <w:p w14:paraId="5536CA6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（1）按照“科学规划，合理布局，总量控制，统一监管”的原则，做好殡葬设施的环境控制规划。</w:t>
      </w:r>
    </w:p>
    <w:p w14:paraId="32009B0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（2）殡仪馆内建构筑物高度不宜超过15米，殡仪馆周边应留足15米以上的绿化隔离带，隔离带内应该选择高大的乔木和低矮灌木相结合的立体种植方式。</w:t>
      </w:r>
    </w:p>
    <w:p w14:paraId="5C484DC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（3）殡仪服务中心的建筑高度不宜超过15米，殡仪服务中心周边应控制5米以上绿化带，绿化带应该选择高大的乔木和低矮灌木相结合的立体种植方式，减少噪音对周边环境的干扰。</w:t>
      </w:r>
    </w:p>
    <w:p w14:paraId="5CDDD81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（4）公墓周边应控制15米以上绿化隔离带，利用山坡地作公墓的地方，内部树木应以常绿树木为主。</w:t>
      </w:r>
    </w:p>
    <w:p w14:paraId="45B8A92D">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27" w:name="_Toc200565623"/>
      <w:r>
        <w:rPr>
          <w:rFonts w:hint="eastAsia" w:ascii="Times New Roman" w:hAnsi="Times New Roman" w:eastAsia="仿宋" w:cs="Times New Roman"/>
          <w:color w:val="000000" w:themeColor="text1"/>
          <w:sz w:val="40"/>
          <w:szCs w:val="40"/>
          <w14:textFill>
            <w14:solidFill>
              <w14:schemeClr w14:val="tx1"/>
            </w14:solidFill>
          </w14:textFill>
        </w:rPr>
        <w:t>近期计划与实施保障</w:t>
      </w:r>
      <w:bookmarkEnd w:id="27"/>
    </w:p>
    <w:p w14:paraId="583EF89D">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28" w:name="_Toc200565624"/>
      <w:r>
        <w:rPr>
          <w:rFonts w:hint="eastAsia" w:ascii="Times New Roman" w:hAnsi="Times New Roman" w:eastAsia="仿宋" w:cs="Times New Roman"/>
          <w:b w:val="0"/>
          <w:bCs w:val="0"/>
          <w:color w:val="000000" w:themeColor="text1"/>
          <w:szCs w:val="24"/>
          <w14:textFill>
            <w14:solidFill>
              <w14:schemeClr w14:val="tx1"/>
            </w14:solidFill>
          </w14:textFill>
        </w:rPr>
        <w:t>近期建设计划</w:t>
      </w:r>
      <w:bookmarkEnd w:id="28"/>
    </w:p>
    <w:p w14:paraId="02D49401">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（1）近期建设目标</w:t>
      </w:r>
    </w:p>
    <w:p w14:paraId="303E8C3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至2025年，通过对现状公墓布局及建设情况的了解，结合相关规划的分析，近期主要对现有墓地资源进行有效整合，调整不合理布局，便于到规划期末能顺利进行统一管理。同时，对符合远期发展布局的规划的公墓进行墓区环境的建设，并适当建设生态公墓，满足近期对于墓葬设施的需求和环境要求。提倡降低骨灰墓穴比例，提高室内格位和生态墓穴比例，加快现状墓园生态化改造工程。</w:t>
      </w:r>
    </w:p>
    <w:p w14:paraId="6A96912B">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（2）规划措施</w:t>
      </w:r>
    </w:p>
    <w:p w14:paraId="2D4C186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按照逐步、分期、分批的原则。近期重点落实广水市殡仪馆改扩建工程。</w:t>
      </w:r>
    </w:p>
    <w:p w14:paraId="5B50217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广水市市、镇、村三级公益性公墓基本满足近期墓穴需求，现状公墓以环境品质提升，设施完善、用地集约化整治为主。</w:t>
      </w:r>
    </w:p>
    <w:p w14:paraId="2C1FF4F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对于影响城市建设发展的，位于新的“三沿五区”范围内的公墓进行限制发展管理，逐步进入封闭管理阶段，随着城市建设的发展，对于涉及影响建设的公墓进行迁并，此前则是对此类公墓主要进行环境整治，为迁并后还原成可建设用地、生态绿地等做好准备。</w:t>
      </w:r>
    </w:p>
    <w:p w14:paraId="6104BC4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对于已完成审批手续尚未建设的公墓</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近期内完成建设，新建公墓主要为生态公墓，应做好管理和停车等配套设施的建设。</w:t>
      </w:r>
    </w:p>
    <w:p w14:paraId="0DB8043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对于已完成审批手续并</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正在</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建设的公墓</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近期内进行扩建，完成规划审批</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手续</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，并且做好管理和停车等配套设施的建设。</w:t>
      </w:r>
    </w:p>
    <w:p w14:paraId="6786F863">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以镇为单位考虑近期内死亡人数的安置，各公墓每年应适当增加墓穴数量。</w:t>
      </w:r>
    </w:p>
    <w:p w14:paraId="3FF3ED91">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（3）重点项目</w:t>
      </w:r>
    </w:p>
    <w:p w14:paraId="0BEDBA5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殡葬设施重点项目包括广水市殡仪馆改扩建、广水市殡仪馆提档升级、广水市市级公益性公墓（二期）建设。</w:t>
      </w:r>
    </w:p>
    <w:tbl>
      <w:tblPr>
        <w:tblStyle w:val="10"/>
        <w:tblW w:w="5000" w:type="pct"/>
        <w:jc w:val="center"/>
        <w:tblLayout w:type="autofit"/>
        <w:tblCellMar>
          <w:top w:w="0" w:type="dxa"/>
          <w:left w:w="108" w:type="dxa"/>
          <w:bottom w:w="0" w:type="dxa"/>
          <w:right w:w="108" w:type="dxa"/>
        </w:tblCellMar>
      </w:tblPr>
      <w:tblGrid>
        <w:gridCol w:w="469"/>
        <w:gridCol w:w="1907"/>
        <w:gridCol w:w="2420"/>
        <w:gridCol w:w="1923"/>
        <w:gridCol w:w="1803"/>
      </w:tblGrid>
      <w:tr w14:paraId="5F10F8D1">
        <w:tblPrEx>
          <w:tblCellMar>
            <w:top w:w="0" w:type="dxa"/>
            <w:left w:w="108" w:type="dxa"/>
            <w:bottom w:w="0" w:type="dxa"/>
            <w:right w:w="108" w:type="dxa"/>
          </w:tblCellMar>
        </w:tblPrEx>
        <w:trPr>
          <w:trHeight w:val="409" w:hRule="atLeast"/>
          <w:jc w:val="center"/>
        </w:trPr>
        <w:tc>
          <w:tcPr>
            <w:tcW w:w="5000" w:type="pct"/>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3A11FC83">
            <w:pPr>
              <w:widowControl/>
              <w:jc w:val="center"/>
              <w:rPr>
                <w:rFonts w:ascii="Times New Roman" w:hAnsi="Times New Roman" w:eastAsia="仿宋" w:cs="宋体"/>
                <w:color w:val="000000"/>
                <w:kern w:val="0"/>
                <w:sz w:val="22"/>
              </w:rPr>
            </w:pPr>
            <w:r>
              <w:rPr>
                <w:rFonts w:hint="eastAsia" w:ascii="Times New Roman" w:hAnsi="Times New Roman" w:eastAsia="仿宋" w:cs="宋体"/>
                <w:b/>
                <w:bCs/>
                <w:color w:val="000000"/>
                <w:kern w:val="0"/>
                <w:szCs w:val="28"/>
              </w:rPr>
              <w:t>表5.1重点项目建设表</w:t>
            </w:r>
          </w:p>
        </w:tc>
      </w:tr>
      <w:tr w14:paraId="0DDDC3F2">
        <w:tblPrEx>
          <w:tblCellMar>
            <w:top w:w="0" w:type="dxa"/>
            <w:left w:w="108" w:type="dxa"/>
            <w:bottom w:w="0" w:type="dxa"/>
            <w:right w:w="108" w:type="dxa"/>
          </w:tblCellMar>
        </w:tblPrEx>
        <w:trPr>
          <w:trHeight w:val="409"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14:paraId="292651DA">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序号</w:t>
            </w:r>
          </w:p>
        </w:tc>
        <w:tc>
          <w:tcPr>
            <w:tcW w:w="1119" w:type="pct"/>
            <w:tcBorders>
              <w:top w:val="nil"/>
              <w:left w:val="nil"/>
              <w:bottom w:val="single" w:color="auto" w:sz="4" w:space="0"/>
              <w:right w:val="single" w:color="auto" w:sz="4" w:space="0"/>
            </w:tcBorders>
            <w:shd w:val="clear" w:color="auto" w:fill="auto"/>
            <w:vAlign w:val="center"/>
          </w:tcPr>
          <w:p w14:paraId="3E1EEF90">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项目名称</w:t>
            </w:r>
          </w:p>
        </w:tc>
        <w:tc>
          <w:tcPr>
            <w:tcW w:w="1420" w:type="pct"/>
            <w:tcBorders>
              <w:top w:val="nil"/>
              <w:left w:val="nil"/>
              <w:bottom w:val="single" w:color="auto" w:sz="4" w:space="0"/>
              <w:right w:val="single" w:color="auto" w:sz="4" w:space="0"/>
            </w:tcBorders>
            <w:shd w:val="clear" w:color="auto" w:fill="auto"/>
            <w:vAlign w:val="center"/>
          </w:tcPr>
          <w:p w14:paraId="43D9393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位置</w:t>
            </w:r>
          </w:p>
        </w:tc>
        <w:tc>
          <w:tcPr>
            <w:tcW w:w="1128" w:type="pct"/>
            <w:tcBorders>
              <w:top w:val="nil"/>
              <w:left w:val="nil"/>
              <w:bottom w:val="single" w:color="auto" w:sz="4" w:space="0"/>
              <w:right w:val="single" w:color="auto" w:sz="4" w:space="0"/>
            </w:tcBorders>
            <w:shd w:val="clear" w:color="auto" w:fill="auto"/>
            <w:vAlign w:val="center"/>
          </w:tcPr>
          <w:p w14:paraId="7F74948B">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规模</w:t>
            </w:r>
          </w:p>
        </w:tc>
        <w:tc>
          <w:tcPr>
            <w:tcW w:w="1058" w:type="pct"/>
            <w:tcBorders>
              <w:top w:val="nil"/>
              <w:left w:val="nil"/>
              <w:bottom w:val="single" w:color="auto" w:sz="4" w:space="0"/>
              <w:right w:val="single" w:color="auto" w:sz="4" w:space="0"/>
            </w:tcBorders>
            <w:shd w:val="clear" w:color="auto" w:fill="auto"/>
            <w:vAlign w:val="center"/>
          </w:tcPr>
          <w:p w14:paraId="3673A716">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开发时序</w:t>
            </w:r>
          </w:p>
        </w:tc>
      </w:tr>
      <w:tr w14:paraId="48E1627B">
        <w:tblPrEx>
          <w:tblCellMar>
            <w:top w:w="0" w:type="dxa"/>
            <w:left w:w="108" w:type="dxa"/>
            <w:bottom w:w="0" w:type="dxa"/>
            <w:right w:w="108" w:type="dxa"/>
          </w:tblCellMar>
        </w:tblPrEx>
        <w:trPr>
          <w:trHeight w:val="1228"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14:paraId="0FB2E34C">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w:t>
            </w:r>
          </w:p>
        </w:tc>
        <w:tc>
          <w:tcPr>
            <w:tcW w:w="1119" w:type="pct"/>
            <w:tcBorders>
              <w:top w:val="nil"/>
              <w:left w:val="nil"/>
              <w:bottom w:val="single" w:color="auto" w:sz="4" w:space="0"/>
              <w:right w:val="single" w:color="auto" w:sz="4" w:space="0"/>
            </w:tcBorders>
            <w:shd w:val="clear" w:color="auto" w:fill="auto"/>
            <w:vAlign w:val="center"/>
          </w:tcPr>
          <w:p w14:paraId="5CC69FEB">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广水市殡仪馆改扩建</w:t>
            </w:r>
          </w:p>
        </w:tc>
        <w:tc>
          <w:tcPr>
            <w:tcW w:w="1420" w:type="pct"/>
            <w:tcBorders>
              <w:top w:val="nil"/>
              <w:left w:val="nil"/>
              <w:bottom w:val="single" w:color="auto" w:sz="4" w:space="0"/>
              <w:right w:val="single" w:color="auto" w:sz="4" w:space="0"/>
            </w:tcBorders>
            <w:shd w:val="clear" w:color="auto" w:fill="auto"/>
            <w:vAlign w:val="center"/>
          </w:tcPr>
          <w:p w14:paraId="4AF1D4E2">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城郊办事处马蹄桥村</w:t>
            </w:r>
          </w:p>
        </w:tc>
        <w:tc>
          <w:tcPr>
            <w:tcW w:w="1128" w:type="pct"/>
            <w:tcBorders>
              <w:top w:val="nil"/>
              <w:left w:val="nil"/>
              <w:bottom w:val="single" w:color="auto" w:sz="4" w:space="0"/>
              <w:right w:val="single" w:color="auto" w:sz="4" w:space="0"/>
            </w:tcBorders>
            <w:shd w:val="clear" w:color="auto" w:fill="auto"/>
            <w:vAlign w:val="center"/>
          </w:tcPr>
          <w:p w14:paraId="3A80CC20">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新增殡葬用地2410.8平方米总建筑面积1454.2平方米</w:t>
            </w:r>
          </w:p>
        </w:tc>
        <w:tc>
          <w:tcPr>
            <w:tcW w:w="1058" w:type="pct"/>
            <w:tcBorders>
              <w:top w:val="nil"/>
              <w:left w:val="nil"/>
              <w:bottom w:val="single" w:color="auto" w:sz="4" w:space="0"/>
              <w:right w:val="single" w:color="auto" w:sz="4" w:space="0"/>
            </w:tcBorders>
            <w:shd w:val="clear" w:color="auto" w:fill="auto"/>
            <w:vAlign w:val="center"/>
          </w:tcPr>
          <w:p w14:paraId="7A23C249">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近期至2025年</w:t>
            </w:r>
          </w:p>
        </w:tc>
      </w:tr>
      <w:tr w14:paraId="3425763B">
        <w:tblPrEx>
          <w:tblCellMar>
            <w:top w:w="0" w:type="dxa"/>
            <w:left w:w="108" w:type="dxa"/>
            <w:bottom w:w="0" w:type="dxa"/>
            <w:right w:w="108" w:type="dxa"/>
          </w:tblCellMar>
        </w:tblPrEx>
        <w:trPr>
          <w:trHeight w:val="819"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14:paraId="098BDB2F">
            <w:pPr>
              <w:widowControl/>
              <w:jc w:val="center"/>
              <w:rPr>
                <w:rFonts w:ascii="Times New Roman" w:hAnsi="Times New Roman" w:eastAsia="仿宋" w:cs="宋体"/>
                <w:color w:val="000000"/>
                <w:kern w:val="0"/>
                <w:sz w:val="24"/>
                <w:szCs w:val="24"/>
              </w:rPr>
            </w:pPr>
            <w:bookmarkStart w:id="29" w:name="_Hlk200447288"/>
            <w:r>
              <w:rPr>
                <w:rFonts w:hint="eastAsia" w:ascii="Times New Roman" w:hAnsi="Times New Roman" w:eastAsia="仿宋" w:cs="宋体"/>
                <w:color w:val="000000"/>
                <w:kern w:val="0"/>
                <w:sz w:val="24"/>
                <w:szCs w:val="24"/>
              </w:rPr>
              <w:t>2</w:t>
            </w:r>
          </w:p>
        </w:tc>
        <w:tc>
          <w:tcPr>
            <w:tcW w:w="1119" w:type="pct"/>
            <w:tcBorders>
              <w:top w:val="nil"/>
              <w:left w:val="nil"/>
              <w:bottom w:val="single" w:color="auto" w:sz="4" w:space="0"/>
              <w:right w:val="single" w:color="auto" w:sz="4" w:space="0"/>
            </w:tcBorders>
            <w:shd w:val="clear" w:color="auto" w:fill="auto"/>
            <w:vAlign w:val="center"/>
          </w:tcPr>
          <w:p w14:paraId="55644D06">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广水市殡仪馆提档升级</w:t>
            </w:r>
          </w:p>
        </w:tc>
        <w:tc>
          <w:tcPr>
            <w:tcW w:w="1420" w:type="pct"/>
            <w:tcBorders>
              <w:top w:val="nil"/>
              <w:left w:val="nil"/>
              <w:bottom w:val="single" w:color="auto" w:sz="4" w:space="0"/>
              <w:right w:val="single" w:color="auto" w:sz="4" w:space="0"/>
            </w:tcBorders>
            <w:shd w:val="clear" w:color="auto" w:fill="auto"/>
            <w:vAlign w:val="center"/>
          </w:tcPr>
          <w:p w14:paraId="03EBCCCE">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城郊办事处马蹄桥村</w:t>
            </w:r>
          </w:p>
        </w:tc>
        <w:tc>
          <w:tcPr>
            <w:tcW w:w="1128" w:type="pct"/>
            <w:tcBorders>
              <w:top w:val="nil"/>
              <w:left w:val="nil"/>
              <w:bottom w:val="single" w:color="auto" w:sz="4" w:space="0"/>
              <w:right w:val="single" w:color="auto" w:sz="4" w:space="0"/>
            </w:tcBorders>
            <w:shd w:val="clear" w:color="auto" w:fill="auto"/>
            <w:vAlign w:val="center"/>
          </w:tcPr>
          <w:p w14:paraId="081CA45A">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新增火化炉2台，优化殡仪馆治丧环境</w:t>
            </w:r>
          </w:p>
        </w:tc>
        <w:tc>
          <w:tcPr>
            <w:tcW w:w="1058" w:type="pct"/>
            <w:tcBorders>
              <w:top w:val="nil"/>
              <w:left w:val="nil"/>
              <w:bottom w:val="single" w:color="auto" w:sz="4" w:space="0"/>
              <w:right w:val="single" w:color="auto" w:sz="4" w:space="0"/>
            </w:tcBorders>
            <w:shd w:val="clear" w:color="auto" w:fill="auto"/>
            <w:vAlign w:val="center"/>
          </w:tcPr>
          <w:p w14:paraId="4DD9B5EF">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中期至2030年</w:t>
            </w:r>
          </w:p>
        </w:tc>
      </w:tr>
      <w:bookmarkEnd w:id="29"/>
      <w:tr w14:paraId="5CB481A0">
        <w:tblPrEx>
          <w:tblCellMar>
            <w:top w:w="0" w:type="dxa"/>
            <w:left w:w="108" w:type="dxa"/>
            <w:bottom w:w="0" w:type="dxa"/>
            <w:right w:w="108" w:type="dxa"/>
          </w:tblCellMar>
        </w:tblPrEx>
        <w:trPr>
          <w:trHeight w:val="819"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14:paraId="1C357832">
            <w:pPr>
              <w:widowControl/>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w:t>
            </w:r>
          </w:p>
        </w:tc>
        <w:tc>
          <w:tcPr>
            <w:tcW w:w="1119" w:type="pct"/>
            <w:tcBorders>
              <w:top w:val="nil"/>
              <w:left w:val="nil"/>
              <w:bottom w:val="single" w:color="auto" w:sz="4" w:space="0"/>
              <w:right w:val="single" w:color="auto" w:sz="4" w:space="0"/>
            </w:tcBorders>
            <w:shd w:val="clear" w:color="auto" w:fill="auto"/>
            <w:vAlign w:val="center"/>
          </w:tcPr>
          <w:p w14:paraId="4A50E9EF">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广水市市级公益性公墓（二期）</w:t>
            </w:r>
          </w:p>
        </w:tc>
        <w:tc>
          <w:tcPr>
            <w:tcW w:w="1420" w:type="pct"/>
            <w:tcBorders>
              <w:top w:val="nil"/>
              <w:left w:val="nil"/>
              <w:bottom w:val="single" w:color="auto" w:sz="4" w:space="0"/>
              <w:right w:val="single" w:color="auto" w:sz="4" w:space="0"/>
            </w:tcBorders>
            <w:shd w:val="clear" w:color="auto" w:fill="auto"/>
            <w:vAlign w:val="center"/>
          </w:tcPr>
          <w:p w14:paraId="1D2B5283">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城郊办事处马蹄桥村</w:t>
            </w:r>
          </w:p>
        </w:tc>
        <w:tc>
          <w:tcPr>
            <w:tcW w:w="1128" w:type="pct"/>
            <w:tcBorders>
              <w:top w:val="nil"/>
              <w:left w:val="nil"/>
              <w:bottom w:val="single" w:color="auto" w:sz="4" w:space="0"/>
              <w:right w:val="single" w:color="auto" w:sz="4" w:space="0"/>
            </w:tcBorders>
            <w:shd w:val="clear" w:color="auto" w:fill="auto"/>
            <w:vAlign w:val="center"/>
          </w:tcPr>
          <w:p w14:paraId="22093984">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二期规划70亩，建设林下墓地</w:t>
            </w:r>
          </w:p>
        </w:tc>
        <w:tc>
          <w:tcPr>
            <w:tcW w:w="1058" w:type="pct"/>
            <w:tcBorders>
              <w:top w:val="nil"/>
              <w:left w:val="nil"/>
              <w:bottom w:val="single" w:color="auto" w:sz="4" w:space="0"/>
              <w:right w:val="single" w:color="auto" w:sz="4" w:space="0"/>
            </w:tcBorders>
            <w:shd w:val="clear" w:color="auto" w:fill="auto"/>
            <w:vAlign w:val="center"/>
          </w:tcPr>
          <w:p w14:paraId="56F05332">
            <w:pPr>
              <w:widowControl/>
              <w:jc w:val="left"/>
              <w:rPr>
                <w:rFonts w:ascii="Times New Roman" w:hAnsi="Times New Roman" w:eastAsia="仿宋" w:cs="宋体"/>
                <w:color w:val="000000"/>
                <w:kern w:val="0"/>
                <w:sz w:val="24"/>
                <w:szCs w:val="24"/>
              </w:rPr>
            </w:pPr>
            <w:r>
              <w:rPr>
                <w:rFonts w:hint="eastAsia" w:ascii="Times New Roman" w:hAnsi="Times New Roman" w:eastAsia="仿宋" w:cs="宋体"/>
                <w:kern w:val="0"/>
                <w:sz w:val="24"/>
                <w:szCs w:val="24"/>
              </w:rPr>
              <w:t>远期至2035年</w:t>
            </w:r>
          </w:p>
        </w:tc>
      </w:tr>
    </w:tbl>
    <w:p w14:paraId="13DDB683">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30" w:name="_Toc200565625"/>
      <w:r>
        <w:rPr>
          <w:rFonts w:hint="eastAsia" w:ascii="Times New Roman" w:hAnsi="Times New Roman" w:eastAsia="仿宋" w:cs="Times New Roman"/>
          <w:b w:val="0"/>
          <w:bCs w:val="0"/>
          <w:color w:val="000000" w:themeColor="text1"/>
          <w:szCs w:val="24"/>
          <w14:textFill>
            <w14:solidFill>
              <w14:schemeClr w14:val="tx1"/>
            </w14:solidFill>
          </w14:textFill>
        </w:rPr>
        <w:t>建设引导标准</w:t>
      </w:r>
      <w:bookmarkEnd w:id="30"/>
    </w:p>
    <w:p w14:paraId="3BAF7BD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（1）新建公墓主要以多种节地生态公墓形式进行建设，要求墓区服务设施和停车配套完善，管理规范，环境优美，墓地以少占土地的形式为主，引导公墓建设按照建设要求表进行控制。</w:t>
      </w:r>
    </w:p>
    <w:p w14:paraId="562E75B7">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（2）严格限制公墓墓穴的占地面积和使用年限。骨灰墓穴的占地面积单穴不得大于0.5平方米，双穴不得大于0.8平方米。公墓使用年限为20年。要求延长使用期限的，应按照《湖北省殡葬管理办法》意见办理。</w:t>
      </w:r>
    </w:p>
    <w:p w14:paraId="4F66D76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（3）新建墓穴</w:t>
      </w:r>
      <w:r>
        <w:rPr>
          <w:rFonts w:ascii="Times New Roman" w:hAnsi="Times New Roman" w:eastAsia="仿宋" w:cs="Times New Roman"/>
          <w:color w:val="000000" w:themeColor="text1"/>
          <w:sz w:val="32"/>
          <w:szCs w:val="24"/>
          <w14:textFill>
            <w14:solidFill>
              <w14:schemeClr w14:val="tx1"/>
            </w14:solidFill>
          </w14:textFill>
          <w14:ligatures w14:val="standardContextual"/>
        </w:rPr>
        <w:t>全部采用小型化、艺术化卧碑，</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墓碑</w:t>
      </w:r>
      <w:r>
        <w:rPr>
          <w:rFonts w:ascii="Times New Roman" w:hAnsi="Times New Roman" w:eastAsia="仿宋" w:cs="Times New Roman"/>
          <w:color w:val="000000" w:themeColor="text1"/>
          <w:sz w:val="32"/>
          <w:szCs w:val="24"/>
          <w14:textFill>
            <w14:solidFill>
              <w14:schemeClr w14:val="tx1"/>
            </w14:solidFill>
          </w14:textFill>
          <w14:ligatures w14:val="standardContextual"/>
        </w:rPr>
        <w:t>不超过墓穴占地范围，面积不超过</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0.4平方米，墓碑采用卧碑，墓碑倾斜角度不超过15度；墓穴上方除墓碑以外不得有任何构筑物。墓型设计应当因地制宜，小型、美观，符合公墓生态园林化要求。</w:t>
      </w:r>
    </w:p>
    <w:p w14:paraId="37636AA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4）城市公益性公墓绿化覆盖率不宜低于50%。另外，公墓骨灰安置区内祭祀焚烧存在较大的火灾隐患，因此宜设防火隔离带。公墓建设时应当尽量结合原有的地形地貌，尽量减小对原有地形地貌与植物植被的破坏，尤其应保留大型的乔木。墓位的建设应当因地制宜，尽量与原有生态环境相协调，避免出现整齐划一的布局。</w:t>
      </w:r>
    </w:p>
    <w:p w14:paraId="7BFF84BF">
      <w:pPr>
        <w:pStyle w:val="4"/>
        <w:numPr>
          <w:ilvl w:val="0"/>
          <w:numId w:val="2"/>
        </w:numPr>
        <w:spacing w:before="156" w:beforeLines="50" w:after="156" w:afterLines="50" w:line="360" w:lineRule="auto"/>
        <w:ind w:firstLine="321" w:firstLineChars="100"/>
        <w:rPr>
          <w:rFonts w:ascii="Times New Roman" w:hAnsi="Times New Roman" w:eastAsia="仿宋"/>
        </w:rPr>
      </w:pPr>
      <w:bookmarkStart w:id="31" w:name="_Toc200565626"/>
      <w:r>
        <w:rPr>
          <w:rFonts w:hint="eastAsia" w:ascii="Times New Roman" w:hAnsi="Times New Roman" w:eastAsia="仿宋"/>
        </w:rPr>
        <w:t>实施保障</w:t>
      </w:r>
      <w:bookmarkEnd w:id="31"/>
    </w:p>
    <w:p w14:paraId="14948BCD">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（1）建立殡葬管理联动机制 </w:t>
      </w:r>
    </w:p>
    <w:p w14:paraId="21C3E70E">
      <w:pPr>
        <w:ind w:firstLine="640" w:firstLineChars="200"/>
        <w:rPr>
          <w:rFonts w:ascii="Times New Roman" w:hAnsi="Times New Roman" w:eastAsia="仿宋"/>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建立多部门横向联动机制：建立由区政府组织，民政局牵头，联合发展改革委、公安局、司法局、规划和自然资源局、住房和建设委、市场监管局、财政局、纪监委、生态环境局、农业农村委、民族宗教委等部门的殡葬管理联动合作平台。建立健全领导协调机制，明确部门职责分工，强化目标考核，确保统一部署推进，多部门合力落实整治管理任务，共同承担整治管理责任。有关部门加强殡葬服务管理风险隐患源头防控，必要时采取联合执法的方式，对突出问题予以清理和查处。</w:t>
      </w:r>
    </w:p>
    <w:p w14:paraId="7383C4A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建立“市-镇”纵向联动机制：建立广水市民政局与各镇街之间的纵向沟通平台，纵向上根据不同层级的职责任务实施管理，充分发挥民政工作在基层社会治理中的职责，推动健全党委领导下的基层治理创新机制。在城区建立信息交流机制，在镇街成立红白理事会，树立每年的殡葬改革目标并给予村庄一定的帮助和补助，推进丧事简办、文明节俭，强化基层与政府部门之间的沟通渠道。各村成立红白理事会，建议由村书记或副书记兼任会长，各村小组（居委会）德高望重、热心公益事业的人士组成，写入村规民约，推进移风易俗、节俭办丧。同时促进公众发挥对政府、殡葬行业的监督作用，形成公众积极参与、与政府密切配合、殡葬行业满足需求的良好局面。</w:t>
      </w:r>
    </w:p>
    <w:p w14:paraId="211CEA5B">
      <w:pPr>
        <w:spacing w:before="120" w:after="120" w:line="360" w:lineRule="auto"/>
        <w:ind w:firstLine="643" w:firstLineChars="20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（2）健全殡葬行政法治建设 </w:t>
      </w:r>
    </w:p>
    <w:p w14:paraId="6D575FE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加快出台殡葬改革的相关政策文件：促进民政局、发改局、公安局、卫健局、市场监管局、交通运输局及司法部门联合制定出台殡葬相关的管理实施办法、服务价格管理办法、遗体接运管理规定、无人认领遗体处置办法、开具死亡证明规范化管理办法等一系列配套文件。保证监管更加强力有效，让殡葬事业在法制化轨道上良好运行。</w:t>
      </w:r>
    </w:p>
    <w:p w14:paraId="4C0604C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范殡葬设施审批管理制度：出台《加快推进公益性公墓及骨灰堂建设的实施办法》等政策文件，从规划选址、建设标准、审批程序、建设资金、生态建设等方面进行规范化管理。联合相关部门在土地利用性质、规划审批、资金来源等重要方面作出科学谋划，明确相关部门在这项工作中的职责权限，以利于基层协调推动和落实。</w:t>
      </w:r>
    </w:p>
    <w:p w14:paraId="1DF1BEBA">
      <w:pPr>
        <w:pStyle w:val="14"/>
        <w:ind w:left="56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（3）积极营建文明殡葬氛围 </w:t>
      </w:r>
    </w:p>
    <w:p w14:paraId="5E2EB22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加快殡葬改革与文化建设相融合：深入落实《随州市文明行为促进条例》，倡导文明殡葬，建设文明幸福的现代化广水。同时将正在推动的农村殡葬改革与美丽乡村建设紧密</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地</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结合在一起，以民主、科学、大众的文化内涵，加快殡葬改革与文化建设相融合，促使群众在学习、工作、生活过程中树立改革传统殡葬的意识。</w:t>
      </w:r>
    </w:p>
    <w:p w14:paraId="407527B5">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坚决破除封建迷信，做到移风易俗；推行引导鲜花祭扫、家庭追 思会、网上悼念等文明祭扫方式；合理运用法律、经济、教育以及相关的行政手段，确保殡葬改革政策的顺利实施；制定出台相应的奖惩政策。</w:t>
      </w:r>
    </w:p>
    <w:p w14:paraId="698124A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倡导绿色文明殡葬：号召党员干部和公职人员带头推进绿色殡葬改革。建立绿色殡葬管理联席会议制度，完善执法联动机制，在清明节、中元节等群众祭扫集中期和丧葬陋俗治理期间，积极开展联合执法，推进绿色文明殡葬工作。</w:t>
      </w:r>
    </w:p>
    <w:p w14:paraId="1A688CC4">
      <w:pPr>
        <w:pStyle w:val="14"/>
        <w:ind w:left="56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（4）积极营建文明殡葬氛围 </w:t>
      </w:r>
    </w:p>
    <w:p w14:paraId="37ECEA1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殡仪馆、殡仪服务中心、公墓、骨灰堂等殡葬设施需经严格的审批才能设立，任何单位和个人未经批准不得建设。对进入殡葬行业的经营者资格进行严格审查，详细规定准入的资质条件和各类标准，明确规定申请人提供的相应证明和材料。民政部门和市场监管部门接到申请后，应当仔细核查资料，通过专业的认证后，由民政部门颁发给符合条件者对应的许可证，由市场监管部门颁发给符合条件者对应的营业执照。经营名称、服务内容、法人代表、有效期限、监管部门都应该在许可证上标注清楚。民政部门和监管部门有权对不当经营者实施扣留许可证及营业执照、罚款，或者吊销许可证及营业执 照等处罚。</w:t>
      </w:r>
    </w:p>
    <w:p w14:paraId="16DE02C6">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打造“阳光”殡葬，出台详细的殡葬服务项目收费标准，明确殡葬服务政府指导价、市场调节价以及收费明细。针对遗体的接运、遗体存放、火化、骨灰堂寄存、遗体整容、遗体防腐、遗体告别等出台明确的价目表，杜绝盲目收费、高价收费、收费无名的乱象。</w:t>
      </w:r>
    </w:p>
    <w:p w14:paraId="5E1D2E2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实行执业资格证书制度，鼓励殡葬行业工作人员参与国家殡葬行业执业资格证书的考试，积极推行职业资格证书制度，从服务资格、技术资格、经营资格等进行认定与规范。在执业管理上，从申请审批、注册备案、执业范围与要求、证书颁发等环节</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从严把控，不能流于形式。民政部门努力打造一支高技术、高服务的优质殡葬人才队伍，为殡葬事业的发展做出切实的贡献。</w:t>
      </w:r>
    </w:p>
    <w:p w14:paraId="2080B8A2">
      <w:pPr>
        <w:pStyle w:val="14"/>
        <w:ind w:left="56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（5）落实惠民殡葬保障制度 </w:t>
      </w:r>
    </w:p>
    <w:p w14:paraId="0537DB3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积极落实随州市殡葬改革工作领导小组印发《&lt;关于深化殡葬改革推进全域火葬的工作方案&gt;的通知》（随殡改发〔2023〕2号）文件要求。制定出台便民惠民殡葬政策，并对所有服务项目及收费进行集中规范管理，随着经济社会发展逐步增加服务项目，提高惠民标准，丰富惠民形式。</w:t>
      </w:r>
    </w:p>
    <w:p w14:paraId="4AE2C2CC">
      <w:pPr>
        <w:pStyle w:val="14"/>
        <w:ind w:left="560" w:firstLine="0" w:firstLineChars="0"/>
        <w:rPr>
          <w:rFonts w:ascii="Times New Roman" w:hAnsi="Times New Roman" w:eastAsia="仿宋" w:cs="Times New Roman"/>
          <w:b/>
          <w:bCs/>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b/>
          <w:bCs/>
          <w:color w:val="000000" w:themeColor="text1"/>
          <w:sz w:val="32"/>
          <w:szCs w:val="24"/>
          <w14:textFill>
            <w14:solidFill>
              <w14:schemeClr w14:val="tx1"/>
            </w14:solidFill>
          </w14:textFill>
          <w14:ligatures w14:val="standardContextual"/>
        </w:rPr>
        <w:t xml:space="preserve">（6）加强殡葬领域财政投入 </w:t>
      </w:r>
    </w:p>
    <w:p w14:paraId="7857EDD0">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全市各级政府</w:t>
      </w:r>
      <w:r>
        <w:rPr>
          <w:rFonts w:hint="eastAsia" w:ascii="Times New Roman" w:hAnsi="Times New Roman" w:eastAsia="仿宋" w:cs="Times New Roman"/>
          <w:color w:val="000000" w:themeColor="text1"/>
          <w:sz w:val="32"/>
          <w:szCs w:val="24"/>
          <w:lang w:eastAsia="zh-CN"/>
          <w14:textFill>
            <w14:solidFill>
              <w14:schemeClr w14:val="tx1"/>
            </w14:solidFill>
          </w14:textFill>
          <w14:ligatures w14:val="standardContextual"/>
        </w:rPr>
        <w:t>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加大对殡葬事业的投入，将殡葬事业经费纳入财政预算，确保殡葬设施建设和惠民殡葬、节地生态安葬资金落实到位。进一步落实公益性殡葬服务设施用地、税收等优惠政策，发挥公益性殡葬服务在基本殡葬服务中的主导作用。合理界定基本殡葬服务和选择性殡葬服务范围，以公益性殡葬为主，引导社会资本提供选择性殡葬服务，满足人民群众多层次殡葬需求。进一步完善慈善捐赠制度，吸引慈善资金投入殡葬服务领域。</w:t>
      </w:r>
    </w:p>
    <w:p w14:paraId="604B3F5E">
      <w:pPr>
        <w:pStyle w:val="2"/>
        <w:pageBreakBefore/>
        <w:widowControl/>
        <w:numPr>
          <w:ilvl w:val="0"/>
          <w:numId w:val="1"/>
        </w:numPr>
        <w:jc w:val="center"/>
        <w:rPr>
          <w:rFonts w:ascii="Times New Roman" w:hAnsi="Times New Roman" w:eastAsia="仿宋" w:cs="Times New Roman"/>
          <w:color w:val="000000" w:themeColor="text1"/>
          <w:sz w:val="40"/>
          <w:szCs w:val="40"/>
          <w14:textFill>
            <w14:solidFill>
              <w14:schemeClr w14:val="tx1"/>
            </w14:solidFill>
          </w14:textFill>
        </w:rPr>
      </w:pPr>
      <w:bookmarkStart w:id="32" w:name="_Toc200565627"/>
      <w:r>
        <w:rPr>
          <w:rFonts w:hint="eastAsia" w:ascii="Times New Roman" w:hAnsi="Times New Roman" w:eastAsia="仿宋" w:cs="Times New Roman"/>
          <w:color w:val="000000" w:themeColor="text1"/>
          <w:sz w:val="40"/>
          <w:szCs w:val="40"/>
          <w14:textFill>
            <w14:solidFill>
              <w14:schemeClr w14:val="tx1"/>
            </w14:solidFill>
          </w14:textFill>
        </w:rPr>
        <w:t>附则</w:t>
      </w:r>
      <w:bookmarkEnd w:id="32"/>
    </w:p>
    <w:p w14:paraId="41CAEE43">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33" w:name="_Toc200565628"/>
      <w:r>
        <w:rPr>
          <w:rFonts w:hint="eastAsia" w:ascii="Times New Roman" w:hAnsi="Times New Roman" w:eastAsia="仿宋" w:cs="Times New Roman"/>
          <w:b w:val="0"/>
          <w:bCs w:val="0"/>
          <w:color w:val="000000" w:themeColor="text1"/>
          <w:szCs w:val="24"/>
          <w14:textFill>
            <w14:solidFill>
              <w14:schemeClr w14:val="tx1"/>
            </w14:solidFill>
          </w14:textFill>
        </w:rPr>
        <w:t>成果构成</w:t>
      </w:r>
      <w:bookmarkEnd w:id="33"/>
    </w:p>
    <w:p w14:paraId="2123568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规划成果主要包括专项规划文本、图件、附表、矢量数据以及附件材料（含批复文件）等。</w:t>
      </w:r>
    </w:p>
    <w:p w14:paraId="63BA8EB8">
      <w:pPr>
        <w:pStyle w:val="4"/>
        <w:numPr>
          <w:ilvl w:val="0"/>
          <w:numId w:val="2"/>
        </w:numPr>
        <w:spacing w:before="156" w:beforeLines="50" w:after="156" w:afterLines="50" w:line="360" w:lineRule="auto"/>
        <w:ind w:firstLine="320" w:firstLineChars="100"/>
        <w:rPr>
          <w:rFonts w:ascii="Times New Roman" w:hAnsi="Times New Roman" w:eastAsia="仿宋" w:cs="Times New Roman"/>
          <w:b w:val="0"/>
          <w:bCs w:val="0"/>
          <w:color w:val="000000" w:themeColor="text1"/>
          <w:szCs w:val="24"/>
          <w14:textFill>
            <w14:solidFill>
              <w14:schemeClr w14:val="tx1"/>
            </w14:solidFill>
          </w14:textFill>
        </w:rPr>
      </w:pPr>
      <w:bookmarkStart w:id="34" w:name="_Toc200565629"/>
      <w:r>
        <w:rPr>
          <w:rFonts w:hint="eastAsia" w:ascii="Times New Roman" w:hAnsi="Times New Roman" w:eastAsia="仿宋" w:cs="Times New Roman"/>
          <w:b w:val="0"/>
          <w:bCs w:val="0"/>
          <w:color w:val="000000" w:themeColor="text1"/>
          <w:szCs w:val="24"/>
          <w14:textFill>
            <w14:solidFill>
              <w14:schemeClr w14:val="tx1"/>
            </w14:solidFill>
          </w14:textFill>
        </w:rPr>
        <w:t>生效日期及解释权</w:t>
      </w:r>
      <w:bookmarkEnd w:id="34"/>
    </w:p>
    <w:p w14:paraId="07020C5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本规划法定文件从批准公布之日起生效。</w:t>
      </w:r>
    </w:p>
    <w:p w14:paraId="74A0948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本规划由广水市民政局负责解释。</w:t>
      </w:r>
    </w:p>
    <w:p w14:paraId="4F70372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F016B5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47F2EE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6E377FB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622BEFAA">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4A96389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00056E3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6B6215C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CE9B54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CDB571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5A96E2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59A84EAF">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附图</w:t>
      </w:r>
      <w:r>
        <w:rPr>
          <w:rFonts w:ascii="Times New Roman" w:hAnsi="Times New Roman" w:eastAsia="仿宋" w:cs="Times New Roman"/>
          <w:color w:val="000000" w:themeColor="text1"/>
          <w:sz w:val="32"/>
          <w:szCs w:val="24"/>
          <w14:textFill>
            <w14:solidFill>
              <w14:schemeClr w14:val="tx1"/>
            </w14:solidFill>
          </w14:textFill>
          <w14:ligatures w14:val="standardContextual"/>
        </w:rPr>
        <w:t>：</w:t>
      </w:r>
    </w:p>
    <w:p w14:paraId="78909EFC">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drawing>
          <wp:anchor distT="0" distB="0" distL="114300" distR="114300" simplePos="0" relativeHeight="251659264" behindDoc="0" locked="0" layoutInCell="1" allowOverlap="1">
            <wp:simplePos x="0" y="0"/>
            <wp:positionH relativeFrom="column">
              <wp:posOffset>3175</wp:posOffset>
            </wp:positionH>
            <wp:positionV relativeFrom="paragraph">
              <wp:posOffset>468630</wp:posOffset>
            </wp:positionV>
            <wp:extent cx="5340350" cy="7567930"/>
            <wp:effectExtent l="0" t="0" r="0" b="0"/>
            <wp:wrapNone/>
            <wp:docPr id="6219631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3182"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341041" cy="7568621"/>
                    </a:xfrm>
                    <a:prstGeom prst="rect">
                      <a:avLst/>
                    </a:prstGeom>
                    <a:noFill/>
                    <a:ln>
                      <a:noFill/>
                    </a:ln>
                  </pic:spPr>
                </pic:pic>
              </a:graphicData>
            </a:graphic>
          </wp:anchor>
        </w:drawing>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01区位分析</w:t>
      </w:r>
      <w:r>
        <w:rPr>
          <w:rFonts w:ascii="Times New Roman" w:hAnsi="Times New Roman" w:eastAsia="仿宋" w:cs="Times New Roman"/>
          <w:color w:val="000000" w:themeColor="text1"/>
          <w:sz w:val="32"/>
          <w:szCs w:val="24"/>
          <w14:textFill>
            <w14:solidFill>
              <w14:schemeClr w14:val="tx1"/>
            </w14:solidFill>
          </w14:textFill>
          <w14:ligatures w14:val="standardContextual"/>
        </w:rPr>
        <w:t>图</w:t>
      </w:r>
    </w:p>
    <w:p w14:paraId="21DA25C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4B98B0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02A404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1EA0643">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3633255F">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6304EC8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36DED25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BF5AD2D">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3B61152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4702A543">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6216E6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58499168">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7DA052FB">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ECF405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59347F37">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3B853BE">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6F2E0C4">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331EF6B2">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02市域殡葬</w:t>
      </w:r>
      <w:r>
        <w:rPr>
          <w:rFonts w:ascii="Times New Roman" w:hAnsi="Times New Roman" w:eastAsia="仿宋" w:cs="Times New Roman"/>
          <w:color w:val="000000" w:themeColor="text1"/>
          <w:sz w:val="32"/>
          <w:szCs w:val="24"/>
          <w14:textFill>
            <w14:solidFill>
              <w14:schemeClr w14:val="tx1"/>
            </w14:solidFill>
          </w14:textFill>
          <w14:ligatures w14:val="standardContextual"/>
        </w:rPr>
        <w:t>设施布局现状图</w:t>
      </w:r>
    </w:p>
    <w:p w14:paraId="443642DA">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5340350" cy="7567295"/>
            <wp:effectExtent l="0" t="0" r="0" b="0"/>
            <wp:docPr id="10701730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73023"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44469" cy="7573477"/>
                    </a:xfrm>
                    <a:prstGeom prst="rect">
                      <a:avLst/>
                    </a:prstGeom>
                    <a:noFill/>
                    <a:ln>
                      <a:noFill/>
                    </a:ln>
                  </pic:spPr>
                </pic:pic>
              </a:graphicData>
            </a:graphic>
          </wp:inline>
        </w:drawing>
      </w:r>
    </w:p>
    <w:p w14:paraId="3CABC931">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1E71767E">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03市域殡仪</w:t>
      </w:r>
      <w:r>
        <w:rPr>
          <w:rFonts w:ascii="Times New Roman" w:hAnsi="Times New Roman" w:eastAsia="仿宋" w:cs="Times New Roman"/>
          <w:color w:val="000000" w:themeColor="text1"/>
          <w:sz w:val="32"/>
          <w:szCs w:val="24"/>
          <w14:textFill>
            <w14:solidFill>
              <w14:schemeClr w14:val="tx1"/>
            </w14:solidFill>
          </w14:textFill>
          <w14:ligatures w14:val="standardContextual"/>
        </w:rPr>
        <w:t>设施布局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w:t>
      </w:r>
      <w:r>
        <w:rPr>
          <w:rFonts w:ascii="Times New Roman" w:hAnsi="Times New Roman" w:eastAsia="仿宋" w:cs="Times New Roman"/>
          <w:color w:val="000000" w:themeColor="text1"/>
          <w:sz w:val="32"/>
          <w:szCs w:val="24"/>
          <w14:textFill>
            <w14:solidFill>
              <w14:schemeClr w14:val="tx1"/>
            </w14:solidFill>
          </w14:textFill>
          <w14:ligatures w14:val="standardContextual"/>
        </w:rPr>
        <w:t>图</w:t>
      </w:r>
    </w:p>
    <w:p w14:paraId="5E174AEF">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5387975" cy="7635875"/>
            <wp:effectExtent l="0" t="0" r="3175" b="3175"/>
            <wp:docPr id="15942547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54762"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89232" cy="7636911"/>
                    </a:xfrm>
                    <a:prstGeom prst="rect">
                      <a:avLst/>
                    </a:prstGeom>
                    <a:noFill/>
                    <a:ln>
                      <a:noFill/>
                    </a:ln>
                  </pic:spPr>
                </pic:pic>
              </a:graphicData>
            </a:graphic>
          </wp:inline>
        </w:drawing>
      </w:r>
    </w:p>
    <w:p w14:paraId="3E9667F9">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2468A70">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04市域市/镇级</w:t>
      </w:r>
      <w:r>
        <w:rPr>
          <w:rFonts w:ascii="Times New Roman" w:hAnsi="Times New Roman" w:eastAsia="仿宋" w:cs="Times New Roman"/>
          <w:color w:val="000000" w:themeColor="text1"/>
          <w:sz w:val="32"/>
          <w:szCs w:val="24"/>
          <w14:textFill>
            <w14:solidFill>
              <w14:schemeClr w14:val="tx1"/>
            </w14:solidFill>
          </w14:textFill>
          <w14:ligatures w14:val="standardContextual"/>
        </w:rPr>
        <w:t>安葬设施布局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w:t>
      </w:r>
      <w:r>
        <w:rPr>
          <w:rFonts w:ascii="Times New Roman" w:hAnsi="Times New Roman" w:eastAsia="仿宋" w:cs="Times New Roman"/>
          <w:color w:val="000000" w:themeColor="text1"/>
          <w:sz w:val="32"/>
          <w:szCs w:val="24"/>
          <w14:textFill>
            <w14:solidFill>
              <w14:schemeClr w14:val="tx1"/>
            </w14:solidFill>
          </w14:textFill>
          <w14:ligatures w14:val="standardContextual"/>
        </w:rPr>
        <w:t>图</w:t>
      </w:r>
    </w:p>
    <w:p w14:paraId="7798004B">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5320665" cy="7539990"/>
            <wp:effectExtent l="0" t="0" r="0" b="3810"/>
            <wp:docPr id="8786859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85908"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22078" cy="7541749"/>
                    </a:xfrm>
                    <a:prstGeom prst="rect">
                      <a:avLst/>
                    </a:prstGeom>
                    <a:noFill/>
                    <a:ln>
                      <a:noFill/>
                    </a:ln>
                  </pic:spPr>
                </pic:pic>
              </a:graphicData>
            </a:graphic>
          </wp:inline>
        </w:drawing>
      </w:r>
    </w:p>
    <w:p w14:paraId="28BFC8A2">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259B3E57">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05市域村级</w:t>
      </w:r>
      <w:r>
        <w:rPr>
          <w:rFonts w:ascii="Times New Roman" w:hAnsi="Times New Roman" w:eastAsia="仿宋" w:cs="Times New Roman"/>
          <w:color w:val="000000" w:themeColor="text1"/>
          <w:sz w:val="32"/>
          <w:szCs w:val="24"/>
          <w14:textFill>
            <w14:solidFill>
              <w14:schemeClr w14:val="tx1"/>
            </w14:solidFill>
          </w14:textFill>
          <w14:ligatures w14:val="standardContextual"/>
        </w:rPr>
        <w:t>安葬设施布局</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w:t>
      </w:r>
      <w:r>
        <w:rPr>
          <w:rFonts w:ascii="Times New Roman" w:hAnsi="Times New Roman" w:eastAsia="仿宋" w:cs="Times New Roman"/>
          <w:color w:val="000000" w:themeColor="text1"/>
          <w:sz w:val="32"/>
          <w:szCs w:val="24"/>
          <w14:textFill>
            <w14:solidFill>
              <w14:schemeClr w14:val="tx1"/>
            </w14:solidFill>
          </w14:textFill>
          <w14:ligatures w14:val="standardContextual"/>
        </w:rPr>
        <w:t>图</w:t>
      </w:r>
    </w:p>
    <w:p w14:paraId="4313D45A">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5343525" cy="7567295"/>
            <wp:effectExtent l="0" t="0" r="0" b="0"/>
            <wp:docPr id="5770392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39237"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344616" cy="7569017"/>
                    </a:xfrm>
                    <a:prstGeom prst="rect">
                      <a:avLst/>
                    </a:prstGeom>
                    <a:noFill/>
                    <a:ln>
                      <a:noFill/>
                    </a:ln>
                  </pic:spPr>
                </pic:pic>
              </a:graphicData>
            </a:graphic>
          </wp:inline>
        </w:drawing>
      </w:r>
    </w:p>
    <w:p w14:paraId="6D1D69FC">
      <w:pPr>
        <w:spacing w:before="120" w:after="120" w:line="360" w:lineRule="auto"/>
        <w:ind w:firstLine="640" w:firstLineChars="200"/>
        <w:rPr>
          <w:rFonts w:ascii="Times New Roman" w:hAnsi="Times New Roman" w:eastAsia="仿宋" w:cs="Times New Roman"/>
          <w:color w:val="000000" w:themeColor="text1"/>
          <w:sz w:val="32"/>
          <w:szCs w:val="24"/>
          <w14:textFill>
            <w14:solidFill>
              <w14:schemeClr w14:val="tx1"/>
            </w14:solidFill>
          </w14:textFill>
          <w14:ligatures w14:val="standardContextual"/>
        </w:rPr>
      </w:pPr>
    </w:p>
    <w:p w14:paraId="35194946">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06中心城区</w:t>
      </w:r>
      <w:r>
        <w:rPr>
          <w:rFonts w:ascii="Times New Roman" w:hAnsi="Times New Roman" w:eastAsia="仿宋" w:cs="Times New Roman"/>
          <w:color w:val="000000" w:themeColor="text1"/>
          <w:sz w:val="32"/>
          <w:szCs w:val="24"/>
          <w14:textFill>
            <w14:solidFill>
              <w14:schemeClr w14:val="tx1"/>
            </w14:solidFill>
          </w14:textFill>
          <w14:ligatures w14:val="standardContextual"/>
        </w:rPr>
        <w:t>殡葬设施</w:t>
      </w: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规划</w:t>
      </w:r>
      <w:r>
        <w:rPr>
          <w:rFonts w:ascii="Times New Roman" w:hAnsi="Times New Roman" w:eastAsia="仿宋" w:cs="Times New Roman"/>
          <w:color w:val="000000" w:themeColor="text1"/>
          <w:sz w:val="32"/>
          <w:szCs w:val="24"/>
          <w14:textFill>
            <w14:solidFill>
              <w14:schemeClr w14:val="tx1"/>
            </w14:solidFill>
          </w14:textFill>
          <w14:ligatures w14:val="standardContextual"/>
        </w:rPr>
        <w:t>图</w:t>
      </w:r>
    </w:p>
    <w:p w14:paraId="3AC4F1FD">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4810760" cy="8123555"/>
            <wp:effectExtent l="0" t="0" r="8890" b="0"/>
            <wp:docPr id="14459067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06772" name="图片 9"/>
                    <pic:cNvPicPr>
                      <a:picLocks noChangeAspect="1" noChangeArrowheads="1"/>
                    </pic:cNvPicPr>
                  </pic:nvPicPr>
                  <pic:blipFill>
                    <a:blip r:embed="rId11" cstate="print">
                      <a:extLst>
                        <a:ext uri="{28A0092B-C50C-407E-A947-70E740481C1C}">
                          <a14:useLocalDpi xmlns:a14="http://schemas.microsoft.com/office/drawing/2010/main" val="0"/>
                        </a:ext>
                      </a:extLst>
                    </a:blip>
                    <a:srcRect l="8679" r="7522"/>
                    <a:stretch>
                      <a:fillRect/>
                    </a:stretch>
                  </pic:blipFill>
                  <pic:spPr>
                    <a:xfrm rot="10800000">
                      <a:off x="0" y="0"/>
                      <a:ext cx="4812487" cy="8126706"/>
                    </a:xfrm>
                    <a:prstGeom prst="rect">
                      <a:avLst/>
                    </a:prstGeom>
                    <a:noFill/>
                    <a:ln>
                      <a:noFill/>
                    </a:ln>
                  </pic:spPr>
                </pic:pic>
              </a:graphicData>
            </a:graphic>
          </wp:inline>
        </w:drawing>
      </w:r>
    </w:p>
    <w:p w14:paraId="57B34F30">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t>07市域</w:t>
      </w:r>
      <w:r>
        <w:rPr>
          <w:rFonts w:ascii="Times New Roman" w:hAnsi="Times New Roman" w:eastAsia="仿宋" w:cs="Times New Roman"/>
          <w:color w:val="000000" w:themeColor="text1"/>
          <w:sz w:val="32"/>
          <w:szCs w:val="24"/>
          <w14:textFill>
            <w14:solidFill>
              <w14:schemeClr w14:val="tx1"/>
            </w14:solidFill>
          </w14:textFill>
          <w14:ligatures w14:val="standardContextual"/>
        </w:rPr>
        <w:t>殡葬设施布局规划图</w:t>
      </w:r>
    </w:p>
    <w:p w14:paraId="5F0C4811">
      <w:pPr>
        <w:spacing w:before="120" w:after="120" w:line="360" w:lineRule="auto"/>
        <w:rPr>
          <w:rFonts w:ascii="Times New Roman" w:hAnsi="Times New Roman" w:eastAsia="仿宋" w:cs="Times New Roman"/>
          <w:color w:val="000000" w:themeColor="text1"/>
          <w:sz w:val="32"/>
          <w:szCs w:val="24"/>
          <w14:textFill>
            <w14:solidFill>
              <w14:schemeClr w14:val="tx1"/>
            </w14:solidFill>
          </w14:textFill>
          <w14:ligatures w14:val="standardContextual"/>
        </w:rPr>
      </w:pPr>
      <w:r>
        <w:rPr>
          <w:rFonts w:hint="eastAsia" w:ascii="Times New Roman" w:hAnsi="Times New Roman" w:eastAsia="仿宋" w:cs="Times New Roman"/>
          <w:color w:val="000000" w:themeColor="text1"/>
          <w:sz w:val="32"/>
          <w:szCs w:val="24"/>
          <w14:textFill>
            <w14:solidFill>
              <w14:schemeClr w14:val="tx1"/>
            </w14:solidFill>
          </w14:textFill>
          <w14:ligatures w14:val="standardContextual"/>
        </w:rPr>
        <w:drawing>
          <wp:inline distT="0" distB="0" distL="0" distR="0">
            <wp:extent cx="5340350" cy="7567295"/>
            <wp:effectExtent l="0" t="0" r="0" b="0"/>
            <wp:docPr id="72619869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98692" name="图片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341215" cy="7568867"/>
                    </a:xfrm>
                    <a:prstGeom prst="rect">
                      <a:avLst/>
                    </a:prstGeom>
                    <a:noFill/>
                    <a:ln>
                      <a:noFill/>
                    </a:ln>
                  </pic:spPr>
                </pic:pic>
              </a:graphicData>
            </a:graphic>
          </wp:inline>
        </w:drawing>
      </w: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8EFAF2D9-3105-40AD-B40F-AEE8EA096A7C}"/>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41B44AEC-0194-4DAF-BA60-3A66862A4322}"/>
  </w:font>
  <w:font w:name="方正小标宋_GBK">
    <w:panose1 w:val="02000000000000000000"/>
    <w:charset w:val="86"/>
    <w:family w:val="auto"/>
    <w:pitch w:val="default"/>
    <w:sig w:usb0="A00002BF" w:usb1="38CF7CFA" w:usb2="00082016" w:usb3="00000000" w:csb0="00040001" w:csb1="00000000"/>
    <w:embedRegular r:id="rId3" w:fontKey="{69265FCE-19D7-46D7-ACC8-7348CA19ED30}"/>
  </w:font>
  <w:font w:name="微软雅黑">
    <w:panose1 w:val="020B0503020204020204"/>
    <w:charset w:val="86"/>
    <w:family w:val="auto"/>
    <w:pitch w:val="default"/>
    <w:sig w:usb0="80000287" w:usb1="280F3C52" w:usb2="00000016" w:usb3="00000000" w:csb0="0004001F" w:csb1="00000000"/>
    <w:embedRegular r:id="rId4" w:fontKey="{9C8EEF45-9500-4DB7-99B2-8FD74C35638F}"/>
  </w:font>
  <w:font w:name="___WRD_EMBED_SUB_44">
    <w:altName w:val="宋体"/>
    <w:panose1 w:val="00000000000000000000"/>
    <w:charset w:val="86"/>
    <w:family w:val="modern"/>
    <w:pitch w:val="default"/>
    <w:sig w:usb0="00000000" w:usb1="00000000" w:usb2="00000010" w:usb3="00000000" w:csb0="00040000" w:csb1="00000000"/>
    <w:embedRegular r:id="rId5" w:fontKey="{7170664B-A25A-4DDF-80A0-E7A0DD3FD002}"/>
  </w:font>
  <w:font w:name="Arial Unicode MS">
    <w:altName w:val="宋体"/>
    <w:panose1 w:val="020B0604020202020204"/>
    <w:charset w:val="86"/>
    <w:family w:val="auto"/>
    <w:pitch w:val="default"/>
    <w:sig w:usb0="00000000" w:usb1="00000000" w:usb2="0000003F" w:usb3="00000000" w:csb0="603F01FF" w:csb1="FFFF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C4FC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701B4">
                          <w:pPr>
                            <w:pStyle w:val="6"/>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15701B4">
                    <w:pPr>
                      <w:pStyle w:val="6"/>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7A83">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63E69">
                          <w:pPr>
                            <w:pStyle w:val="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9763E69">
                    <w:pPr>
                      <w:pStyle w:val="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34EEA8"/>
    <w:multiLevelType w:val="singleLevel"/>
    <w:tmpl w:val="2B34EEA8"/>
    <w:lvl w:ilvl="0" w:tentative="0">
      <w:start w:val="1"/>
      <w:numFmt w:val="decimal"/>
      <w:suff w:val="space"/>
      <w:lvlText w:val="第%1条"/>
      <w:lvlJc w:val="left"/>
      <w:pPr>
        <w:tabs>
          <w:tab w:val="left" w:pos="0"/>
        </w:tabs>
      </w:pPr>
      <w:rPr>
        <w:rFonts w:hint="default"/>
      </w:rPr>
    </w:lvl>
  </w:abstractNum>
  <w:abstractNum w:abstractNumId="1">
    <w:nsid w:val="37394FE1"/>
    <w:multiLevelType w:val="multilevel"/>
    <w:tmpl w:val="37394FE1"/>
    <w:lvl w:ilvl="0" w:tentative="0">
      <w:start w:val="1"/>
      <w:numFmt w:val="japaneseCounting"/>
      <w:lvlText w:val="第%1章"/>
      <w:lvlJc w:val="left"/>
      <w:pPr>
        <w:ind w:left="1128" w:hanging="1128"/>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804"/>
    <w:rsid w:val="000011AD"/>
    <w:rsid w:val="000107DA"/>
    <w:rsid w:val="000305F3"/>
    <w:rsid w:val="000409F9"/>
    <w:rsid w:val="00045806"/>
    <w:rsid w:val="00054D5F"/>
    <w:rsid w:val="000737C8"/>
    <w:rsid w:val="00081BF0"/>
    <w:rsid w:val="00095CBD"/>
    <w:rsid w:val="000A27E4"/>
    <w:rsid w:val="000A2A02"/>
    <w:rsid w:val="000A30B5"/>
    <w:rsid w:val="000A360B"/>
    <w:rsid w:val="000B447D"/>
    <w:rsid w:val="000D05CD"/>
    <w:rsid w:val="000D28F8"/>
    <w:rsid w:val="000D6405"/>
    <w:rsid w:val="000D6D3D"/>
    <w:rsid w:val="000E434E"/>
    <w:rsid w:val="000E55D6"/>
    <w:rsid w:val="000E655F"/>
    <w:rsid w:val="000E7804"/>
    <w:rsid w:val="000F644E"/>
    <w:rsid w:val="00102AE1"/>
    <w:rsid w:val="001048E0"/>
    <w:rsid w:val="00107A9F"/>
    <w:rsid w:val="00107E9B"/>
    <w:rsid w:val="001178B9"/>
    <w:rsid w:val="00126A8B"/>
    <w:rsid w:val="00154BF9"/>
    <w:rsid w:val="001574A6"/>
    <w:rsid w:val="00166E79"/>
    <w:rsid w:val="00174F14"/>
    <w:rsid w:val="0018385D"/>
    <w:rsid w:val="00196D03"/>
    <w:rsid w:val="001B106C"/>
    <w:rsid w:val="001D7F7E"/>
    <w:rsid w:val="001F0424"/>
    <w:rsid w:val="001F22BF"/>
    <w:rsid w:val="001F433E"/>
    <w:rsid w:val="001F501E"/>
    <w:rsid w:val="00222724"/>
    <w:rsid w:val="00234DF0"/>
    <w:rsid w:val="00253016"/>
    <w:rsid w:val="00267F24"/>
    <w:rsid w:val="002748A9"/>
    <w:rsid w:val="0027513D"/>
    <w:rsid w:val="00283CB6"/>
    <w:rsid w:val="002855AC"/>
    <w:rsid w:val="00295A0E"/>
    <w:rsid w:val="0029735F"/>
    <w:rsid w:val="002A2873"/>
    <w:rsid w:val="002B58EB"/>
    <w:rsid w:val="002E3816"/>
    <w:rsid w:val="002E66B9"/>
    <w:rsid w:val="002F0274"/>
    <w:rsid w:val="003029C3"/>
    <w:rsid w:val="00302FA9"/>
    <w:rsid w:val="0030344B"/>
    <w:rsid w:val="003035C3"/>
    <w:rsid w:val="00305497"/>
    <w:rsid w:val="00311534"/>
    <w:rsid w:val="00314EDA"/>
    <w:rsid w:val="003215C6"/>
    <w:rsid w:val="003533E8"/>
    <w:rsid w:val="00363889"/>
    <w:rsid w:val="0037036A"/>
    <w:rsid w:val="0038496E"/>
    <w:rsid w:val="00386CEF"/>
    <w:rsid w:val="0039715A"/>
    <w:rsid w:val="003A130F"/>
    <w:rsid w:val="003D0B48"/>
    <w:rsid w:val="003D2EBA"/>
    <w:rsid w:val="003E71B0"/>
    <w:rsid w:val="003F7556"/>
    <w:rsid w:val="004236C7"/>
    <w:rsid w:val="0043089D"/>
    <w:rsid w:val="004319C8"/>
    <w:rsid w:val="00445916"/>
    <w:rsid w:val="004505A8"/>
    <w:rsid w:val="00455B5C"/>
    <w:rsid w:val="00462C80"/>
    <w:rsid w:val="00481F2F"/>
    <w:rsid w:val="004A3BC9"/>
    <w:rsid w:val="004A4F15"/>
    <w:rsid w:val="004B1AD3"/>
    <w:rsid w:val="004C045A"/>
    <w:rsid w:val="004D6A1A"/>
    <w:rsid w:val="004E21A6"/>
    <w:rsid w:val="004E665E"/>
    <w:rsid w:val="004F159F"/>
    <w:rsid w:val="004F2DCA"/>
    <w:rsid w:val="004F66FF"/>
    <w:rsid w:val="00501249"/>
    <w:rsid w:val="00504358"/>
    <w:rsid w:val="00504E0E"/>
    <w:rsid w:val="00530A76"/>
    <w:rsid w:val="0053730A"/>
    <w:rsid w:val="00551D1D"/>
    <w:rsid w:val="00564924"/>
    <w:rsid w:val="00590A84"/>
    <w:rsid w:val="00591577"/>
    <w:rsid w:val="005C0254"/>
    <w:rsid w:val="005C3F67"/>
    <w:rsid w:val="005E30B4"/>
    <w:rsid w:val="005E3BC3"/>
    <w:rsid w:val="005E703F"/>
    <w:rsid w:val="00602A76"/>
    <w:rsid w:val="00607EBF"/>
    <w:rsid w:val="00610204"/>
    <w:rsid w:val="0062122C"/>
    <w:rsid w:val="00640B1C"/>
    <w:rsid w:val="006413EB"/>
    <w:rsid w:val="00646277"/>
    <w:rsid w:val="006671F0"/>
    <w:rsid w:val="00667AD2"/>
    <w:rsid w:val="0068409F"/>
    <w:rsid w:val="0068474C"/>
    <w:rsid w:val="006904AE"/>
    <w:rsid w:val="0069405E"/>
    <w:rsid w:val="0069577C"/>
    <w:rsid w:val="006A1DCF"/>
    <w:rsid w:val="006A7A72"/>
    <w:rsid w:val="006B4B64"/>
    <w:rsid w:val="006B6818"/>
    <w:rsid w:val="006C5969"/>
    <w:rsid w:val="006E045C"/>
    <w:rsid w:val="006E3393"/>
    <w:rsid w:val="00702767"/>
    <w:rsid w:val="0070567A"/>
    <w:rsid w:val="00713627"/>
    <w:rsid w:val="00717010"/>
    <w:rsid w:val="00736A61"/>
    <w:rsid w:val="007400D0"/>
    <w:rsid w:val="00742CE6"/>
    <w:rsid w:val="00750941"/>
    <w:rsid w:val="007668F2"/>
    <w:rsid w:val="00767E27"/>
    <w:rsid w:val="0077192A"/>
    <w:rsid w:val="007766D5"/>
    <w:rsid w:val="007811DD"/>
    <w:rsid w:val="00795C5D"/>
    <w:rsid w:val="007B09EE"/>
    <w:rsid w:val="007B4593"/>
    <w:rsid w:val="007C4263"/>
    <w:rsid w:val="007D4F44"/>
    <w:rsid w:val="007D7667"/>
    <w:rsid w:val="007E7768"/>
    <w:rsid w:val="007F1720"/>
    <w:rsid w:val="00805C1A"/>
    <w:rsid w:val="00806A0B"/>
    <w:rsid w:val="0080756C"/>
    <w:rsid w:val="00807FA0"/>
    <w:rsid w:val="00811536"/>
    <w:rsid w:val="008176FE"/>
    <w:rsid w:val="00843228"/>
    <w:rsid w:val="008473E6"/>
    <w:rsid w:val="00850837"/>
    <w:rsid w:val="00853CD2"/>
    <w:rsid w:val="00855514"/>
    <w:rsid w:val="00855B46"/>
    <w:rsid w:val="008638F8"/>
    <w:rsid w:val="00863CB6"/>
    <w:rsid w:val="0086464A"/>
    <w:rsid w:val="0087251F"/>
    <w:rsid w:val="008750D4"/>
    <w:rsid w:val="00887CF1"/>
    <w:rsid w:val="00894D6A"/>
    <w:rsid w:val="00896072"/>
    <w:rsid w:val="008A32D3"/>
    <w:rsid w:val="008A32F9"/>
    <w:rsid w:val="008A3BA4"/>
    <w:rsid w:val="008B499E"/>
    <w:rsid w:val="008B5AA1"/>
    <w:rsid w:val="008B77E4"/>
    <w:rsid w:val="008C3AD6"/>
    <w:rsid w:val="008C695B"/>
    <w:rsid w:val="008D1D6F"/>
    <w:rsid w:val="008D47B9"/>
    <w:rsid w:val="008E1A1E"/>
    <w:rsid w:val="008E4D29"/>
    <w:rsid w:val="008F02C8"/>
    <w:rsid w:val="008F3EB4"/>
    <w:rsid w:val="00902154"/>
    <w:rsid w:val="009024B0"/>
    <w:rsid w:val="0090274C"/>
    <w:rsid w:val="00905A38"/>
    <w:rsid w:val="0091591A"/>
    <w:rsid w:val="00923913"/>
    <w:rsid w:val="00941E7D"/>
    <w:rsid w:val="00943CCD"/>
    <w:rsid w:val="009448BD"/>
    <w:rsid w:val="009544F9"/>
    <w:rsid w:val="00957101"/>
    <w:rsid w:val="00961EBC"/>
    <w:rsid w:val="00963AD5"/>
    <w:rsid w:val="00976809"/>
    <w:rsid w:val="00991010"/>
    <w:rsid w:val="00994CA7"/>
    <w:rsid w:val="009A5821"/>
    <w:rsid w:val="009A6F74"/>
    <w:rsid w:val="009C51D2"/>
    <w:rsid w:val="009D5A0A"/>
    <w:rsid w:val="00A13162"/>
    <w:rsid w:val="00A2072A"/>
    <w:rsid w:val="00A22BF3"/>
    <w:rsid w:val="00A22FB3"/>
    <w:rsid w:val="00A35A48"/>
    <w:rsid w:val="00A4505E"/>
    <w:rsid w:val="00A56629"/>
    <w:rsid w:val="00A65AF0"/>
    <w:rsid w:val="00A71F9E"/>
    <w:rsid w:val="00A775C4"/>
    <w:rsid w:val="00A8095E"/>
    <w:rsid w:val="00A86271"/>
    <w:rsid w:val="00A9141C"/>
    <w:rsid w:val="00AA4429"/>
    <w:rsid w:val="00AA4F5B"/>
    <w:rsid w:val="00AC1A1E"/>
    <w:rsid w:val="00AC2279"/>
    <w:rsid w:val="00AD0F04"/>
    <w:rsid w:val="00AE32A4"/>
    <w:rsid w:val="00AE77DB"/>
    <w:rsid w:val="00AE7CC0"/>
    <w:rsid w:val="00AF06BD"/>
    <w:rsid w:val="00AF7F45"/>
    <w:rsid w:val="00B11D95"/>
    <w:rsid w:val="00B33BE8"/>
    <w:rsid w:val="00B34B4F"/>
    <w:rsid w:val="00B35069"/>
    <w:rsid w:val="00B43A10"/>
    <w:rsid w:val="00B54CFA"/>
    <w:rsid w:val="00BA56A5"/>
    <w:rsid w:val="00BA5C82"/>
    <w:rsid w:val="00BB27F0"/>
    <w:rsid w:val="00BC2626"/>
    <w:rsid w:val="00BE1FFD"/>
    <w:rsid w:val="00BE248F"/>
    <w:rsid w:val="00BE3DEC"/>
    <w:rsid w:val="00C57BC5"/>
    <w:rsid w:val="00C74906"/>
    <w:rsid w:val="00C81925"/>
    <w:rsid w:val="00C84CCD"/>
    <w:rsid w:val="00C8547D"/>
    <w:rsid w:val="00C85FC3"/>
    <w:rsid w:val="00CA4295"/>
    <w:rsid w:val="00CB1E8E"/>
    <w:rsid w:val="00CD0F1D"/>
    <w:rsid w:val="00CE07F3"/>
    <w:rsid w:val="00D12A47"/>
    <w:rsid w:val="00D16061"/>
    <w:rsid w:val="00D22B9E"/>
    <w:rsid w:val="00D25F9C"/>
    <w:rsid w:val="00D26D42"/>
    <w:rsid w:val="00D3690F"/>
    <w:rsid w:val="00D50DE8"/>
    <w:rsid w:val="00D540C2"/>
    <w:rsid w:val="00D55573"/>
    <w:rsid w:val="00D6052D"/>
    <w:rsid w:val="00D77626"/>
    <w:rsid w:val="00DB41B0"/>
    <w:rsid w:val="00DB772C"/>
    <w:rsid w:val="00DC1F98"/>
    <w:rsid w:val="00DC2B9E"/>
    <w:rsid w:val="00DC508B"/>
    <w:rsid w:val="00DC6D58"/>
    <w:rsid w:val="00DD2677"/>
    <w:rsid w:val="00DF27D5"/>
    <w:rsid w:val="00E050B7"/>
    <w:rsid w:val="00E11FE0"/>
    <w:rsid w:val="00E22671"/>
    <w:rsid w:val="00E252F0"/>
    <w:rsid w:val="00E416B7"/>
    <w:rsid w:val="00E523F5"/>
    <w:rsid w:val="00E52883"/>
    <w:rsid w:val="00E61DAD"/>
    <w:rsid w:val="00E62A0F"/>
    <w:rsid w:val="00E70DB2"/>
    <w:rsid w:val="00E86438"/>
    <w:rsid w:val="00E97646"/>
    <w:rsid w:val="00EA7229"/>
    <w:rsid w:val="00ED5E12"/>
    <w:rsid w:val="00ED64D5"/>
    <w:rsid w:val="00EE4B69"/>
    <w:rsid w:val="00EF7A2C"/>
    <w:rsid w:val="00F005A5"/>
    <w:rsid w:val="00F20DF6"/>
    <w:rsid w:val="00F27E59"/>
    <w:rsid w:val="00F313E0"/>
    <w:rsid w:val="00F3774F"/>
    <w:rsid w:val="00F4222A"/>
    <w:rsid w:val="00F628BB"/>
    <w:rsid w:val="00FA49AB"/>
    <w:rsid w:val="00FA689D"/>
    <w:rsid w:val="00FA7888"/>
    <w:rsid w:val="00FB23C0"/>
    <w:rsid w:val="00FB594B"/>
    <w:rsid w:val="00FC7CF5"/>
    <w:rsid w:val="00FE2888"/>
    <w:rsid w:val="00FE2C72"/>
    <w:rsid w:val="00FE37F6"/>
    <w:rsid w:val="00FE38AA"/>
    <w:rsid w:val="00FE4AF5"/>
    <w:rsid w:val="0C0B1F59"/>
    <w:rsid w:val="0D6F3A66"/>
    <w:rsid w:val="10B464C1"/>
    <w:rsid w:val="11DC205D"/>
    <w:rsid w:val="188C4CBD"/>
    <w:rsid w:val="18FA0682"/>
    <w:rsid w:val="1D953DEF"/>
    <w:rsid w:val="20541126"/>
    <w:rsid w:val="2E0276C2"/>
    <w:rsid w:val="2E6932C2"/>
    <w:rsid w:val="30125985"/>
    <w:rsid w:val="32B7465C"/>
    <w:rsid w:val="34E461AF"/>
    <w:rsid w:val="36F11025"/>
    <w:rsid w:val="3A4C6AB6"/>
    <w:rsid w:val="3CCA034E"/>
    <w:rsid w:val="3D4A629D"/>
    <w:rsid w:val="440C2484"/>
    <w:rsid w:val="4621686A"/>
    <w:rsid w:val="494F6304"/>
    <w:rsid w:val="4B8E08D0"/>
    <w:rsid w:val="4ED72D17"/>
    <w:rsid w:val="530226CA"/>
    <w:rsid w:val="5424715B"/>
    <w:rsid w:val="57C45D86"/>
    <w:rsid w:val="57FC29CA"/>
    <w:rsid w:val="5B0F614B"/>
    <w:rsid w:val="600357A2"/>
    <w:rsid w:val="603C0CB4"/>
    <w:rsid w:val="667831EA"/>
    <w:rsid w:val="676E3FB3"/>
    <w:rsid w:val="6ECA3610"/>
    <w:rsid w:val="73EB753D"/>
    <w:rsid w:val="74D81FD2"/>
    <w:rsid w:val="75A91E7D"/>
    <w:rsid w:val="770420D4"/>
    <w:rsid w:val="788567E4"/>
    <w:rsid w:val="78A659BA"/>
    <w:rsid w:val="7D353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semiHidden/>
    <w:unhideWhenUsed/>
    <w:qFormat/>
    <w:uiPriority w:val="0"/>
    <w:pPr>
      <w:keepNext/>
      <w:keepLines/>
      <w:spacing w:before="240" w:after="240"/>
      <w:outlineLvl w:val="2"/>
    </w:pPr>
    <w:rPr>
      <w:rFonts w:eastAsia="宋体"/>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autoRedefine/>
    <w:unhideWhenUsed/>
    <w:qFormat/>
    <w:uiPriority w:val="39"/>
    <w:pPr>
      <w:widowControl/>
      <w:spacing w:after="100" w:line="276" w:lineRule="auto"/>
      <w:ind w:left="440"/>
      <w:jc w:val="left"/>
    </w:pPr>
    <w:rPr>
      <w:kern w:val="0"/>
      <w:sz w:val="22"/>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pPr>
      <w:widowControl/>
      <w:spacing w:after="100" w:line="276" w:lineRule="auto"/>
      <w:jc w:val="left"/>
    </w:pPr>
    <w:rPr>
      <w:kern w:val="0"/>
      <w:sz w:val="22"/>
    </w:rPr>
  </w:style>
  <w:style w:type="paragraph" w:styleId="9">
    <w:name w:val="toc 2"/>
    <w:basedOn w:val="1"/>
    <w:next w:val="1"/>
    <w:autoRedefine/>
    <w:unhideWhenUsed/>
    <w:qFormat/>
    <w:uiPriority w:val="39"/>
    <w:pPr>
      <w:widowControl/>
      <w:spacing w:after="100" w:line="276" w:lineRule="auto"/>
      <w:ind w:left="220"/>
      <w:jc w:val="left"/>
    </w:pPr>
    <w:rPr>
      <w:kern w:val="0"/>
      <w:sz w:val="22"/>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character" w:customStyle="1" w:styleId="15">
    <w:name w:val="标题 1 字符"/>
    <w:basedOn w:val="12"/>
    <w:link w:val="2"/>
    <w:qFormat/>
    <w:uiPriority w:val="9"/>
    <w:rPr>
      <w:b/>
      <w:bCs/>
      <w:kern w:val="44"/>
      <w:sz w:val="44"/>
      <w:szCs w:val="44"/>
    </w:rPr>
  </w:style>
  <w:style w:type="character" w:customStyle="1" w:styleId="16">
    <w:name w:val="标题 2 字符"/>
    <w:basedOn w:val="12"/>
    <w:link w:val="3"/>
    <w:qFormat/>
    <w:uiPriority w:val="9"/>
    <w:rPr>
      <w:rFonts w:asciiTheme="majorHAnsi" w:hAnsiTheme="majorHAnsi" w:eastAsiaTheme="majorEastAsia" w:cstheme="majorBidi"/>
      <w:b/>
      <w:bCs/>
      <w:sz w:val="28"/>
      <w:szCs w:val="32"/>
    </w:rPr>
  </w:style>
  <w:style w:type="character" w:customStyle="1" w:styleId="17">
    <w:name w:val="页眉 字符"/>
    <w:basedOn w:val="12"/>
    <w:link w:val="7"/>
    <w:qFormat/>
    <w:uiPriority w:val="99"/>
    <w:rPr>
      <w:sz w:val="18"/>
      <w:szCs w:val="18"/>
    </w:rPr>
  </w:style>
  <w:style w:type="character" w:customStyle="1" w:styleId="18">
    <w:name w:val="页脚 字符"/>
    <w:basedOn w:val="12"/>
    <w:link w:val="6"/>
    <w:qFormat/>
    <w:uiPriority w:val="99"/>
    <w:rPr>
      <w:sz w:val="18"/>
      <w:szCs w:val="18"/>
    </w:rPr>
  </w:style>
  <w:style w:type="paragraph" w:customStyle="1" w:styleId="1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39FEA6-02D8-4E9E-A974-3AE02EFDD97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41</Pages>
  <Words>6747</Words>
  <Characters>7484</Characters>
  <Lines>116</Lines>
  <Paragraphs>32</Paragraphs>
  <TotalTime>64</TotalTime>
  <ScaleCrop>false</ScaleCrop>
  <LinksUpToDate>false</LinksUpToDate>
  <CharactersWithSpaces>7625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2024-08-29T07:30:00Z</dcterms:created>
  <dc:creator>Administrator</dc:creator>
  <cp:lastModifiedBy>WPS_1650975993</cp:lastModifiedBy>
  <dcterms:modified xsi:type="dcterms:W3CDTF">2025-10-31T07:01:24Z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eyJoZGlkIjoiNTcxMDc1NDBkMjg3Mjg1MDg3MzRjNDhhYjM1NTA0ODAiLCJ1c2VySWQiOiIyNTYwNjAzOTUifQ==</vt:lpwstr>
  </property>
  <property fmtid="{D5CDD505-2E9C-101B-9397-08002B2CF9AE}" pid="3" name="KSOProductBuildVer">
    <vt:lpwstr>2052-12.1.0.23125</vt:lpwstr>
  </property>
  <property fmtid="{D5CDD505-2E9C-101B-9397-08002B2CF9AE}" pid="4" name="ICV">
    <vt:lpwstr>8F6E086CD32B443B828C1BC86C4CC501_13</vt:lpwstr>
  </property>
</Properties>
</file>