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ascii="宋体" w:hAnsi="宋体"/>
          <w:color w:val="000000"/>
          <w:kern w:val="0"/>
          <w:sz w:val="44"/>
          <w:szCs w:val="44"/>
        </w:rPr>
      </w:pPr>
    </w:p>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ascii="宋体" w:hAnsi="宋体"/>
          <w:color w:val="000000"/>
          <w:kern w:val="0"/>
          <w:sz w:val="44"/>
          <w:szCs w:val="44"/>
        </w:rPr>
      </w:pPr>
    </w:p>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ascii="宋体" w:hAnsi="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ascii="宋体" w:hAnsi="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市公平竞争审查联席会议办公室</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关于印发《</w:t>
      </w:r>
      <w:r>
        <w:rPr>
          <w:rFonts w:hint="eastAsia" w:ascii="方正小标宋简体" w:hAnsi="方正小标宋简体" w:eastAsia="方正小标宋简体" w:cs="方正小标宋简体"/>
          <w:sz w:val="44"/>
          <w:szCs w:val="44"/>
        </w:rPr>
        <w:t>广水市公平竞争审查第三方评估</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color w:val="000000"/>
          <w:kern w:val="0"/>
          <w:sz w:val="44"/>
          <w:szCs w:val="44"/>
        </w:rPr>
        <w:t>》的通知</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ascii="方正小标宋_GBK" w:hAnsi="宋体" w:eastAsia="方正小标宋_GBK" w:cs="Helvetica"/>
          <w:color w:val="000000"/>
          <w:kern w:val="0"/>
          <w:sz w:val="44"/>
          <w:szCs w:val="44"/>
        </w:rPr>
      </w:pPr>
      <w:r>
        <w:rPr>
          <w:rFonts w:hint="eastAsia" w:ascii="方正小标宋_GBK" w:hAnsi="宋体" w:eastAsia="方正小标宋_GBK" w:cs="Helvetica"/>
          <w:color w:val="000000"/>
          <w:kern w:val="0"/>
          <w:sz w:val="44"/>
          <w:szCs w:val="44"/>
        </w:rPr>
        <w:t xml:space="preserve"> </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color w:val="000000"/>
          <w:sz w:val="32"/>
          <w:szCs w:val="32"/>
        </w:rPr>
      </w:pPr>
      <w:r>
        <w:rPr>
          <w:rFonts w:ascii="宋体" w:hAnsi="宋体"/>
          <w:color w:val="000000"/>
          <w:sz w:val="32"/>
          <w:szCs w:val="32"/>
        </w:rPr>
        <w:t>市公平竞争审查联席会议成员单位：</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color w:val="000000"/>
          <w:kern w:val="0"/>
          <w:sz w:val="32"/>
          <w:szCs w:val="32"/>
        </w:rPr>
      </w:pPr>
      <w:r>
        <w:rPr>
          <w:rFonts w:ascii="宋体" w:hAnsi="宋体"/>
          <w:color w:val="000000"/>
          <w:kern w:val="0"/>
          <w:sz w:val="32"/>
          <w:szCs w:val="32"/>
        </w:rPr>
        <w:t>为进一步推进公平竞争政策实施，全面落实公平竞争审查制度，制定</w:t>
      </w:r>
      <w:r>
        <w:rPr>
          <w:rFonts w:hint="eastAsia" w:ascii="宋体" w:hAnsi="宋体"/>
          <w:color w:val="000000"/>
          <w:kern w:val="0"/>
          <w:sz w:val="32"/>
          <w:szCs w:val="32"/>
          <w:lang w:eastAsia="zh-CN"/>
        </w:rPr>
        <w:t>了</w:t>
      </w:r>
      <w:bookmarkStart w:id="0" w:name="_GoBack"/>
      <w:bookmarkEnd w:id="0"/>
      <w:r>
        <w:rPr>
          <w:rFonts w:ascii="宋体" w:hAnsi="宋体"/>
          <w:color w:val="000000"/>
          <w:kern w:val="0"/>
          <w:sz w:val="32"/>
          <w:szCs w:val="32"/>
        </w:rPr>
        <w:t>《</w:t>
      </w:r>
      <w:r>
        <w:rPr>
          <w:rFonts w:hint="eastAsia" w:ascii="宋体" w:hAnsi="宋体"/>
          <w:color w:val="000000"/>
          <w:kern w:val="0"/>
          <w:sz w:val="32"/>
          <w:szCs w:val="32"/>
        </w:rPr>
        <w:t>广水市公平竞争审查第三方评估实施方案</w:t>
      </w:r>
      <w:r>
        <w:rPr>
          <w:rFonts w:ascii="宋体" w:hAnsi="宋体"/>
          <w:color w:val="000000"/>
          <w:kern w:val="0"/>
          <w:sz w:val="32"/>
          <w:szCs w:val="32"/>
        </w:rPr>
        <w:t>》，现印发给你们，请认真贯彻落实。</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right"/>
        <w:textAlignment w:val="auto"/>
        <w:rPr>
          <w:rFonts w:ascii="方正仿宋_GBK" w:hAnsi="微软雅黑" w:eastAsia="方正仿宋_GBK" w:cs="宋体"/>
          <w:color w:val="4D4D4D"/>
          <w:kern w:val="0"/>
          <w:sz w:val="32"/>
          <w:szCs w:val="32"/>
        </w:rPr>
      </w:pPr>
      <w:r>
        <w:rPr>
          <w:rFonts w:hint="eastAsia" w:ascii="方正仿宋_GBK" w:hAnsi="微软雅黑" w:eastAsia="方正仿宋_GBK" w:cs="宋体"/>
          <w:color w:val="4D4D4D"/>
          <w:kern w:val="0"/>
          <w:sz w:val="32"/>
          <w:szCs w:val="32"/>
        </w:rPr>
        <w:t xml:space="preserve"> </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right"/>
        <w:textAlignment w:val="auto"/>
        <w:rPr>
          <w:rFonts w:ascii="方正仿宋_GBK" w:hAnsi="微软雅黑" w:eastAsia="方正仿宋_GBK" w:cs="宋体"/>
          <w:color w:val="4D4D4D"/>
          <w:kern w:val="0"/>
          <w:sz w:val="32"/>
          <w:szCs w:val="32"/>
        </w:rPr>
      </w:pPr>
      <w:r>
        <w:rPr>
          <w:rFonts w:hint="eastAsia" w:ascii="方正仿宋_GBK" w:hAnsi="微软雅黑" w:eastAsia="方正仿宋_GBK" w:cs="宋体"/>
          <w:color w:val="4D4D4D"/>
          <w:kern w:val="0"/>
          <w:sz w:val="32"/>
          <w:szCs w:val="32"/>
        </w:rPr>
        <w:t xml:space="preserve"> </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right"/>
        <w:textAlignment w:val="auto"/>
        <w:rPr>
          <w:rFonts w:ascii="方正仿宋_GBK" w:hAnsi="微软雅黑" w:eastAsia="方正仿宋_GBK" w:cs="宋体"/>
          <w:color w:val="4D4D4D"/>
          <w:kern w:val="0"/>
          <w:sz w:val="32"/>
          <w:szCs w:val="32"/>
        </w:rPr>
      </w:pPr>
      <w:r>
        <w:rPr>
          <w:rFonts w:hint="eastAsia" w:ascii="方正仿宋_GBK" w:hAnsi="微软雅黑" w:eastAsia="方正仿宋_GBK" w:cs="宋体"/>
          <w:color w:val="4D4D4D"/>
          <w:kern w:val="0"/>
          <w:sz w:val="32"/>
          <w:szCs w:val="32"/>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color w:val="000000"/>
          <w:kern w:val="0"/>
          <w:sz w:val="32"/>
          <w:szCs w:val="32"/>
        </w:rPr>
      </w:pPr>
      <w:r>
        <w:rPr>
          <w:rFonts w:ascii="宋体" w:hAnsi="宋体"/>
          <w:color w:val="000000"/>
          <w:kern w:val="0"/>
          <w:sz w:val="32"/>
          <w:szCs w:val="32"/>
        </w:rPr>
        <w:t>广水市公平竞争审查联席会议办公室</w:t>
      </w:r>
      <w:r>
        <w:rPr>
          <w:rFonts w:ascii="仿宋_GB2312" w:hAnsi="仿宋_GB2312"/>
          <w:color w:val="000000"/>
          <w:kern w:val="0"/>
          <w:sz w:val="32"/>
          <w:szCs w:val="32"/>
        </w:rPr>
        <w:t xml:space="preserve"> </w:t>
      </w:r>
    </w:p>
    <w:p>
      <w:pPr>
        <w:keepNext w:val="0"/>
        <w:keepLines w:val="0"/>
        <w:pageBreakBefore w:val="0"/>
        <w:kinsoku/>
        <w:overflowPunct/>
        <w:topLinePunct w:val="0"/>
        <w:autoSpaceDE/>
        <w:autoSpaceDN/>
        <w:bidi w:val="0"/>
        <w:adjustRightInd/>
        <w:snapToGrid/>
        <w:spacing w:line="560" w:lineRule="exact"/>
        <w:textAlignment w:val="auto"/>
      </w:pPr>
      <w:r>
        <w:rPr>
          <w:rFonts w:ascii="仿宋_GB2312" w:hAnsi="仿宋_GB2312"/>
          <w:color w:val="000000"/>
          <w:kern w:val="0"/>
          <w:sz w:val="32"/>
          <w:szCs w:val="32"/>
        </w:rPr>
        <w:t xml:space="preserve">                  </w:t>
      </w:r>
      <w:r>
        <w:rPr>
          <w:rFonts w:hint="eastAsia" w:ascii="仿宋_GB2312" w:hAnsi="仿宋_GB2312"/>
          <w:color w:val="000000"/>
          <w:kern w:val="0"/>
          <w:sz w:val="32"/>
          <w:szCs w:val="32"/>
        </w:rPr>
        <w:t xml:space="preserve">        </w:t>
      </w:r>
      <w:r>
        <w:rPr>
          <w:rFonts w:ascii="仿宋_GB2312" w:hAnsi="仿宋_GB2312"/>
          <w:color w:val="000000"/>
          <w:kern w:val="0"/>
          <w:sz w:val="32"/>
          <w:szCs w:val="32"/>
        </w:rPr>
        <w:t>2024</w:t>
      </w:r>
      <w:r>
        <w:rPr>
          <w:rFonts w:ascii="宋体" w:hAnsi="宋体"/>
          <w:color w:val="000000"/>
          <w:kern w:val="0"/>
          <w:sz w:val="32"/>
          <w:szCs w:val="32"/>
        </w:rPr>
        <w:t>年</w:t>
      </w:r>
      <w:r>
        <w:rPr>
          <w:rFonts w:hint="eastAsia" w:ascii="仿宋_GB2312" w:hAnsi="仿宋_GB2312"/>
          <w:color w:val="000000"/>
          <w:kern w:val="0"/>
          <w:sz w:val="32"/>
          <w:szCs w:val="32"/>
        </w:rPr>
        <w:t>7</w:t>
      </w:r>
      <w:r>
        <w:rPr>
          <w:rFonts w:ascii="宋体" w:hAnsi="宋体"/>
          <w:color w:val="000000"/>
          <w:kern w:val="0"/>
          <w:sz w:val="32"/>
          <w:szCs w:val="32"/>
        </w:rPr>
        <w:t>月</w:t>
      </w:r>
      <w:r>
        <w:rPr>
          <w:rFonts w:hint="eastAsia" w:ascii="仿宋_GB2312" w:hAnsi="仿宋_GB2312"/>
          <w:color w:val="000000"/>
          <w:kern w:val="0"/>
          <w:sz w:val="32"/>
          <w:szCs w:val="32"/>
        </w:rPr>
        <w:t>30</w:t>
      </w:r>
      <w:r>
        <w:rPr>
          <w:rFonts w:ascii="宋体" w:hAnsi="宋体"/>
          <w:color w:val="000000"/>
          <w:kern w:val="0"/>
          <w:sz w:val="32"/>
          <w:szCs w:val="32"/>
        </w:rPr>
        <w:t>日</w:t>
      </w:r>
    </w:p>
    <w:p>
      <w:pPr>
        <w:keepNext w:val="0"/>
        <w:keepLines w:val="0"/>
        <w:pageBreakBefore w:val="0"/>
        <w:kinsoku/>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广水市公平竞争审查第三方评估实施方案</w:t>
      </w:r>
    </w:p>
    <w:p>
      <w:pPr>
        <w:keepNext w:val="0"/>
        <w:keepLines w:val="0"/>
        <w:pageBreakBefore w:val="0"/>
        <w:kinsoku/>
        <w:overflowPunct/>
        <w:topLinePunct w:val="0"/>
        <w:autoSpaceDE/>
        <w:autoSpaceDN/>
        <w:bidi w:val="0"/>
        <w:adjustRightInd/>
        <w:snapToGrid/>
        <w:spacing w:line="560" w:lineRule="exact"/>
        <w:jc w:val="center"/>
        <w:textAlignment w:val="auto"/>
        <w:rPr>
          <w:sz w:val="44"/>
          <w:szCs w:val="44"/>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一、引言</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公平竞争审查第三方评估机制，提高审查质量和效果，推动公平竞争审查制度深入实施，根据《中华人民共和国反垄断法》《国务院关于在市场体系建设中建立公平竞争审查制度的意见》（国发〔2016〕34号）和《公平竞争审查制度实施细则》（国市监反垄规〔2021〕2号）等相关法律法规和政策文件，特制定本实施方案。</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二、目的与原则</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引入第三方评估，对本地区或本部门公平竞争审查制度实施情况、有关政策措施以及公平竞争审查其他有关工作进行科学、系统、规范的评估，形成评估报告供决策参考，提升公平竞争审查工作的透明度和公信力。</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审查过程严格遵循客观公正、科学严谨、专业规范和注重实效的原则。确保评估过程公开透明，评估结果客观真实；确保评估过程规范、严谨；确保评估结果的专业性和权威性；为政策制定和调整提供有力支持。</w:t>
      </w:r>
    </w:p>
    <w:p>
      <w:pPr>
        <w:keepNext w:val="0"/>
        <w:keepLines w:val="0"/>
        <w:pageBreakBefore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三、适用范围和评估内容</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竞争审查工作联席会议办公室可针对本市公平竞争审查制度实施总体情况、重点领域和行业实施情况等开展第三方评估。政策制定机关在公平竞争审查工作的各个阶段和环节，如拟出台政策措施的审查、已出台政策措施的评估等，均可引入第三方评估。</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拟出台的政策措施进行公平竞争审查时，重点评估其是否违反公平竞争审查标准、是否符合适用例外规定的情形和条件等。对已出台的政策措施进行定期或不定期评估，重点评估其是否已按要求进行公平竞争审查、审查结论是否符合要求、是否产生新的排除或限制竞争问题等。对适用例外规定的政策措施进行逐年评估，重点评估其是否达到预期效果、是否产生新的排除或限制竞争问题等。对公平竞争审查制度实施情况进行综合评估，包括工作部署落实情况、增量政策措施审查情况、存量政策措施清理情况等。</w:t>
      </w:r>
    </w:p>
    <w:p>
      <w:pPr>
        <w:keepNext w:val="0"/>
        <w:keepLines w:val="0"/>
        <w:pageBreakBefore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四、评估程序与方法</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 确定评估机构</w:t>
      </w:r>
      <w:r>
        <w:rPr>
          <w:rFonts w:hint="eastAsia" w:ascii="仿宋_GB2312" w:hAnsi="仿宋_GB2312" w:eastAsia="仿宋_GB2312" w:cs="仿宋_GB2312"/>
          <w:sz w:val="32"/>
          <w:szCs w:val="32"/>
        </w:rPr>
        <w:t>：选择具备独立性、专业性和权威性的第三方评估机构，确保评估结果的客观和公正。</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 制定评估计划</w:t>
      </w:r>
      <w:r>
        <w:rPr>
          <w:rFonts w:hint="eastAsia" w:ascii="仿宋_GB2312" w:hAnsi="仿宋_GB2312" w:eastAsia="仿宋_GB2312" w:cs="仿宋_GB2312"/>
          <w:sz w:val="32"/>
          <w:szCs w:val="32"/>
        </w:rPr>
        <w:t>：根据政策的特点和实施要求，制定详细的评估计划，包括评估时间、评估内容、评估方法和评估流程等。</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 开展现场调查</w:t>
      </w:r>
      <w:r>
        <w:rPr>
          <w:rFonts w:hint="eastAsia" w:ascii="仿宋_GB2312" w:hAnsi="仿宋_GB2312" w:eastAsia="仿宋_GB2312" w:cs="仿宋_GB2312"/>
          <w:sz w:val="32"/>
          <w:szCs w:val="32"/>
        </w:rPr>
        <w:t>：评估机构开展现场调查，了解政策的实施情况和市场反应，收集企业和消费者的意见和建议。</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 进行分析和评估</w:t>
      </w:r>
      <w:r>
        <w:rPr>
          <w:rFonts w:hint="eastAsia" w:ascii="仿宋_GB2312" w:hAnsi="仿宋_GB2312" w:eastAsia="仿宋_GB2312" w:cs="仿宋_GB2312"/>
          <w:sz w:val="32"/>
          <w:szCs w:val="32"/>
        </w:rPr>
        <w:t>：根据现场调查结果和相关数据，对政策进行深入的分析和评估，包括政策的公平性、合理性和实施效果等。</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五、监督与保障</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公平竞争审查工作联席会议办公室应加强对第三方评估工作的监督和管理，确保评估过程规范有序、评估结果客观公正。</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委托单位应为第三方评估机构提供必要的支持和保障条件，确保评估工作顺利开展。同时，加强对评估人员的培训和管理，提高其专业素质和业务能力。</w:t>
      </w:r>
    </w:p>
    <w:p>
      <w:pPr>
        <w:keepNext w:val="0"/>
        <w:keepLines w:val="0"/>
        <w:pageBreakBefore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六、附则</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本实施方案自发布之日起施行，由公平竞争审查工作联席会议办公室负责解释和修订。在实施过程中如有问题或建议，请及时向相关部门反馈。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原版宋体"/>
    <w:panose1 w:val="02010600030101010101"/>
    <w:charset w:val="86"/>
    <w:family w:val="auto"/>
    <w:pitch w:val="default"/>
    <w:sig w:usb0="00000000" w:usb1="00000000" w:usb2="00000016" w:usb3="00000000" w:csb0="0004000F" w:csb1="00000000"/>
  </w:font>
  <w:font w:name="原版宋体">
    <w:panose1 w:val="02010600030101010101"/>
    <w:charset w:val="86"/>
    <w:family w:val="auto"/>
    <w:pitch w:val="default"/>
    <w:sig w:usb0="00000003" w:usb1="080E0000" w:usb2="00000000" w:usb3="00000000" w:csb0="00040001"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E4"/>
    <w:rsid w:val="00252AC6"/>
    <w:rsid w:val="00397E1C"/>
    <w:rsid w:val="00444C5F"/>
    <w:rsid w:val="0057095C"/>
    <w:rsid w:val="008D72A9"/>
    <w:rsid w:val="00CF2835"/>
    <w:rsid w:val="00F521E4"/>
    <w:rsid w:val="570FC994"/>
    <w:rsid w:val="FF97D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172</Words>
  <Characters>987</Characters>
  <Lines>8</Lines>
  <Paragraphs>2</Paragraphs>
  <TotalTime>2</TotalTime>
  <ScaleCrop>false</ScaleCrop>
  <LinksUpToDate>false</LinksUpToDate>
  <CharactersWithSpaces>1157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2024-10-23T06:31:00Z</dcterms:created>
  <dc:creator>Windows 用户</dc:creator>
  <cp:lastModifiedBy>GSJ</cp:lastModifiedBy>
  <dcterms:modified xsi:type="dcterms:W3CDTF">2024-10-24T09:15:12Z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84CD974326BFB506A09F19673904CC34_43</vt:lpwstr>
  </property>
</Properties>
</file>