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FA8" w:rsidRDefault="00D71FA8" w:rsidP="00D71FA8">
      <w:pPr>
        <w:pStyle w:val="a5"/>
        <w:widowControl/>
        <w:spacing w:beforeAutospacing="0" w:afterAutospacing="0" w:line="680" w:lineRule="exact"/>
        <w:ind w:firstLine="643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Style w:val="a6"/>
          <w:rFonts w:ascii="仿宋_GB2312" w:eastAsia="仿宋_GB2312" w:hAnsi="仿宋_GB2312" w:cs="仿宋_GB2312" w:hint="eastAsia"/>
          <w:sz w:val="32"/>
          <w:szCs w:val="32"/>
        </w:rPr>
        <w:t>附件1：相关法律条文</w:t>
      </w:r>
    </w:p>
    <w:p w:rsidR="00D71FA8" w:rsidRDefault="00D71FA8" w:rsidP="00D71FA8">
      <w:pPr>
        <w:pStyle w:val="a5"/>
        <w:widowControl/>
        <w:numPr>
          <w:ilvl w:val="0"/>
          <w:numId w:val="1"/>
        </w:numPr>
        <w:spacing w:beforeAutospacing="0" w:afterAutospacing="0" w:line="680" w:lineRule="exact"/>
        <w:ind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《中华人民共和国行政许可法》第七十条规定：“有下列情形之一的，行政机关应当依法办理有关行政许可的注销手续：（一）行政许可有效期届满未延续的；（二）赋予公民特定资格的行政许可，该公民死亡或者丧失行为能力的；（三）法人或者其他组织依法终止的；（四）行政许可依法被撤销、撤回，或者行政许可证件依法被吊销的；（五）因不可抗力导致行政许可事项无法实施的；（六）法律、法规规定的应当注销行政许可的其他情形。”</w:t>
      </w:r>
    </w:p>
    <w:p w:rsidR="00D71FA8" w:rsidRDefault="00D71FA8" w:rsidP="00D71FA8">
      <w:pPr>
        <w:pStyle w:val="a5"/>
        <w:widowControl/>
        <w:numPr>
          <w:ilvl w:val="0"/>
          <w:numId w:val="1"/>
        </w:numPr>
        <w:spacing w:beforeAutospacing="0" w:afterAutospacing="0" w:line="680" w:lineRule="exact"/>
        <w:ind w:firstLine="64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《食品生产许可管理办法》第四十一条规定：“有下列情形之一，食品生产者未按规定申请办理注销手续的，原发证的市场监督管理部门应当依法办理食品生产许可注销手续，并在网站进行公示：（一）食品生产许可有效期届满未申请延续的；（二）食品生产者主体资格依法终止的；（三）食品生产许可依法被撤回、撤销或者食品生产许可证依法被吊销的；（四）因不可抗力导致食品生产许可事项无法实施的；（五）法律法规规定的应当注销食品生产许可的其他情形。”</w:t>
      </w:r>
    </w:p>
    <w:p w:rsidR="0030714B" w:rsidRDefault="0030714B"/>
    <w:sectPr w:rsidR="003071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14B" w:rsidRDefault="0030714B" w:rsidP="00D71FA8">
      <w:pPr>
        <w:ind w:firstLine="640"/>
      </w:pPr>
      <w:r>
        <w:separator/>
      </w:r>
    </w:p>
  </w:endnote>
  <w:endnote w:type="continuationSeparator" w:id="1">
    <w:p w:rsidR="0030714B" w:rsidRDefault="0030714B" w:rsidP="00D71FA8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SI仿宋-GB2312">
    <w:altName w:val="仿宋"/>
    <w:charset w:val="00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14B" w:rsidRDefault="0030714B" w:rsidP="00D71FA8">
      <w:pPr>
        <w:ind w:firstLine="640"/>
      </w:pPr>
      <w:r>
        <w:separator/>
      </w:r>
    </w:p>
  </w:footnote>
  <w:footnote w:type="continuationSeparator" w:id="1">
    <w:p w:rsidR="0030714B" w:rsidRDefault="0030714B" w:rsidP="00D71FA8">
      <w:pPr>
        <w:ind w:firstLine="64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7F71390"/>
    <w:multiLevelType w:val="singleLevel"/>
    <w:tmpl w:val="D7F7139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1FA8"/>
    <w:rsid w:val="0030714B"/>
    <w:rsid w:val="00D71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1F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71F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71F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71FA8"/>
    <w:rPr>
      <w:sz w:val="18"/>
      <w:szCs w:val="18"/>
    </w:rPr>
  </w:style>
  <w:style w:type="paragraph" w:styleId="a5">
    <w:name w:val="Normal (Web)"/>
    <w:basedOn w:val="a"/>
    <w:rsid w:val="00D71FA8"/>
    <w:pPr>
      <w:spacing w:before="100" w:beforeAutospacing="1" w:after="100" w:afterAutospacing="1" w:line="560" w:lineRule="exact"/>
      <w:ind w:firstLineChars="200" w:firstLine="420"/>
      <w:jc w:val="left"/>
    </w:pPr>
    <w:rPr>
      <w:rFonts w:ascii="Calibri" w:eastAsia="CESI仿宋-GB2312" w:hAnsi="Calibri" w:cs="Times New Roman"/>
      <w:kern w:val="0"/>
      <w:sz w:val="24"/>
      <w:szCs w:val="24"/>
    </w:rPr>
  </w:style>
  <w:style w:type="character" w:styleId="a6">
    <w:name w:val="Strong"/>
    <w:basedOn w:val="a0"/>
    <w:qFormat/>
    <w:rsid w:val="00D71FA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2026-10-13T03:44:00Z</dcterms:created>
  <dcterms:modified xsi:type="dcterms:W3CDTF">2026-10-13T03:44:00Z</dcterms:modified>
</cp:coreProperties>
</file>