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广水市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河道采砂统一经营管理办法</w:t>
      </w:r>
    </w:p>
    <w:bookmarkEnd w:id="0"/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第一章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总则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第一条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为合理利用和保护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广水市</w:t>
      </w:r>
      <w:r>
        <w:rPr>
          <w:rFonts w:hint="eastAsia" w:ascii="仿宋_GB2312" w:hAnsi="仿宋_GB2312" w:eastAsia="仿宋_GB2312" w:cs="仿宋_GB2312"/>
          <w:sz w:val="32"/>
          <w:szCs w:val="32"/>
        </w:rPr>
        <w:t>河砂资源，加强河道采砂经营管理，根据《中华人民共和国水法》《中华人民共和国防洪法》《中华人民共和国矿产资源法》《中华人民共和国环境保护法》《中华人民共和国长江保护法》《中华人民共和国河道管理条例》《湖北省河道采砂管理条例》等法律法规规定，结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广水市</w:t>
      </w:r>
      <w:r>
        <w:rPr>
          <w:rFonts w:hint="eastAsia" w:ascii="仿宋_GB2312" w:hAnsi="仿宋_GB2312" w:eastAsia="仿宋_GB2312" w:cs="仿宋_GB2312"/>
          <w:sz w:val="32"/>
          <w:szCs w:val="32"/>
        </w:rPr>
        <w:t>实际，制定本办法。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本办法所称河道采砂，是指在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广水市</w:t>
      </w:r>
      <w:r>
        <w:rPr>
          <w:rFonts w:hint="eastAsia" w:ascii="仿宋_GB2312" w:hAnsi="仿宋_GB2312" w:eastAsia="仿宋_GB2312" w:cs="仿宋_GB2312"/>
          <w:sz w:val="32"/>
          <w:szCs w:val="32"/>
        </w:rPr>
        <w:t>境内河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流、</w:t>
      </w:r>
      <w:r>
        <w:rPr>
          <w:rFonts w:hint="eastAsia" w:ascii="仿宋_GB2312" w:hAnsi="仿宋_GB2312" w:eastAsia="仿宋_GB2312" w:cs="仿宋_GB2312"/>
          <w:sz w:val="32"/>
          <w:szCs w:val="32"/>
        </w:rPr>
        <w:t>湖泊、水库、人工水道等管理范围内开采砂石、取土等行为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。在广水市境内</w:t>
      </w:r>
      <w:r>
        <w:rPr>
          <w:rFonts w:hint="eastAsia" w:ascii="仿宋_GB2312" w:hAnsi="仿宋_GB2312" w:eastAsia="仿宋_GB2312" w:cs="仿宋_GB2312"/>
          <w:sz w:val="32"/>
          <w:szCs w:val="32"/>
        </w:rPr>
        <w:t>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流、</w:t>
      </w:r>
      <w:r>
        <w:rPr>
          <w:rFonts w:hint="eastAsia" w:ascii="仿宋_GB2312" w:hAnsi="仿宋_GB2312" w:eastAsia="仿宋_GB2312" w:cs="仿宋_GB2312"/>
          <w:sz w:val="32"/>
          <w:szCs w:val="32"/>
        </w:rPr>
        <w:t>湖泊、水库、人工水道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等管理范围内实施涉水工程建设或维护性清淤疏浚项目，产生的需综合利用的疏浚砂（砂、石、土）适用本法。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河道砂石资源属于国家所有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、产生收益属于国家，</w:t>
      </w:r>
      <w:r>
        <w:rPr>
          <w:rFonts w:hint="eastAsia" w:ascii="仿宋_GB2312" w:hAnsi="仿宋_GB2312" w:eastAsia="仿宋_GB2312" w:cs="仿宋_GB2312"/>
          <w:sz w:val="32"/>
          <w:szCs w:val="32"/>
        </w:rPr>
        <w:t>任何单位和个人不得非法开采。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第二章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采砂规划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第四条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规划开采原则。禁止“掠夺性”开采，遵循“生态优先、绿色发展”原则，适度开发、科学开采，有效提高砂石资源的经济和社会效益。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科学规划采区。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</w:rPr>
        <w:t>水利和湖泊局负责组织编制全区境内河道采砂规划、年度实施方案，明确规定禁采区、可采区、禁采期、可采期、年度采砂控制总量、开采范围、开采高程、采砂船舶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机具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的种类、作业方式、弃料处理等事项。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规划和年度实施方案需按规定征求相关部门、利益相关方、公众及专家意见，报随州市水利和湖泊审核同意后报市人民政府批准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第三章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河砂开采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按照政企分开的原则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实行统一经营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采取</w:t>
      </w:r>
      <w:r>
        <w:rPr>
          <w:rFonts w:hint="eastAsia" w:ascii="仿宋_GB2312" w:hAnsi="仿宋_GB2312" w:eastAsia="仿宋_GB2312" w:cs="仿宋_GB2312"/>
          <w:sz w:val="32"/>
          <w:szCs w:val="32"/>
        </w:rPr>
        <w:t>“四统一联”的模式，即“统一规划、统一开采、统一经营、统一管理、联合执法”。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授权国有平台公司成</w:t>
      </w:r>
      <w:r>
        <w:rPr>
          <w:rFonts w:hint="eastAsia" w:ascii="仿宋_GB2312" w:hAnsi="仿宋_GB2312" w:eastAsia="仿宋_GB2312" w:cs="仿宋_GB2312"/>
          <w:sz w:val="32"/>
          <w:szCs w:val="32"/>
        </w:rPr>
        <w:t>立河砂统一开采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运营管理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构</w:t>
      </w:r>
      <w:r>
        <w:rPr>
          <w:rFonts w:hint="eastAsia" w:ascii="仿宋_GB2312" w:hAnsi="仿宋_GB2312" w:eastAsia="仿宋_GB2312" w:cs="仿宋_GB2312"/>
          <w:sz w:val="32"/>
          <w:szCs w:val="32"/>
        </w:rPr>
        <w:t>。按照规划设计，开采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运营管理机构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应依法向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</w:rPr>
        <w:t>水利和湖泊局申领河道采砂许可证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按照河道采砂规划进行开采，加强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现场</w:t>
      </w:r>
      <w:r>
        <w:rPr>
          <w:rFonts w:hint="eastAsia" w:ascii="仿宋_GB2312" w:hAnsi="仿宋_GB2312" w:eastAsia="仿宋_GB2312" w:cs="仿宋_GB2312"/>
          <w:sz w:val="32"/>
          <w:szCs w:val="32"/>
        </w:rPr>
        <w:t>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砂场砂站间运输车辆实行闭环管理。河砂开采、转运、加工等基础性劳务作业，全部通过社会公开招标方式选定合作企业，中标的劳务用工企业只负责开采转运加工河砂等标的范围内的事务，并按中标价格获取劳务费，接受开采运营机构管理。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市</w:t>
      </w:r>
      <w:r>
        <w:rPr>
          <w:rFonts w:hint="eastAsia" w:ascii="仿宋_GB2312" w:hAnsi="仿宋_GB2312" w:eastAsia="仿宋_GB2312" w:cs="仿宋_GB2312"/>
          <w:sz w:val="32"/>
          <w:szCs w:val="32"/>
        </w:rPr>
        <w:t>水利和湖泊局依法对采砂活动进行监督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，河砂开采期间安排专人驻场监督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科学</w:t>
      </w:r>
      <w:r>
        <w:rPr>
          <w:rFonts w:hint="eastAsia" w:ascii="仿宋_GB2312" w:hAnsi="仿宋_GB2312" w:eastAsia="仿宋_GB2312" w:cs="仿宋_GB2312"/>
          <w:sz w:val="32"/>
          <w:szCs w:val="32"/>
        </w:rPr>
        <w:t>合理设置砂站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砂石集并和经营场所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），</w:t>
      </w:r>
      <w:r>
        <w:rPr>
          <w:rFonts w:hint="eastAsia" w:ascii="仿宋_GB2312" w:hAnsi="仿宋_GB2312" w:eastAsia="仿宋_GB2312" w:cs="仿宋_GB2312"/>
          <w:sz w:val="32"/>
          <w:szCs w:val="32"/>
        </w:rPr>
        <w:t>设置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砂站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应符合土地利用规划，实现采砂制砂分离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强化采砂环境保护与修复，坚持“开采河段实行边开采边修复”的原则，及时平整、恢复河道面貌，保证河势稳定，确保行洪安全。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村民确因小型建设自用零星用砂需从就近河道采挖，需向所在村（居）委会申请，上报属地政府审核同意后报市水利和湖泊局备案。采挖应在河道采砂的可采区和可采期进行，采挖的砂石不得销售。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第四章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河砂经营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河砂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经营</w:t>
      </w:r>
      <w:r>
        <w:rPr>
          <w:rFonts w:hint="eastAsia" w:ascii="仿宋_GB2312" w:hAnsi="仿宋_GB2312" w:eastAsia="仿宋_GB2312" w:cs="仿宋_GB2312"/>
          <w:sz w:val="32"/>
          <w:szCs w:val="32"/>
        </w:rPr>
        <w:t>实行政府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负责、取得授权的国有平台公司成立的运营管理机构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统一经营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、主管部门监管的模式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按照“采砂上岸、采销分离、定点销售、过磅限载”模式，将全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</w:rPr>
        <w:t>可采区河砂资源作为国有资产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资源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进行统一经营，依法缴纳河道砂石矿业权出让收益。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取得授权的国有平台公司成立的运营管理机构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负责砂站经营管理，制定相关生产管理制度和防洪预案，确保生产安全和防汛安全。砂站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必须</w:t>
      </w:r>
      <w:r>
        <w:rPr>
          <w:rFonts w:hint="eastAsia" w:ascii="仿宋_GB2312" w:hAnsi="仿宋_GB2312" w:eastAsia="仿宋_GB2312" w:cs="仿宋_GB2312"/>
          <w:sz w:val="32"/>
          <w:szCs w:val="32"/>
        </w:rPr>
        <w:t>安装地磅，工作人员现场开票、收款、监管。在所有采砂场所、砂站进出口安装监控设备，实行闭环管理。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河砂经营产生的收益按照“收支两条线”的原则全部上缴财政，任何单位和个人不得截留。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第五章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采砂管理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河道采砂管理实行行政首长负责制，建立统一管理机制，健全部门、区域联动协作，推进河道采砂管理能力建设和信息化建设，将河道采砂管理工作纳入河湖长制管理，健全河道采砂管理的督查、通报、考核、问责制度。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坚持属地管理原则。各镇人民政府、街道办事处，经济开发区管委会要切实落实河湖长制责任，各镇、街道，经济开发区总河长负责本辖区河道采砂监管工作，实行群防群管，并协调好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砂场</w:t>
      </w:r>
      <w:r>
        <w:rPr>
          <w:rFonts w:hint="eastAsia" w:ascii="仿宋_GB2312" w:hAnsi="仿宋_GB2312" w:eastAsia="仿宋_GB2312" w:cs="仿宋_GB2312"/>
          <w:sz w:val="32"/>
          <w:szCs w:val="32"/>
        </w:rPr>
        <w:t>砂站与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当地</w:t>
      </w:r>
      <w:r>
        <w:rPr>
          <w:rFonts w:hint="eastAsia" w:ascii="仿宋_GB2312" w:hAnsi="仿宋_GB2312" w:eastAsia="仿宋_GB2312" w:cs="仿宋_GB2312"/>
          <w:sz w:val="32"/>
          <w:szCs w:val="32"/>
        </w:rPr>
        <w:t>村组、群众的关系，各河流河长负责领责河流的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采砂</w:t>
      </w:r>
      <w:r>
        <w:rPr>
          <w:rFonts w:hint="eastAsia" w:ascii="仿宋_GB2312" w:hAnsi="仿宋_GB2312" w:eastAsia="仿宋_GB2312" w:cs="仿宋_GB2312"/>
          <w:sz w:val="32"/>
          <w:szCs w:val="32"/>
        </w:rPr>
        <w:t>监管责任。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强化现场监管。加强许可采砂活动现场监管，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按照“九有”（即有管理用房、采砂许可证、工商营业证、公示牌、现场管理制度、安全警示牌、值班制度、开挖界桩、监管日志）和“三达标”（即称重地磅、视频监控、销售台账达标）严格管理，</w:t>
      </w:r>
      <w:r>
        <w:rPr>
          <w:rFonts w:hint="eastAsia" w:ascii="仿宋_GB2312" w:hAnsi="仿宋_GB2312" w:eastAsia="仿宋_GB2312" w:cs="仿宋_GB2312"/>
          <w:sz w:val="32"/>
          <w:szCs w:val="32"/>
        </w:rPr>
        <w:t>明确现场监管单位、监管责任人，建立现场监管制度，设立可采区、禁采区公示标志，填写现场监管日志，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对承运车辆开具湖北省统一砂石来源凭证，</w:t>
      </w:r>
      <w:r>
        <w:rPr>
          <w:rFonts w:hint="eastAsia" w:ascii="仿宋_GB2312" w:hAnsi="仿宋_GB2312" w:eastAsia="仿宋_GB2312" w:cs="仿宋_GB2312"/>
          <w:sz w:val="32"/>
          <w:szCs w:val="32"/>
        </w:rPr>
        <w:t>及时制止超范围开采、超量开采、超时开采和超载运输行为。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防控监管漏洞，砂场砂站间进出实载车辆实行闭环管理，凭证出入。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建立联合执法机制。组织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全市或跨区域</w:t>
      </w:r>
      <w:r>
        <w:rPr>
          <w:rFonts w:hint="eastAsia" w:ascii="仿宋_GB2312" w:hAnsi="仿宋_GB2312" w:eastAsia="仿宋_GB2312" w:cs="仿宋_GB2312"/>
          <w:sz w:val="32"/>
          <w:szCs w:val="32"/>
        </w:rPr>
        <w:t>联合执法工作专班，严厉打击各种非法采砂、卖砂、运砂、囤砂、超载运输河砂等违法行为。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十条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实行供、停电审批制度。对未经许可的新增采砂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囤砂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和砂石加工用电，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</w:rPr>
        <w:t>供电公司不予报装。对非法采砂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囤砂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和砂石加工用电，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</w:rPr>
        <w:t>供电公司应根据区水利和湖泊局、区自然资源和规划局的通知，及时配合做好非法采砂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囤砂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和砂石加工停电工作。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落</w:t>
      </w:r>
      <w:r>
        <w:rPr>
          <w:rFonts w:hint="eastAsia" w:ascii="仿宋_GB2312" w:hAnsi="仿宋_GB2312" w:eastAsia="仿宋_GB2312" w:cs="仿宋_GB2312"/>
          <w:sz w:val="32"/>
          <w:szCs w:val="32"/>
        </w:rPr>
        <w:t>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采砂生态保护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严禁为超限、超载车辆装运河砂，</w:t>
      </w:r>
      <w:r>
        <w:rPr>
          <w:rFonts w:hint="eastAsia" w:ascii="仿宋_GB2312" w:hAnsi="仿宋_GB2312" w:eastAsia="仿宋_GB2312" w:cs="仿宋_GB2312"/>
          <w:sz w:val="32"/>
          <w:szCs w:val="32"/>
        </w:rPr>
        <w:t>承运河砂的车辆必须平装覆盖，干砂上路，未覆盖和装载湿砂的车辆不得上路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第六章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责任追究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河砂开采作业人员、河砂承运人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、运营机构人员、监督人员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有下列行为之一的，依据相关法律法规进行处罚；构成犯罪的，依法追究刑事责任：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(一)在非生产时间内擅自装砂，偷运河砂，送人情砂，不按统一票据据实装砂的；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(二)两年内曾因非法采砂受过两次以上行政处罚，又实施非法采砂行为的；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(三)毁坏现场监控设施和水利、交通、农业、通信、供电等工程设施的；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(四)寻衅滋事，阻碍、抗拒砂站工作人员工作和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</w:rPr>
        <w:t>联合执法人员依法执行公务的；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(五)欺行霸市、强买强卖、敲诈勒索，故意堵塞交通、封堵砂站，影响交通秩序或河砂正常生产经营管理的；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(六)撤离采砂现场前不按规定清除弃料、堆体等行洪障碍物的；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(七)禁采期内采砂船舶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机具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未在指定的集中停放地点停放或擅自离开指定地点的；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(八)强行冲卡，拒绝接受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</w:rPr>
        <w:t>联合执法人员检查的；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(九)未经许可擅自开采经营河砂资源的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十</w:t>
      </w: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上述工作人员之间相互串通违规违法操作造成损失的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运营管理机构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有下列行为之一的，依据相关法律法规进行处罚；构成犯罪的，依法追究刑事责任：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(一)未按照河道采砂许可确定的时间、地点、采砂控制量、开采范围、开采高程和作业方式等进行开采的；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(二)未设置采区边界标识，不提供有关资料的；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(三)未及时清运砂石、平整弃料堆体或者采砂坑槽的；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(四)随意在河道管理范围内擅自设置砂场、堆积砂石或者弃料的；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(五)危及水工程、水文、桥梁、隧道、管线、环境保护等设施以及岸坡安全的；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(六)违反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法律法规</w:t>
      </w:r>
      <w:r>
        <w:rPr>
          <w:rFonts w:hint="eastAsia" w:ascii="仿宋_GB2312" w:hAnsi="仿宋_GB2312" w:eastAsia="仿宋_GB2312" w:cs="仿宋_GB2312"/>
          <w:sz w:val="32"/>
          <w:szCs w:val="32"/>
        </w:rPr>
        <w:t>有关河道采砂的其他规定。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监管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工作人员管理。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</w:rPr>
        <w:t>河砂联合执法工作人员擅自脱岗、玩忽职守、失职渎职、通风报信，视情节轻重，分别给予党纪政纪处分；构成犯罪的，依法追究刑事责任。加强党员干部管理。严禁党员干部个人参与一切形式的河砂开采经营活动，一经发现，视情节轻重，给予党纪政纪处分；构成犯罪的，依法追究刑事责任。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建立追责问责机制。加强对河砂管理工作的监督检查，对失职渎职、拖延推诿的，实行追责问责。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第七章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附则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本办法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按规定报上一级人民政府备案后</w:t>
      </w:r>
      <w:r>
        <w:rPr>
          <w:rFonts w:hint="eastAsia" w:ascii="仿宋_GB2312" w:hAnsi="仿宋_GB2312" w:eastAsia="仿宋_GB2312" w:cs="仿宋_GB2312"/>
          <w:sz w:val="32"/>
          <w:szCs w:val="32"/>
        </w:rPr>
        <w:t>自公布之日起施行，有效期5年。</w:t>
      </w:r>
    </w:p>
    <w:p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本办法由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</w:rPr>
        <w:t>水利和湖泊局负责解释。</w:t>
      </w:r>
    </w:p>
    <w:sectPr>
      <w:footerReference r:id="rId5" w:type="default"/>
      <w:pgSz w:w="11905" w:h="16838"/>
      <w:pgMar w:top="1417" w:right="1587" w:bottom="1417" w:left="1587" w:header="850" w:footer="992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true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EF2D3B"/>
    <w:rsid w:val="037DE740"/>
    <w:rsid w:val="0DA134FE"/>
    <w:rsid w:val="1B435EE2"/>
    <w:rsid w:val="1C791280"/>
    <w:rsid w:val="1F7B68A1"/>
    <w:rsid w:val="21B75239"/>
    <w:rsid w:val="2EDFE05F"/>
    <w:rsid w:val="2F7F93D0"/>
    <w:rsid w:val="31DC3029"/>
    <w:rsid w:val="39BEC838"/>
    <w:rsid w:val="3BB69A7F"/>
    <w:rsid w:val="3BE71E89"/>
    <w:rsid w:val="3BF717A0"/>
    <w:rsid w:val="3DFB80CA"/>
    <w:rsid w:val="3DFFD46A"/>
    <w:rsid w:val="3FBB14C2"/>
    <w:rsid w:val="3FCAAD35"/>
    <w:rsid w:val="3FEFEC88"/>
    <w:rsid w:val="3FFFE1EC"/>
    <w:rsid w:val="41BB0D27"/>
    <w:rsid w:val="463F12EE"/>
    <w:rsid w:val="4F2B0C46"/>
    <w:rsid w:val="4F3D218F"/>
    <w:rsid w:val="4FEFFFA9"/>
    <w:rsid w:val="4FFEA0EF"/>
    <w:rsid w:val="53FF9CD7"/>
    <w:rsid w:val="57BFC54A"/>
    <w:rsid w:val="59DE99F5"/>
    <w:rsid w:val="5BEE4301"/>
    <w:rsid w:val="5F6FBB27"/>
    <w:rsid w:val="5FDF7076"/>
    <w:rsid w:val="5FDF956C"/>
    <w:rsid w:val="63BDAD9E"/>
    <w:rsid w:val="63FF7B01"/>
    <w:rsid w:val="67FD35F7"/>
    <w:rsid w:val="6BFB8C49"/>
    <w:rsid w:val="6C6F4EE6"/>
    <w:rsid w:val="6CBD5DA5"/>
    <w:rsid w:val="6DFF6A83"/>
    <w:rsid w:val="6E9FC9AC"/>
    <w:rsid w:val="6EBF323F"/>
    <w:rsid w:val="6F6B9FCB"/>
    <w:rsid w:val="6F9E7E8D"/>
    <w:rsid w:val="6FBC93B3"/>
    <w:rsid w:val="723F88B3"/>
    <w:rsid w:val="72D59F8C"/>
    <w:rsid w:val="72DF66B2"/>
    <w:rsid w:val="738B0933"/>
    <w:rsid w:val="73FB1456"/>
    <w:rsid w:val="73FF0D07"/>
    <w:rsid w:val="74B7C0C2"/>
    <w:rsid w:val="753FB79E"/>
    <w:rsid w:val="757B92AB"/>
    <w:rsid w:val="76EF4F10"/>
    <w:rsid w:val="76FF8570"/>
    <w:rsid w:val="77D6C98B"/>
    <w:rsid w:val="77D6EFAD"/>
    <w:rsid w:val="77FFA391"/>
    <w:rsid w:val="797F8135"/>
    <w:rsid w:val="79B4A587"/>
    <w:rsid w:val="79D3B03B"/>
    <w:rsid w:val="7AEAC581"/>
    <w:rsid w:val="7B3B3CA7"/>
    <w:rsid w:val="7BDB88BF"/>
    <w:rsid w:val="7BEED3BE"/>
    <w:rsid w:val="7BEFBF9A"/>
    <w:rsid w:val="7DD866AC"/>
    <w:rsid w:val="7DE60A4F"/>
    <w:rsid w:val="7DFDCE13"/>
    <w:rsid w:val="7E5BA9A8"/>
    <w:rsid w:val="7EDF5674"/>
    <w:rsid w:val="7EFBE547"/>
    <w:rsid w:val="7F7E44C4"/>
    <w:rsid w:val="7F9312F4"/>
    <w:rsid w:val="7F9E9572"/>
    <w:rsid w:val="7FBB6B2A"/>
    <w:rsid w:val="7FDF9032"/>
    <w:rsid w:val="7FDFDC3F"/>
    <w:rsid w:val="7FEF80F7"/>
    <w:rsid w:val="7FF02980"/>
    <w:rsid w:val="7FF77F33"/>
    <w:rsid w:val="7FFE640A"/>
    <w:rsid w:val="7FFF559C"/>
    <w:rsid w:val="96BDE68E"/>
    <w:rsid w:val="9EE3A01A"/>
    <w:rsid w:val="9FEF0763"/>
    <w:rsid w:val="9FFB8F8D"/>
    <w:rsid w:val="9FFE929C"/>
    <w:rsid w:val="9FFEFDDC"/>
    <w:rsid w:val="A177970C"/>
    <w:rsid w:val="ABBF4478"/>
    <w:rsid w:val="AF9BBCD5"/>
    <w:rsid w:val="AFBD9F4C"/>
    <w:rsid w:val="AFD7D445"/>
    <w:rsid w:val="B3DFA46B"/>
    <w:rsid w:val="B3F5D761"/>
    <w:rsid w:val="B6F75ED7"/>
    <w:rsid w:val="B7B8DF27"/>
    <w:rsid w:val="B7DDA280"/>
    <w:rsid w:val="B7EFCDAD"/>
    <w:rsid w:val="B7FFC620"/>
    <w:rsid w:val="BBB510AD"/>
    <w:rsid w:val="BD5349E9"/>
    <w:rsid w:val="BDBD401D"/>
    <w:rsid w:val="BF783513"/>
    <w:rsid w:val="BFAB64B9"/>
    <w:rsid w:val="BFDCD610"/>
    <w:rsid w:val="BFF76AD7"/>
    <w:rsid w:val="BFFF043F"/>
    <w:rsid w:val="C3FB6ECA"/>
    <w:rsid w:val="CEA18371"/>
    <w:rsid w:val="CF5BC1A5"/>
    <w:rsid w:val="D1FF43F5"/>
    <w:rsid w:val="D5FF44B8"/>
    <w:rsid w:val="DC2F7750"/>
    <w:rsid w:val="DD8DDCB6"/>
    <w:rsid w:val="DF73FF05"/>
    <w:rsid w:val="DF7D7B94"/>
    <w:rsid w:val="DFF9F743"/>
    <w:rsid w:val="DFFFDB1B"/>
    <w:rsid w:val="E67B5282"/>
    <w:rsid w:val="E7EF55AB"/>
    <w:rsid w:val="EBF00086"/>
    <w:rsid w:val="ED7CDD53"/>
    <w:rsid w:val="EDFF9528"/>
    <w:rsid w:val="EFBF6EEA"/>
    <w:rsid w:val="EFCDD1D5"/>
    <w:rsid w:val="EFFF9B71"/>
    <w:rsid w:val="F47E0682"/>
    <w:rsid w:val="F6B5479A"/>
    <w:rsid w:val="F6D10218"/>
    <w:rsid w:val="F6F7F9B1"/>
    <w:rsid w:val="F73DCAC9"/>
    <w:rsid w:val="F7530A1E"/>
    <w:rsid w:val="F7595D66"/>
    <w:rsid w:val="F77F01FE"/>
    <w:rsid w:val="F7993BB2"/>
    <w:rsid w:val="F7BCA4C9"/>
    <w:rsid w:val="F7DFB9F8"/>
    <w:rsid w:val="F7F5FD11"/>
    <w:rsid w:val="F7FA8949"/>
    <w:rsid w:val="F8CF9C7A"/>
    <w:rsid w:val="F9BF5346"/>
    <w:rsid w:val="FB5AEF16"/>
    <w:rsid w:val="FBADA9FC"/>
    <w:rsid w:val="FBF784F0"/>
    <w:rsid w:val="FC9BB8C0"/>
    <w:rsid w:val="FCE28287"/>
    <w:rsid w:val="FCFE349C"/>
    <w:rsid w:val="FDB42D7B"/>
    <w:rsid w:val="FDEF1A2E"/>
    <w:rsid w:val="FDFD9367"/>
    <w:rsid w:val="FDFE0B9E"/>
    <w:rsid w:val="FE3F7C84"/>
    <w:rsid w:val="FE667AD1"/>
    <w:rsid w:val="FEB5DDA8"/>
    <w:rsid w:val="FEEF9ECB"/>
    <w:rsid w:val="FEEFC937"/>
    <w:rsid w:val="FF67C0F0"/>
    <w:rsid w:val="FF7F3E4F"/>
    <w:rsid w:val="FF7F64BB"/>
    <w:rsid w:val="FF85FBF7"/>
    <w:rsid w:val="FF971C4F"/>
    <w:rsid w:val="FFA73001"/>
    <w:rsid w:val="FFBE256E"/>
    <w:rsid w:val="FFCF1BA4"/>
    <w:rsid w:val="FFCFFDF7"/>
    <w:rsid w:val="FFF6D374"/>
    <w:rsid w:val="FFF70E24"/>
    <w:rsid w:val="FFFADD00"/>
    <w:rsid w:val="FFFB28D2"/>
    <w:rsid w:val="FFFE445E"/>
    <w:rsid w:val="FFFF2D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2935</Words>
  <Characters>2935</Characters>
  <TotalTime>8</TotalTime>
  <ScaleCrop>false</ScaleCrop>
  <LinksUpToDate>false</LinksUpToDate>
  <CharactersWithSpaces>3016</CharactersWithSpaces>
  <Application>WPS Office_11.8.2.10505_F1E327BC-269C-435d-A152-05C5408002CA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2026-08-15T11:08:00Z</dcterms:created>
  <dc:creator>slj</dc:creator>
  <cp:lastModifiedBy>slj</cp:lastModifiedBy>
  <dcterms:modified xsi:type="dcterms:W3CDTF">2026-08-31T11:32:22Z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2026-08-12T11:08:25Z</vt:filetime>
  </property>
  <property fmtid="{D5CDD505-2E9C-101B-9397-08002B2CF9AE}" pid="4" name="UsrData">
    <vt:lpwstr>6a7be3a5e33e90001f3d7ac2wl</vt:lpwstr>
  </property>
  <property fmtid="{D5CDD505-2E9C-101B-9397-08002B2CF9AE}" pid="5" name="KSOProductBuildVer">
    <vt:lpwstr>2052-11.8.2.10505</vt:lpwstr>
  </property>
  <property fmtid="{D5CDD505-2E9C-101B-9397-08002B2CF9AE}" pid="6" name="KSOTemplateDocerSaveRecord">
    <vt:lpwstr>eyJoZGlkIjoiMWY3ODFjZWZhNmY4ZDAzNWE4MTE5NmYyZjIyMGM3NzkiLCJ1c2VySWQiOiI1MDQ3MzA4MDEifQ==</vt:lpwstr>
  </property>
  <property fmtid="{D5CDD505-2E9C-101B-9397-08002B2CF9AE}" pid="7" name="ICV">
    <vt:lpwstr>6090727FD4FC4DF59F22EA401D7BEB8F_13</vt:lpwstr>
  </property>
</Properties>
</file>