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ECB40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center"/>
        <w:textAlignment w:val="baseline"/>
        <w:rPr>
          <w:rFonts w:hint="eastAsia" w:ascii="仿宋_GB2312" w:hAnsi="仿宋_GB2312" w:eastAsia="仿宋_GB2312" w:cs="仿宋_GB2312"/>
          <w:spacing w:val="48"/>
          <w:sz w:val="32"/>
          <w:szCs w:val="32"/>
        </w:rPr>
      </w:pPr>
    </w:p>
    <w:p w14:paraId="2A1DA43B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全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市文化和旅游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（体育）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行业冬春火灾除患攻坚</w:t>
      </w:r>
    </w:p>
    <w:p w14:paraId="44EE3028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“百日行动”工作方案</w:t>
      </w:r>
    </w:p>
    <w:p w14:paraId="270A0AA0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6229D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为深入贯彻落实习近平总书记关于安全生产的重要指示精神，认真贯彻落实省、随州市冬春火灾防控工作会议精神，切实做好广水市文化和旅游（体育）行业冬春火灾防控工作，根据《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随州市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旅游安全生产专业委员会办公室关于印发〈全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文化和旅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（体育）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行业冬春火灾除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患攻坚“百日行动”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工作方案〉的通知》和《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广水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办公室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关于印发〈全市冬春火灾除患攻坚“百日行动”工作方案〉的通知》（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广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〔2025〕1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号）要求，结合我市文旅（体育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）行业实际，制定本方案。</w:t>
      </w:r>
    </w:p>
    <w:p w14:paraId="32920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总体</w:t>
      </w:r>
      <w:r>
        <w:rPr>
          <w:rFonts w:hint="eastAsia" w:ascii="黑体" w:hAnsi="黑体" w:eastAsia="黑体" w:cs="黑体"/>
          <w:sz w:val="32"/>
          <w:szCs w:val="32"/>
        </w:rPr>
        <w:t>目标</w:t>
      </w:r>
    </w:p>
    <w:p w14:paraId="4C2F9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以防范和化解重大火灾风险为核心目标，全面压实全市文旅（体育）行业火灾防控责任，重点关注星级饭店、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旅游景区、文物建筑、体育场馆、剧本娱乐等领域，紧盯公众聚集场所、保温材料、重点时段等关键环节，开展全方位、无死角的火灾隐患排查整治。健全火灾防控长效机制，提升行业消防安全管理和应急处置水平，坚决杜绝较大及以上火灾事故，保障全市文旅体市场安全稳定。</w:t>
      </w:r>
    </w:p>
    <w:p w14:paraId="05AD61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二、组织领导</w:t>
      </w:r>
    </w:p>
    <w:p w14:paraId="15AB66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为确保“百日行动”有力有序有效开展，成立市冬春火灾除患攻“百日行动”领导小组。</w:t>
      </w:r>
    </w:p>
    <w:p w14:paraId="52511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长：叶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   广水市文化和旅游局党组书记、局长</w:t>
      </w:r>
    </w:p>
    <w:p w14:paraId="56C531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副组长：方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   广水市文化和旅游局一级主任科员</w:t>
      </w:r>
    </w:p>
    <w:p w14:paraId="2F635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广水市文化和旅游局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党组成员、副局长</w:t>
      </w:r>
    </w:p>
    <w:p w14:paraId="1C622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广水市文化和旅游局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党组成员、总规划师</w:t>
      </w:r>
    </w:p>
    <w:p w14:paraId="0ACAD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广水市文化和旅游局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工会主席</w:t>
      </w:r>
    </w:p>
    <w:p w14:paraId="3B7BF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广水市文化和旅游局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副科级干部</w:t>
      </w:r>
    </w:p>
    <w:p w14:paraId="10BCC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1280" w:firstLineChars="4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广水市文化和旅游局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副科级干部</w:t>
      </w:r>
    </w:p>
    <w:p w14:paraId="05A2B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default" w:ascii="黑体" w:hAnsi="黑体" w:eastAsia="黑体" w:cs="黑体"/>
          <w:sz w:val="32"/>
          <w:szCs w:val="32"/>
        </w:rPr>
        <w:t>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实施阶段与时间安排</w:t>
      </w:r>
    </w:p>
    <w:p w14:paraId="3DE89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自方案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印发之日起至2026年全国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两会结束，与全市冬春火灾除患攻坚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百日行动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同步推进、无缝衔接，分三个阶段实施：</w:t>
      </w:r>
    </w:p>
    <w:p w14:paraId="0FDEC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员部署阶段（即日起至</w:t>
      </w:r>
      <w:r>
        <w:rPr>
          <w:rFonts w:hint="default" w:ascii="仿宋_GB2312" w:hAnsi="仿宋_GB2312" w:eastAsia="仿宋_GB2312" w:cs="仿宋_GB2312"/>
          <w:sz w:val="32"/>
          <w:szCs w:val="32"/>
        </w:rPr>
        <w:t>2025年12月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前）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。各二级单位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结合实际制定具体实施方案，成立工作专班，明确目标任务、细化措施分工，广泛宣传发动，营造浓厚整治氛围。</w:t>
      </w:r>
    </w:p>
    <w:p w14:paraId="33304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楷体_GB2312" w:hAnsi="楷体_GB2312" w:eastAsia="楷体_GB2312" w:cs="楷体_GB2312"/>
          <w:sz w:val="32"/>
          <w:szCs w:val="32"/>
        </w:rPr>
        <w:t>2.排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查整治阶段（</w:t>
      </w:r>
      <w:r>
        <w:rPr>
          <w:rFonts w:hint="default" w:ascii="仿宋_GB2312" w:hAnsi="仿宋_GB2312" w:eastAsia="仿宋_GB2312" w:cs="仿宋_GB2312"/>
          <w:sz w:val="32"/>
          <w:szCs w:val="32"/>
        </w:rPr>
        <w:t>2025年12月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sz w:val="32"/>
          <w:szCs w:val="32"/>
        </w:rPr>
        <w:t>日至全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国两会结束）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</w:t>
      </w:r>
      <w:r>
        <w:rPr>
          <w:rFonts w:hint="eastAsia" w:ascii="仿宋_GB2312" w:hAnsi="仿宋_GB2312" w:eastAsia="仿宋_GB2312" w:cs="仿宋_GB2312"/>
          <w:sz w:val="32"/>
          <w:szCs w:val="32"/>
        </w:rPr>
        <w:t>绕“五大行动”中涉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及文旅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行业的重点任务，全面开展火灾风险隐患排查整治，建立</w:t>
      </w:r>
      <w:r>
        <w:rPr>
          <w:rFonts w:hint="eastAsia" w:ascii="仿宋_GB2312" w:hAnsi="仿宋_GB2312" w:eastAsia="仿宋_GB2312" w:cs="仿宋_GB2312"/>
          <w:sz w:val="32"/>
          <w:szCs w:val="32"/>
        </w:rPr>
        <w:t>“隐患、整改、责任”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三张清单，实施闭环管理，确保隐患整改到位。</w:t>
      </w:r>
    </w:p>
    <w:p w14:paraId="7CABF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结巩固阶段（全国两会结束后一周内）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百日行动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进行总结评估，梳理有效经验做法，分析存在问题，研究建立完善文旅行业火灾隐患排查整治长效机制，巩固工作成效。</w:t>
      </w:r>
    </w:p>
    <w:p w14:paraId="2CA17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default" w:ascii="黑体" w:hAnsi="黑体" w:eastAsia="黑体" w:cs="黑体"/>
          <w:sz w:val="32"/>
          <w:szCs w:val="32"/>
        </w:rPr>
        <w:t>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核心任务与攻坚措施</w:t>
      </w:r>
    </w:p>
    <w:p w14:paraId="51F0D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健全责任体系，压实防控链条</w:t>
      </w:r>
    </w:p>
    <w:p w14:paraId="08E09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化层级监管，推动责任下沉</w:t>
      </w:r>
    </w:p>
    <w:p w14:paraId="56948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各二级单位、文旅企业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要定期分析研判火灾防控形势，有针对性研究具体措施，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开展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自查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检查，落实各项火灾防控措施。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根据党政领导干部安全工作责任清单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，带队开展检查督查，建立工作台账，对排查发现的隐患督促整改并落实销号管理。</w:t>
      </w:r>
    </w:p>
    <w:p w14:paraId="6A10B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实主体责任，规范日常管理</w:t>
      </w:r>
    </w:p>
    <w:p w14:paraId="14CF4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全市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文旅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重点单位明确消防安全管理人，落实消防安全制度，制定灭火和应急疏散预案并定期演练。建立消防档案，划定消防安全重点部位并设置防火标志，落实每日防火巡查并做好记录，及时消除火灾隐患。扎实开展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三个一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活动，即一次全面防火检查、一次消防设施检测维护保养、一次全员消防安全宣传教育培训及应急处置演练，确保单位员工熟练掌握消防器材使用和初期火灾扑救技能。体育场馆明确专人负责日常巡查。</w:t>
      </w:r>
    </w:p>
    <w:p w14:paraId="70F7E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（二）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聚焦关键领域，开展专项整治</w:t>
      </w:r>
    </w:p>
    <w:p w14:paraId="466A87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结合冬春季节特点，加强电动自行车使用管理，严禁违规停放、充电；规范动火作业流程，严格执行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六必须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求（必须清理周边可燃物及易燃易爆物品；必须对动火区域进行有效防火分隔；必须配备充足消防器材并保障消防用水；必须在现场设置警戒线或安全标识；必须确保疏散通道、安全出口、消防车通道畅通；必须避免与火灾、爆炸风险作业交叉；必须安排专人全程现场监护）；加强建筑保温材料监管，使用年限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15年且采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用易燃可燃保温材料的文旅体高层建筑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开展安全评估。</w:t>
      </w:r>
    </w:p>
    <w:p w14:paraId="6091E1AB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严把文旅经营场所安全关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全市星级饭店、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级旅游景区、剧本娱乐、密室逃脱、演艺场所等公众聚集场所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重点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检查消防设施配置是否合规有效、疏散通道和安全出口是否畅通、消防车通道是否被占用堵塞、火源电源气源管理是否规范。确保消防控制室值班人员双人持证上岗并熟练操作设备，加大对违规使用易燃可燃装饰材料隐患的整改力度。</w:t>
      </w:r>
    </w:p>
    <w:p w14:paraId="011C9A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筑牢体育相关场所安全防线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市体育场馆重点检查安全出口和疏散通道是否畅通、消防设施器材是否完好可用、是否存在违规用火用电用气及电动自行车违规停放充电等问题。将配电室、消防控制室等列为消防安全重点部位，设置明显防火标识并严格管理。</w:t>
      </w:r>
    </w:p>
    <w:p w14:paraId="7455C8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left="0" w:leftChars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3、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化文物及博物馆单位安全管控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照相关法规标准，全市文物建筑、博物馆单位组织开展火灾隐患自查自改，重点排查电气安全故障、可燃物及易燃易爆物品管理等问题。文物建筑室外燃香用火需在指定区域进行，并落实专人看管、人离火灭制度。加强文物保护工程工地、考古发掘工地及博物馆新建改建工地管理，严格动火作业审批，古建筑修缮区域严禁使用明火，近现代建筑修缮不得采用防水卷材热熔法施工，规范施工现场用电和易燃物品存放。</w:t>
      </w:r>
    </w:p>
    <w:p w14:paraId="71C96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4、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抓实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A级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景区防火工作。各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A级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旅游景区需组建防灭火应急队伍，配备必要的防灭火设备，做好宣传教育、监测预警、隐患排查等基础工作。强化火源管控，开展全方位巡查，严格管理烟花爆竹燃放、祭祀用火等行为，严防外部火源进入景区。完善防灭火应急预案，在重点时段组织应急演练，做好森林防灭火工作。</w:t>
      </w:r>
    </w:p>
    <w:p w14:paraId="182ED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5、深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化燃气及用电安全隐患排查。全市星级饭店、旅游景区餐饮场所等燃气使用单位重点检查排查燃气管道是否锈蚀、气瓶灶具及连接软管和减压阀是否合格、燃气泄漏报警器是否规范安装、是否存在气瓶违规置于室内用餐场所等隐患，同时加强电气安全管理。</w:t>
      </w:r>
    </w:p>
    <w:p w14:paraId="69529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6、加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强校外培训机构安全监管。全市文化艺术类、体育类校外培训机构的安全监管重点检查消防设施配置、疏散通道畅通情况及用火用电管理，落实消防安全主体责任，常态化开展隐患自查自改。所有培训机构将纳入“百日行动”排查范围，确保排查全覆盖、无死角。</w:t>
      </w:r>
    </w:p>
    <w:p w14:paraId="10272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7、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严把大型文旅体活动安全准入。在我市举办的大型文旅活动、全民健身赛事等活动，需制定灭火和应急疏散预案并组织演练，明确主办方、承办方、场地提供方等各方消防安全责任，配备专职消防安全管理人员。确保活动现场消防设施器材齐全有效，疏散通道、安全出口、疏散指示标志、应急照明和消防车通道符合技术标准。元旦、春节等重点时段举办活动时，提高火灾防范等级，增加防火巡查频次，落实严格管控措施。</w:t>
      </w:r>
    </w:p>
    <w:p w14:paraId="7A335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（三）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紧盯重点环节，强化精准防控</w:t>
      </w:r>
    </w:p>
    <w:p w14:paraId="55F1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聚焦公众聚集场所，强化动态监管</w:t>
      </w:r>
    </w:p>
    <w:p w14:paraId="49442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紧盯节假日期间人员密集的星级酒店、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级景区、体育场馆及剧本娱乐等新型场所，建立隐患台账，明确整改时限，实行限期整改销号管理。联合商务、公安、消防救援等部门开展联合检查，重点排查消防安全责任制落实、消防设施运行、疏散通道管理等情况，督促相关单位修订完善应急疏散预案并加强演练。</w:t>
      </w:r>
    </w:p>
    <w:p w14:paraId="42F0A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紧盯保温材料及重点设施，筑牢安全屏障</w:t>
      </w:r>
    </w:p>
    <w:p w14:paraId="2B25E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严格落实建筑外墙保温材料生产、流通、使用环节的信息追溯管理。加强对设置冷库等使用保温材料场所的消防安全监管，对使用年限较长、采用易燃可燃保温材料且存在隐患的文旅体场所高层建筑，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组织开展安全评估并制定整改计划。</w:t>
      </w:r>
    </w:p>
    <w:p w14:paraId="708EC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围绕重点时段，开展安全护航</w:t>
      </w:r>
    </w:p>
    <w:p w14:paraId="452C7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紧盯元旦、春节、元宵节</w:t>
      </w:r>
      <w:r>
        <w:rPr>
          <w:rFonts w:hint="eastAsia" w:ascii="仿宋_GB2312" w:hAnsi="仿宋_GB2312" w:eastAsia="仿宋_GB2312" w:cs="仿宋_GB2312"/>
          <w:sz w:val="32"/>
          <w:szCs w:val="32"/>
        </w:rPr>
        <w:t>、全国“两会”等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重要节点，旅游景点、娱乐场所、体育场馆提前开展消防安全检查，重点关注群众性活动的消防安全。节日期间加强巡防看守，对高风险点位和重点区域落实现场值守。严格执行</w:t>
      </w:r>
      <w:r>
        <w:rPr>
          <w:rFonts w:hint="eastAsia" w:ascii="仿宋_GB2312" w:hAnsi="仿宋_GB2312" w:eastAsia="仿宋_GB2312" w:cs="仿宋_GB2312"/>
          <w:sz w:val="32"/>
          <w:szCs w:val="32"/>
        </w:rPr>
        <w:t>24小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时值班和领导带班制度，消防救援力量在重点时段前置备勤。</w:t>
      </w:r>
    </w:p>
    <w:p w14:paraId="4FECC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（四）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深化宣传教育，提升防控能力</w:t>
      </w:r>
    </w:p>
    <w:p w14:paraId="24F6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拓展消防宣传阵地，全市体育场馆、景区游客中心、文旅服务大厅等公共场所充分利用电子显示屏、宣传栏、广告位，高频次播放家庭火灾预防、电动自行车安全等主题公益短片和警示案例。</w:t>
      </w:r>
    </w:p>
    <w:p w14:paraId="3B8C7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default" w:ascii="黑体" w:hAnsi="黑体" w:eastAsia="黑体" w:cs="黑体"/>
          <w:sz w:val="32"/>
          <w:szCs w:val="32"/>
        </w:rPr>
        <w:t>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保障措施与工作要求</w:t>
      </w:r>
    </w:p>
    <w:p w14:paraId="03215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（一）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加强组织领导，细化推进举措</w:t>
      </w:r>
    </w:p>
    <w:p w14:paraId="1C1C3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请各二级单位、文旅企业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要高度重视冬春火灾防控工作，将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“百日行动”作为当前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重点工作，主要负责同志亲自部署，分管负责同志具体抓落实。结合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场所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实际制定细化措施，明确任务分工、工作举措和时间节点开展自查自改，组织开展拉网式、全覆盖隐患排查，重点排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查“想不到、看不到、管不到”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的特殊点位，消除安全死角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439BF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（二）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深化协同联动，凝聚整治合力</w:t>
      </w:r>
    </w:p>
    <w:p w14:paraId="182BF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主动加强与消防救援、公安、应急、住建、市场监管等部门的协作配合，完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善“行消联动、消地联治”工作机制，开展联合检查和联合执法。积极融入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广水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市消防安全治本攻坚三年行动，推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动“百日行动”与春节安全防范、全国“两会”安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保等重点工作协同推进。加强信息共享和情况通报，形成齐抓共管的火灾防控工作格局。</w:t>
      </w:r>
    </w:p>
    <w:p w14:paraId="5516E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（三）严格督导问效，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确保落地见效</w:t>
      </w:r>
    </w:p>
    <w:p w14:paraId="218AA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文旅安委办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将适时组织专项督导，对工作推进不力、成效不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明显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的单位予以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督办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；对排查整治走过场、隐患整改不彻底的，约谈相关负责人。对因责任不落实导致发生较大以上或有影响火灾事故的，依法依规严肃追责问责。</w:t>
      </w:r>
    </w:p>
    <w:p w14:paraId="71F6E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（四）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规范执法整治，强化隐患清零</w:t>
      </w:r>
    </w:p>
    <w:p w14:paraId="72EA0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对排查发现的问题隐患建立工作台账，明确整改责任、措施和时限，督促相关单位立即整改。对重大火灾隐患实行挂牌督办，指定专人跟踪督导，按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照“一隐患一方案”要求，落实责任、措施、资金、时限、预案“五到位”。对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屡教不改、违规情节严重的单位，依法采取约谈、查封、罚款、关停等措施，纳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入“黑名单”实施联合惩戒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；涉嫌犯罪的，依法追究刑事责任，形成有力震慑。</w:t>
      </w:r>
    </w:p>
    <w:p w14:paraId="6CF32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（五）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强化值班值守，提升应急效能</w:t>
      </w:r>
    </w:p>
    <w:p w14:paraId="75A57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严格落实领导干部带班和重要岗位24小时值班制度，确保通信联络畅通，严防脱岗漏岗。完善火灾应急处置预案，加强与消防救援队伍的联动，定期开展联合演练，提升协同作战能力。遇有突发紧急情况，第一时间启动应急预案，高效应对处置并按规定请示报告，严禁消防系统报警不处置或违规关闭等行为。</w:t>
      </w:r>
    </w:p>
    <w:p w14:paraId="40792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3" w:firstLineChars="200"/>
        <w:jc w:val="both"/>
        <w:textAlignment w:val="baseline"/>
        <w:rPr>
          <w:rFonts w:hint="default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</w:rPr>
        <w:t>（六）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规范信息报送，形成工作闭环</w:t>
      </w:r>
    </w:p>
    <w:p w14:paraId="24191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二级单位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于12月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日前，将工作方案报送至市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文旅安委会办公室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自2025年12月起，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二级单位、有关股室每月2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日前报送工作进度报表（见附件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）；2026年3月底前报送冬春火灾防控工作总结（见附件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内容需包含文旅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体育场所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排查整改隐患清单、4A级及以上旅游景区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、艺术体育类校外培训机构、体育场馆</w:t>
      </w:r>
      <w:r>
        <w:rPr>
          <w:rFonts w:hint="eastAsia" w:ascii="仿宋_GB2312" w:hAnsi="仿宋_GB2312" w:eastAsia="仿宋_GB2312" w:cs="仿宋_GB2312"/>
          <w:sz w:val="32"/>
          <w:szCs w:val="32"/>
        </w:rPr>
        <w:t>和博物馆单位安全培训应急演练情况。相关工作重要进展请及时报送。</w:t>
      </w:r>
    </w:p>
    <w:p w14:paraId="084FB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联系人：袁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0722-6232268</w:t>
      </w:r>
    </w:p>
    <w:p w14:paraId="31D37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1141D8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both"/>
        <w:textAlignment w:val="baseline"/>
        <w:rPr>
          <w:rFonts w:hint="eastAsia" w:eastAsia="宋体"/>
          <w:lang w:eastAsia="zh-CN"/>
        </w:rPr>
        <w:sectPr>
          <w:footerReference r:id="rId5" w:type="default"/>
          <w:pgSz w:w="11906" w:h="16838"/>
          <w:pgMar w:top="1984" w:right="1587" w:bottom="1814" w:left="1587" w:header="851" w:footer="1417" w:gutter="0"/>
          <w:pgNumType w:fmt="decimal"/>
          <w:cols w:space="0" w:num="1"/>
          <w:rtlGutter w:val="0"/>
          <w:docGrid w:type="lines" w:linePitch="312" w:charSpace="0"/>
        </w:sectPr>
      </w:pPr>
    </w:p>
    <w:p w14:paraId="660A2B88">
      <w:pPr>
        <w:pStyle w:val="2"/>
        <w:keepNext w:val="0"/>
        <w:keepLines w:val="0"/>
        <w:widowControl/>
        <w:suppressLineNumbers w:val="0"/>
        <w:ind w:left="0" w:leftChars="0" w:firstLine="0" w:firstLineChars="0"/>
        <w:jc w:val="both"/>
        <w:rPr>
          <w:rStyle w:val="9"/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Style w:val="9"/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</w:p>
    <w:p w14:paraId="0448975D">
      <w:pPr>
        <w:pStyle w:val="2"/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Style w:val="9"/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冬春火灾除患攻坚“百日行动”工作进展月度汇总表</w:t>
      </w:r>
    </w:p>
    <w:p w14:paraId="3565432D">
      <w:pPr>
        <w:pStyle w:val="2"/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（此表供</w:t>
      </w:r>
      <w:r>
        <w:rPr>
          <w:rFonts w:hint="eastAsia" w:eastAsia="楷体_GB2312" w:cs="Times New Roman"/>
          <w:b/>
          <w:bCs/>
          <w:lang w:eastAsia="zh-CN"/>
        </w:rPr>
        <w:t>各二级单位</w:t>
      </w:r>
      <w:r>
        <w:rPr>
          <w:rFonts w:hint="default" w:ascii="Times New Roman" w:hAnsi="Times New Roman" w:eastAsia="楷体_GB2312" w:cs="Times New Roman"/>
          <w:b/>
          <w:bCs/>
        </w:rPr>
        <w:t>每月2</w:t>
      </w:r>
      <w:r>
        <w:rPr>
          <w:rFonts w:hint="eastAsia" w:eastAsia="楷体_GB2312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eastAsia="楷体_GB2312" w:cs="Times New Roman"/>
          <w:b/>
          <w:bCs/>
        </w:rPr>
        <w:t>日前汇总填报</w:t>
      </w:r>
      <w:r>
        <w:rPr>
          <w:rFonts w:hint="eastAsia" w:eastAsia="楷体_GB2312" w:cs="Times New Roman"/>
          <w:b/>
          <w:bCs/>
          <w:lang w:eastAsia="zh-CN"/>
        </w:rPr>
        <w:t>，只填涉及项</w:t>
      </w:r>
      <w:r>
        <w:rPr>
          <w:rFonts w:hint="default" w:ascii="Times New Roman" w:hAnsi="Times New Roman" w:eastAsia="楷体_GB2312" w:cs="Times New Roman"/>
          <w:b/>
          <w:bCs/>
        </w:rPr>
        <w:t>）</w:t>
      </w:r>
    </w:p>
    <w:p w14:paraId="3BEEB51C">
      <w:pPr>
        <w:rPr>
          <w:rFonts w:hint="default"/>
        </w:rPr>
      </w:pPr>
    </w:p>
    <w:tbl>
      <w:tblPr>
        <w:tblStyle w:val="7"/>
        <w:tblW w:w="15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5"/>
        <w:gridCol w:w="3732"/>
        <w:gridCol w:w="1184"/>
        <w:gridCol w:w="1335"/>
        <w:gridCol w:w="1072"/>
        <w:gridCol w:w="837"/>
        <w:gridCol w:w="1020"/>
        <w:gridCol w:w="1256"/>
        <w:gridCol w:w="3207"/>
      </w:tblGrid>
      <w:tr w14:paraId="7868A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  <w:tblHeader/>
          <w:jc w:val="center"/>
        </w:trPr>
        <w:tc>
          <w:tcPr>
            <w:tcW w:w="1465" w:type="dxa"/>
            <w:noWrap w:val="0"/>
            <w:vAlign w:val="center"/>
          </w:tcPr>
          <w:p w14:paraId="0EACEF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五大行动</w:t>
            </w:r>
          </w:p>
        </w:tc>
        <w:tc>
          <w:tcPr>
            <w:tcW w:w="3732" w:type="dxa"/>
            <w:noWrap w:val="0"/>
            <w:vAlign w:val="center"/>
          </w:tcPr>
          <w:p w14:paraId="7FAD7D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重点任务</w:t>
            </w:r>
          </w:p>
        </w:tc>
        <w:tc>
          <w:tcPr>
            <w:tcW w:w="1184" w:type="dxa"/>
            <w:noWrap w:val="0"/>
            <w:vAlign w:val="center"/>
          </w:tcPr>
          <w:p w14:paraId="256F95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本月工作</w:t>
            </w:r>
          </w:p>
          <w:p w14:paraId="5877E8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进展摘要</w:t>
            </w:r>
          </w:p>
        </w:tc>
        <w:tc>
          <w:tcPr>
            <w:tcW w:w="1335" w:type="dxa"/>
            <w:noWrap w:val="0"/>
            <w:vAlign w:val="center"/>
          </w:tcPr>
          <w:p w14:paraId="0E443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发现主要</w:t>
            </w:r>
          </w:p>
          <w:p w14:paraId="29A41C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问题/风险点</w:t>
            </w:r>
          </w:p>
        </w:tc>
        <w:tc>
          <w:tcPr>
            <w:tcW w:w="1072" w:type="dxa"/>
            <w:noWrap w:val="0"/>
            <w:vAlign w:val="center"/>
          </w:tcPr>
          <w:p w14:paraId="2546E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整改措施及时限</w:t>
            </w:r>
          </w:p>
        </w:tc>
        <w:tc>
          <w:tcPr>
            <w:tcW w:w="837" w:type="dxa"/>
            <w:noWrap w:val="0"/>
            <w:vAlign w:val="center"/>
          </w:tcPr>
          <w:p w14:paraId="4F614D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</w:t>
            </w:r>
          </w:p>
          <w:p w14:paraId="355121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责任人</w:t>
            </w:r>
          </w:p>
        </w:tc>
        <w:tc>
          <w:tcPr>
            <w:tcW w:w="1020" w:type="dxa"/>
            <w:noWrap w:val="0"/>
            <w:vAlign w:val="center"/>
          </w:tcPr>
          <w:p w14:paraId="7726C6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当前整改进度</w:t>
            </w:r>
          </w:p>
        </w:tc>
        <w:tc>
          <w:tcPr>
            <w:tcW w:w="1256" w:type="dxa"/>
            <w:noWrap w:val="0"/>
            <w:vAlign w:val="center"/>
          </w:tcPr>
          <w:p w14:paraId="2C2ADC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</w:t>
            </w:r>
          </w:p>
          <w:p w14:paraId="6F1104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市级协调</w:t>
            </w:r>
          </w:p>
        </w:tc>
        <w:tc>
          <w:tcPr>
            <w:tcW w:w="3207" w:type="dxa"/>
            <w:noWrap w:val="0"/>
            <w:vAlign w:val="center"/>
          </w:tcPr>
          <w:p w14:paraId="2FFDFD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佐证材料</w:t>
            </w:r>
          </w:p>
          <w:p w14:paraId="293554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（如：检查记录、照片、文件编号等）​</w:t>
            </w:r>
          </w:p>
        </w:tc>
      </w:tr>
      <w:tr w14:paraId="3CD09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restart"/>
            <w:noWrap w:val="0"/>
            <w:vAlign w:val="center"/>
          </w:tcPr>
          <w:p w14:paraId="5145722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（一）消防进家、平安过冬</w:t>
            </w:r>
          </w:p>
        </w:tc>
        <w:tc>
          <w:tcPr>
            <w:tcW w:w="3732" w:type="dxa"/>
            <w:noWrap w:val="0"/>
            <w:vAlign w:val="center"/>
          </w:tcPr>
          <w:p w14:paraId="771CDE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推进“五个必查”落实</w:t>
            </w:r>
          </w:p>
        </w:tc>
        <w:tc>
          <w:tcPr>
            <w:tcW w:w="1184" w:type="dxa"/>
            <w:noWrap w:val="0"/>
            <w:vAlign w:val="center"/>
          </w:tcPr>
          <w:p w14:paraId="7FB66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01B48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47474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031C9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EC75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9BF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069B4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A3BD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34EDA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2E8EE8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抓好“三清三关”宣传</w:t>
            </w:r>
          </w:p>
        </w:tc>
        <w:tc>
          <w:tcPr>
            <w:tcW w:w="1184" w:type="dxa"/>
            <w:noWrap w:val="0"/>
            <w:vAlign w:val="center"/>
          </w:tcPr>
          <w:p w14:paraId="79297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2E22A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58B26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583D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561D1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7C8D0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7916E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ADD4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2F9340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6960D6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组织“送教上门”培训</w:t>
            </w:r>
          </w:p>
        </w:tc>
        <w:tc>
          <w:tcPr>
            <w:tcW w:w="1184" w:type="dxa"/>
            <w:noWrap w:val="0"/>
            <w:vAlign w:val="center"/>
          </w:tcPr>
          <w:p w14:paraId="01DA8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196BC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8450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12E60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3405B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3DBF5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73903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FF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1B827D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0ED39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做实“邻里关照”帮扶</w:t>
            </w:r>
          </w:p>
        </w:tc>
        <w:tc>
          <w:tcPr>
            <w:tcW w:w="1184" w:type="dxa"/>
            <w:noWrap w:val="0"/>
            <w:vAlign w:val="center"/>
          </w:tcPr>
          <w:p w14:paraId="6386A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F674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8164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75804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38528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1158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011A7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2C2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restart"/>
            <w:noWrap w:val="0"/>
            <w:vAlign w:val="center"/>
          </w:tcPr>
          <w:p w14:paraId="5F145EB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重点领域排险除患</w:t>
            </w:r>
          </w:p>
        </w:tc>
        <w:tc>
          <w:tcPr>
            <w:tcW w:w="3732" w:type="dxa"/>
            <w:noWrap w:val="0"/>
            <w:vAlign w:val="center"/>
          </w:tcPr>
          <w:p w14:paraId="6CD0EF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强化公众聚集场所监管</w:t>
            </w:r>
          </w:p>
        </w:tc>
        <w:tc>
          <w:tcPr>
            <w:tcW w:w="1184" w:type="dxa"/>
            <w:noWrap w:val="0"/>
            <w:vAlign w:val="center"/>
          </w:tcPr>
          <w:p w14:paraId="1AE30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6F953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9AD8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3B786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747C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3212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78739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DCC4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44E4BD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79732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紧盯特殊敏感场所防控</w:t>
            </w:r>
          </w:p>
        </w:tc>
        <w:tc>
          <w:tcPr>
            <w:tcW w:w="1184" w:type="dxa"/>
            <w:noWrap w:val="0"/>
            <w:vAlign w:val="center"/>
          </w:tcPr>
          <w:p w14:paraId="61B55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5C280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0FF41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2C317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2F02F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1F90B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561A2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2A89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4FD6E7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0C8257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严查工贸及加工企业火灾风险</w:t>
            </w:r>
          </w:p>
        </w:tc>
        <w:tc>
          <w:tcPr>
            <w:tcW w:w="1184" w:type="dxa"/>
            <w:noWrap w:val="0"/>
            <w:vAlign w:val="center"/>
          </w:tcPr>
          <w:p w14:paraId="4B8D4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5FB5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4BE2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45C08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5ABA7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48F6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59FA8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B5F5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1126F5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05552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深化“九小场所”整治</w:t>
            </w:r>
          </w:p>
        </w:tc>
        <w:tc>
          <w:tcPr>
            <w:tcW w:w="1184" w:type="dxa"/>
            <w:noWrap w:val="0"/>
            <w:vAlign w:val="center"/>
          </w:tcPr>
          <w:p w14:paraId="5B9EC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17E1A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402B5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2EEB2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252C5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0F98F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25D1E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A1A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54089C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5BAF4D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 推进重大火灾隐患整改</w:t>
            </w:r>
          </w:p>
        </w:tc>
        <w:tc>
          <w:tcPr>
            <w:tcW w:w="1184" w:type="dxa"/>
            <w:noWrap w:val="0"/>
            <w:vAlign w:val="center"/>
          </w:tcPr>
          <w:p w14:paraId="31E18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550D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3C533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1221D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473A3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82EB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353E1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1DB5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0AFED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087401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 加强铁路、公路运输安全保障</w:t>
            </w:r>
          </w:p>
        </w:tc>
        <w:tc>
          <w:tcPr>
            <w:tcW w:w="1184" w:type="dxa"/>
            <w:noWrap w:val="0"/>
            <w:vAlign w:val="center"/>
          </w:tcPr>
          <w:p w14:paraId="5ED4B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1DA49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2FEAF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336B1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8D86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050AB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706FA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25FF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restart"/>
            <w:noWrap w:val="0"/>
            <w:vAlign w:val="center"/>
          </w:tcPr>
          <w:p w14:paraId="4EEAFBF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（三）“三个全链条”整治</w:t>
            </w:r>
          </w:p>
        </w:tc>
        <w:tc>
          <w:tcPr>
            <w:tcW w:w="3732" w:type="dxa"/>
            <w:noWrap w:val="0"/>
            <w:vAlign w:val="center"/>
          </w:tcPr>
          <w:p w14:paraId="6E0CF2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攻坚电动自行车整治</w:t>
            </w:r>
          </w:p>
        </w:tc>
        <w:tc>
          <w:tcPr>
            <w:tcW w:w="1184" w:type="dxa"/>
            <w:noWrap w:val="0"/>
            <w:vAlign w:val="center"/>
          </w:tcPr>
          <w:p w14:paraId="3A507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58C7C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2AAC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1D053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CBF6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71616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68CE7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71CB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1004D4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0EF6DA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规范动火作业管理</w:t>
            </w:r>
          </w:p>
        </w:tc>
        <w:tc>
          <w:tcPr>
            <w:tcW w:w="1184" w:type="dxa"/>
            <w:noWrap w:val="0"/>
            <w:vAlign w:val="center"/>
          </w:tcPr>
          <w:p w14:paraId="00503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4D01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0F225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28C0E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329F7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58A4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36F3A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D9BC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5FDC5B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69EC5B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强化保温材料监管</w:t>
            </w:r>
          </w:p>
        </w:tc>
        <w:tc>
          <w:tcPr>
            <w:tcW w:w="1184" w:type="dxa"/>
            <w:noWrap w:val="0"/>
            <w:vAlign w:val="center"/>
          </w:tcPr>
          <w:p w14:paraId="27829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55A4C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5CD8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57DC9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015C6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2B532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5E6D4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342F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restart"/>
            <w:noWrap w:val="0"/>
            <w:vAlign w:val="center"/>
          </w:tcPr>
          <w:p w14:paraId="0D01433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（四）建筑消防安全大排查大整治​</w:t>
            </w:r>
          </w:p>
        </w:tc>
        <w:tc>
          <w:tcPr>
            <w:tcW w:w="3732" w:type="dxa"/>
            <w:noWrap w:val="0"/>
            <w:vAlign w:val="center"/>
          </w:tcPr>
          <w:p w14:paraId="102A68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严控建设工地火灾风险</w:t>
            </w:r>
          </w:p>
        </w:tc>
        <w:tc>
          <w:tcPr>
            <w:tcW w:w="1184" w:type="dxa"/>
            <w:noWrap w:val="0"/>
            <w:vAlign w:val="center"/>
          </w:tcPr>
          <w:p w14:paraId="5A846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E048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A470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2AC9F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531D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CCAC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1583B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DC31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1BF99C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46CFE2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深化高层建筑专项排查</w:t>
            </w:r>
          </w:p>
        </w:tc>
        <w:tc>
          <w:tcPr>
            <w:tcW w:w="1184" w:type="dxa"/>
            <w:noWrap w:val="0"/>
            <w:vAlign w:val="center"/>
          </w:tcPr>
          <w:p w14:paraId="28E23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433DA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5929E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1F699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2833E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7F94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31038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A2D8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1BAB2E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10E7B6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加强既有房屋日常防火</w:t>
            </w:r>
          </w:p>
        </w:tc>
        <w:tc>
          <w:tcPr>
            <w:tcW w:w="1184" w:type="dxa"/>
            <w:noWrap w:val="0"/>
            <w:vAlign w:val="center"/>
          </w:tcPr>
          <w:p w14:paraId="79620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9DEF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11E17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7C693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014B1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868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54ACF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BA9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685551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textAlignment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5373FB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严格建设工程消防审验</w:t>
            </w:r>
          </w:p>
        </w:tc>
        <w:tc>
          <w:tcPr>
            <w:tcW w:w="1184" w:type="dxa"/>
            <w:noWrap w:val="0"/>
            <w:vAlign w:val="center"/>
          </w:tcPr>
          <w:p w14:paraId="3B382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0804B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4AF69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4204F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48F5E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DD78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6C298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BAC1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restart"/>
            <w:noWrap w:val="0"/>
            <w:vAlign w:val="center"/>
          </w:tcPr>
          <w:p w14:paraId="04F65A4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（五）重点时段安全护航​</w:t>
            </w:r>
          </w:p>
        </w:tc>
        <w:tc>
          <w:tcPr>
            <w:tcW w:w="3732" w:type="dxa"/>
            <w:noWrap w:val="0"/>
            <w:vAlign w:val="center"/>
          </w:tcPr>
          <w:p w14:paraId="0F859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紧盯重要节日消防安全</w:t>
            </w:r>
          </w:p>
        </w:tc>
        <w:tc>
          <w:tcPr>
            <w:tcW w:w="1184" w:type="dxa"/>
            <w:noWrap w:val="0"/>
            <w:vAlign w:val="center"/>
          </w:tcPr>
          <w:p w14:paraId="4AC37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1C8B8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4D502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7FFA6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4F0A8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394D4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7EAEF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89B3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3D4B7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732" w:type="dxa"/>
            <w:noWrap w:val="0"/>
            <w:vAlign w:val="center"/>
          </w:tcPr>
          <w:p w14:paraId="61024C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right="105" w:rightChars="5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护航各级“两会”消防安全</w:t>
            </w:r>
          </w:p>
        </w:tc>
        <w:tc>
          <w:tcPr>
            <w:tcW w:w="1184" w:type="dxa"/>
            <w:noWrap w:val="0"/>
            <w:vAlign w:val="center"/>
          </w:tcPr>
          <w:p w14:paraId="0229A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1948F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925C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center"/>
          </w:tcPr>
          <w:p w14:paraId="73E0F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2D082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2EE20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26430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4658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108" w:type="dxa"/>
            <w:gridSpan w:val="9"/>
            <w:noWrap w:val="0"/>
            <w:vAlign w:val="center"/>
          </w:tcPr>
          <w:p w14:paraId="2B4B2A3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填报单位：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​</w:t>
            </w:r>
          </w:p>
          <w:p w14:paraId="612B5BB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填报人：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​</w:t>
            </w:r>
          </w:p>
          <w:p w14:paraId="78566A7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​</w:t>
            </w:r>
          </w:p>
          <w:p w14:paraId="254B1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105" w:leftChars="5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填报日期：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年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月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  <w:t>​</w:t>
            </w:r>
          </w:p>
        </w:tc>
      </w:tr>
    </w:tbl>
    <w:p w14:paraId="027852EB">
      <w:pPr>
        <w:keepNext w:val="0"/>
        <w:keepLines w:val="0"/>
        <w:widowControl/>
        <w:suppressLineNumbers w:val="0"/>
      </w:pPr>
    </w:p>
    <w:p w14:paraId="4C90A13F">
      <w:pPr>
        <w:pStyle w:val="2"/>
        <w:keepNext w:val="0"/>
        <w:keepLines w:val="0"/>
        <w:widowControl/>
        <w:suppressLineNumbers w:val="0"/>
        <w:ind w:left="0" w:leftChars="0" w:firstLine="0" w:firstLineChars="0"/>
        <w:jc w:val="center"/>
        <w:rPr>
          <w:rStyle w:val="9"/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 w14:paraId="0E066438">
      <w:pPr>
        <w:pStyle w:val="2"/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Style w:val="9"/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各行动专项工作记录表（分表）</w:t>
      </w:r>
    </w:p>
    <w:p w14:paraId="6255E32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（这些表格可供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二级</w:t>
      </w:r>
      <w:r>
        <w:rPr>
          <w:rFonts w:hint="eastAsia" w:ascii="楷体_GB2312" w:hAnsi="楷体_GB2312" w:eastAsia="楷体_GB2312" w:cs="楷体_GB2312"/>
          <w:sz w:val="32"/>
          <w:szCs w:val="32"/>
        </w:rPr>
        <w:t>单位在日常检查、整治时使用，作为填报总表的数据基础）</w:t>
      </w:r>
    </w:p>
    <w:p w14:paraId="428067F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</w:p>
    <w:p w14:paraId="1730F4A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 w:val="0"/>
        <w:topLinePunct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</w:rPr>
        <w:t>分表1-1：“五个必查”工作记录表</w:t>
      </w:r>
      <w:r>
        <w:rPr>
          <w:rFonts w:hint="default" w:ascii="Times New Roman" w:hAnsi="Times New Roman" w:eastAsia="仿宋_GB2312" w:cs="Times New Roman"/>
        </w:rPr>
        <w:t xml:space="preserve"> </w:t>
      </w:r>
    </w:p>
    <w:p w14:paraId="32EADE82">
      <w:pPr>
        <w:rPr>
          <w:rFonts w:hint="default"/>
        </w:rPr>
      </w:pPr>
    </w:p>
    <w:tbl>
      <w:tblPr>
        <w:tblStyle w:val="7"/>
        <w:tblW w:w="0" w:type="auto"/>
        <w:tblInd w:w="-2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1155"/>
        <w:gridCol w:w="1150"/>
        <w:gridCol w:w="1470"/>
        <w:gridCol w:w="1470"/>
        <w:gridCol w:w="1959"/>
        <w:gridCol w:w="1665"/>
        <w:gridCol w:w="1766"/>
        <w:gridCol w:w="1050"/>
        <w:gridCol w:w="1155"/>
        <w:gridCol w:w="795"/>
      </w:tblGrid>
      <w:tr w14:paraId="20B7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tblHeader/>
        </w:trPr>
        <w:tc>
          <w:tcPr>
            <w:tcW w:w="1057" w:type="dxa"/>
            <w:noWrap w:val="0"/>
            <w:vAlign w:val="center"/>
          </w:tcPr>
          <w:p w14:paraId="779302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检查小区/</w:t>
            </w:r>
          </w:p>
          <w:p w14:paraId="682BC7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楼栋名称</w:t>
            </w:r>
          </w:p>
        </w:tc>
        <w:tc>
          <w:tcPr>
            <w:tcW w:w="1155" w:type="dxa"/>
            <w:noWrap w:val="0"/>
            <w:vAlign w:val="center"/>
          </w:tcPr>
          <w:p w14:paraId="7A677F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</w:t>
            </w:r>
          </w:p>
          <w:p w14:paraId="30E83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1150" w:type="dxa"/>
            <w:noWrap w:val="0"/>
            <w:vAlign w:val="center"/>
          </w:tcPr>
          <w:p w14:paraId="6BDC99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责任单位/</w:t>
            </w:r>
          </w:p>
          <w:p w14:paraId="1F6BF5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</w:t>
            </w:r>
          </w:p>
        </w:tc>
        <w:tc>
          <w:tcPr>
            <w:tcW w:w="1470" w:type="dxa"/>
            <w:noWrap w:val="0"/>
            <w:vAlign w:val="center"/>
          </w:tcPr>
          <w:p w14:paraId="201F80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一查：消防设施是否完好​</w:t>
            </w:r>
          </w:p>
        </w:tc>
        <w:tc>
          <w:tcPr>
            <w:tcW w:w="1470" w:type="dxa"/>
            <w:noWrap w:val="0"/>
            <w:vAlign w:val="center"/>
          </w:tcPr>
          <w:p w14:paraId="197F5A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二查：消防通道是否畅通​</w:t>
            </w:r>
          </w:p>
        </w:tc>
        <w:tc>
          <w:tcPr>
            <w:tcW w:w="1959" w:type="dxa"/>
            <w:noWrap w:val="0"/>
            <w:vAlign w:val="center"/>
          </w:tcPr>
          <w:p w14:paraId="6711C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三查：电动自行车是否违规停放充电</w:t>
            </w:r>
          </w:p>
        </w:tc>
        <w:tc>
          <w:tcPr>
            <w:tcW w:w="1665" w:type="dxa"/>
            <w:noWrap w:val="0"/>
            <w:vAlign w:val="center"/>
          </w:tcPr>
          <w:p w14:paraId="44DCD4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四查：竖向管井是否防火封堵</w:t>
            </w:r>
          </w:p>
        </w:tc>
        <w:tc>
          <w:tcPr>
            <w:tcW w:w="1766" w:type="dxa"/>
            <w:noWrap w:val="0"/>
            <w:vAlign w:val="center"/>
          </w:tcPr>
          <w:p w14:paraId="0B8F00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五查：防火分隔设施是否有效</w:t>
            </w:r>
          </w:p>
        </w:tc>
        <w:tc>
          <w:tcPr>
            <w:tcW w:w="1050" w:type="dxa"/>
            <w:noWrap w:val="0"/>
            <w:vAlign w:val="center"/>
          </w:tcPr>
          <w:p w14:paraId="3112E3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发现问题描述</w:t>
            </w:r>
          </w:p>
        </w:tc>
        <w:tc>
          <w:tcPr>
            <w:tcW w:w="1155" w:type="dxa"/>
            <w:noWrap w:val="0"/>
            <w:vAlign w:val="center"/>
          </w:tcPr>
          <w:p w14:paraId="1AFD5E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整改要求及时限</w:t>
            </w:r>
          </w:p>
        </w:tc>
        <w:tc>
          <w:tcPr>
            <w:tcW w:w="795" w:type="dxa"/>
            <w:noWrap w:val="0"/>
            <w:vAlign w:val="center"/>
          </w:tcPr>
          <w:p w14:paraId="0A0930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</w:t>
            </w:r>
          </w:p>
        </w:tc>
      </w:tr>
      <w:tr w14:paraId="773C4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1057" w:type="dxa"/>
            <w:noWrap w:val="0"/>
            <w:vAlign w:val="center"/>
          </w:tcPr>
          <w:p w14:paraId="13205C6B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示例：XX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eastAsia="zh-CN"/>
              </w:rPr>
              <w:t>馆</w:t>
            </w:r>
          </w:p>
        </w:tc>
        <w:tc>
          <w:tcPr>
            <w:tcW w:w="1155" w:type="dxa"/>
            <w:noWrap w:val="0"/>
            <w:vAlign w:val="center"/>
          </w:tcPr>
          <w:p w14:paraId="6B3C3C2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2025-12-10</w:t>
            </w:r>
          </w:p>
        </w:tc>
        <w:tc>
          <w:tcPr>
            <w:tcW w:w="1150" w:type="dxa"/>
            <w:noWrap w:val="0"/>
            <w:vAlign w:val="center"/>
          </w:tcPr>
          <w:p w14:paraId="578D7A7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馆</w:t>
            </w:r>
          </w:p>
        </w:tc>
        <w:tc>
          <w:tcPr>
            <w:tcW w:w="1470" w:type="dxa"/>
            <w:noWrap w:val="0"/>
            <w:vAlign w:val="center"/>
          </w:tcPr>
          <w:p w14:paraId="698FD1F3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□是 □否</w:t>
            </w:r>
          </w:p>
        </w:tc>
        <w:tc>
          <w:tcPr>
            <w:tcW w:w="1470" w:type="dxa"/>
            <w:noWrap w:val="0"/>
            <w:vAlign w:val="center"/>
          </w:tcPr>
          <w:p w14:paraId="725D0BA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□是 □否</w:t>
            </w:r>
          </w:p>
        </w:tc>
        <w:tc>
          <w:tcPr>
            <w:tcW w:w="1959" w:type="dxa"/>
            <w:noWrap w:val="0"/>
            <w:vAlign w:val="center"/>
          </w:tcPr>
          <w:p w14:paraId="688E876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□是 □否</w:t>
            </w:r>
          </w:p>
        </w:tc>
        <w:tc>
          <w:tcPr>
            <w:tcW w:w="1665" w:type="dxa"/>
            <w:noWrap w:val="0"/>
            <w:vAlign w:val="center"/>
          </w:tcPr>
          <w:p w14:paraId="40A95C93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□是 □否</w:t>
            </w:r>
          </w:p>
        </w:tc>
        <w:tc>
          <w:tcPr>
            <w:tcW w:w="1766" w:type="dxa"/>
            <w:noWrap w:val="0"/>
            <w:vAlign w:val="center"/>
          </w:tcPr>
          <w:p w14:paraId="06FB7BF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□是 □否</w:t>
            </w:r>
          </w:p>
        </w:tc>
        <w:tc>
          <w:tcPr>
            <w:tcW w:w="1050" w:type="dxa"/>
            <w:noWrap w:val="0"/>
            <w:vAlign w:val="center"/>
          </w:tcPr>
          <w:p w14:paraId="06A876B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3楼疏散通道堆放杂物</w:t>
            </w:r>
          </w:p>
        </w:tc>
        <w:tc>
          <w:tcPr>
            <w:tcW w:w="1155" w:type="dxa"/>
            <w:noWrap w:val="0"/>
            <w:vAlign w:val="center"/>
          </w:tcPr>
          <w:p w14:paraId="0AED3486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立即清理，长期保持</w:t>
            </w:r>
          </w:p>
        </w:tc>
        <w:tc>
          <w:tcPr>
            <w:tcW w:w="795" w:type="dxa"/>
            <w:noWrap w:val="0"/>
            <w:vAlign w:val="center"/>
          </w:tcPr>
          <w:p w14:paraId="380E4C3C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张三</w:t>
            </w:r>
          </w:p>
        </w:tc>
      </w:tr>
    </w:tbl>
    <w:p w14:paraId="1B864A4B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Style w:val="9"/>
          <w:rFonts w:hint="default" w:ascii="Times New Roman" w:hAnsi="Times New Roman" w:eastAsia="仿宋_GB2312" w:cs="Times New Roman"/>
          <w:b/>
        </w:rPr>
      </w:pPr>
    </w:p>
    <w:p w14:paraId="2671EA5C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</w:rPr>
        <w:t>分表1-2：“邻里关照”帮扶对象走访记录表</w:t>
      </w:r>
      <w:r>
        <w:rPr>
          <w:rFonts w:hint="default" w:ascii="Times New Roman" w:hAnsi="Times New Roman" w:eastAsia="仿宋_GB2312" w:cs="Times New Roman"/>
          <w:b w:val="0"/>
          <w:bCs/>
        </w:rPr>
        <w:t xml:space="preserve"> </w:t>
      </w:r>
    </w:p>
    <w:tbl>
      <w:tblPr>
        <w:tblStyle w:val="7"/>
        <w:tblpPr w:leftFromText="180" w:rightFromText="180" w:vertAnchor="text" w:horzAnchor="page" w:tblpX="878" w:tblpY="29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5"/>
        <w:gridCol w:w="1222"/>
        <w:gridCol w:w="2513"/>
        <w:gridCol w:w="1184"/>
        <w:gridCol w:w="1458"/>
        <w:gridCol w:w="1592"/>
        <w:gridCol w:w="1216"/>
        <w:gridCol w:w="1609"/>
        <w:gridCol w:w="801"/>
        <w:gridCol w:w="1710"/>
      </w:tblGrid>
      <w:tr w14:paraId="45C67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1755" w:type="dxa"/>
            <w:noWrap w:val="0"/>
            <w:vAlign w:val="center"/>
          </w:tcPr>
          <w:p w14:paraId="368DB4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街道/社区</w:t>
            </w:r>
          </w:p>
        </w:tc>
        <w:tc>
          <w:tcPr>
            <w:tcW w:w="1222" w:type="dxa"/>
            <w:noWrap w:val="0"/>
            <w:vAlign w:val="center"/>
          </w:tcPr>
          <w:p w14:paraId="5139E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走访日期</w:t>
            </w:r>
          </w:p>
        </w:tc>
        <w:tc>
          <w:tcPr>
            <w:tcW w:w="2513" w:type="dxa"/>
            <w:noWrap w:val="0"/>
            <w:vAlign w:val="center"/>
          </w:tcPr>
          <w:p w14:paraId="52698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帮扶对象（匿名化处理，如：独居老人A）</w:t>
            </w:r>
          </w:p>
        </w:tc>
        <w:tc>
          <w:tcPr>
            <w:tcW w:w="1184" w:type="dxa"/>
            <w:noWrap w:val="0"/>
            <w:vAlign w:val="center"/>
          </w:tcPr>
          <w:p w14:paraId="1803A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家庭基本情况</w:t>
            </w:r>
          </w:p>
        </w:tc>
        <w:tc>
          <w:tcPr>
            <w:tcW w:w="1458" w:type="dxa"/>
            <w:noWrap w:val="0"/>
            <w:vAlign w:val="center"/>
          </w:tcPr>
          <w:p w14:paraId="11812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用火用电用气安全隐患</w:t>
            </w:r>
          </w:p>
        </w:tc>
        <w:tc>
          <w:tcPr>
            <w:tcW w:w="1592" w:type="dxa"/>
            <w:noWrap w:val="0"/>
            <w:vAlign w:val="center"/>
          </w:tcPr>
          <w:p w14:paraId="27CA6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宣传提示内容</w:t>
            </w:r>
          </w:p>
        </w:tc>
        <w:tc>
          <w:tcPr>
            <w:tcW w:w="1216" w:type="dxa"/>
            <w:noWrap w:val="0"/>
            <w:vAlign w:val="center"/>
          </w:tcPr>
          <w:p w14:paraId="464AB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已协助</w:t>
            </w:r>
          </w:p>
          <w:p w14:paraId="7EC7F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解决的隐患</w:t>
            </w:r>
          </w:p>
        </w:tc>
        <w:tc>
          <w:tcPr>
            <w:tcW w:w="1609" w:type="dxa"/>
            <w:noWrap w:val="0"/>
            <w:vAlign w:val="center"/>
          </w:tcPr>
          <w:p w14:paraId="28B70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需协调解决的问题</w:t>
            </w:r>
          </w:p>
        </w:tc>
        <w:tc>
          <w:tcPr>
            <w:tcW w:w="801" w:type="dxa"/>
            <w:noWrap w:val="0"/>
            <w:vAlign w:val="center"/>
          </w:tcPr>
          <w:p w14:paraId="3EFE4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走访人</w:t>
            </w:r>
          </w:p>
        </w:tc>
        <w:tc>
          <w:tcPr>
            <w:tcW w:w="1710" w:type="dxa"/>
            <w:noWrap w:val="0"/>
            <w:vAlign w:val="center"/>
          </w:tcPr>
          <w:p w14:paraId="72AD5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下次回访计划</w:t>
            </w:r>
          </w:p>
        </w:tc>
      </w:tr>
      <w:tr w14:paraId="63A4A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55" w:type="dxa"/>
            <w:noWrap w:val="0"/>
            <w:vAlign w:val="center"/>
          </w:tcPr>
          <w:p w14:paraId="3ECE09B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示例：西城街道XX社区</w:t>
            </w:r>
          </w:p>
        </w:tc>
        <w:tc>
          <w:tcPr>
            <w:tcW w:w="1222" w:type="dxa"/>
            <w:noWrap w:val="0"/>
            <w:vAlign w:val="center"/>
          </w:tcPr>
          <w:p w14:paraId="10D73AF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2025-12-15</w:t>
            </w:r>
          </w:p>
        </w:tc>
        <w:tc>
          <w:tcPr>
            <w:tcW w:w="2513" w:type="dxa"/>
            <w:noWrap w:val="0"/>
            <w:vAlign w:val="center"/>
          </w:tcPr>
          <w:p w14:paraId="234F302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独居老人</w:t>
            </w:r>
          </w:p>
        </w:tc>
        <w:tc>
          <w:tcPr>
            <w:tcW w:w="1184" w:type="dxa"/>
            <w:noWrap w:val="0"/>
            <w:vAlign w:val="center"/>
          </w:tcPr>
          <w:p w14:paraId="1E8D191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年龄大，</w:t>
            </w:r>
          </w:p>
          <w:p w14:paraId="1EB2D36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行动不便</w:t>
            </w:r>
          </w:p>
        </w:tc>
        <w:tc>
          <w:tcPr>
            <w:tcW w:w="1458" w:type="dxa"/>
            <w:noWrap w:val="0"/>
            <w:vAlign w:val="center"/>
          </w:tcPr>
          <w:p w14:paraId="34C32E5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使用老旧</w:t>
            </w:r>
          </w:p>
          <w:p w14:paraId="11E0464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电热毯</w:t>
            </w:r>
          </w:p>
        </w:tc>
        <w:tc>
          <w:tcPr>
            <w:tcW w:w="1592" w:type="dxa"/>
            <w:noWrap w:val="0"/>
            <w:vAlign w:val="center"/>
          </w:tcPr>
          <w:p w14:paraId="4E9B30B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讲解安全使用方法，建议更换</w:t>
            </w:r>
          </w:p>
        </w:tc>
        <w:tc>
          <w:tcPr>
            <w:tcW w:w="1216" w:type="dxa"/>
            <w:noWrap w:val="0"/>
            <w:vAlign w:val="center"/>
          </w:tcPr>
          <w:p w14:paraId="480C479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1609" w:type="dxa"/>
            <w:noWrap w:val="0"/>
            <w:vAlign w:val="center"/>
          </w:tcPr>
          <w:p w14:paraId="1A83CAC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建议纳入简易消防器材配备计划</w:t>
            </w:r>
          </w:p>
        </w:tc>
        <w:tc>
          <w:tcPr>
            <w:tcW w:w="801" w:type="dxa"/>
            <w:noWrap w:val="0"/>
            <w:vAlign w:val="center"/>
          </w:tcPr>
          <w:p w14:paraId="5DA6181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李四</w:t>
            </w:r>
          </w:p>
        </w:tc>
        <w:tc>
          <w:tcPr>
            <w:tcW w:w="1710" w:type="dxa"/>
            <w:noWrap w:val="0"/>
            <w:vAlign w:val="center"/>
          </w:tcPr>
          <w:p w14:paraId="3DECF64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2026-01-15</w:t>
            </w:r>
          </w:p>
        </w:tc>
      </w:tr>
    </w:tbl>
    <w:p w14:paraId="6D35447D"/>
    <w:p w14:paraId="624CCF42"/>
    <w:p w14:paraId="221A2BE8">
      <w:pPr>
        <w:pStyle w:val="10"/>
      </w:pPr>
    </w:p>
    <w:p w14:paraId="527CD5D8">
      <w:pPr>
        <w:pStyle w:val="10"/>
      </w:pPr>
    </w:p>
    <w:p w14:paraId="043A2A16"/>
    <w:p w14:paraId="0A3C6175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</w:rPr>
      </w:pPr>
      <w:r>
        <w:rPr>
          <w:rStyle w:val="9"/>
          <w:rFonts w:hint="eastAsia" w:ascii="仿宋_GB2312" w:hAnsi="仿宋_GB2312" w:eastAsia="仿宋_GB2312" w:cs="仿宋_GB2312"/>
          <w:b/>
        </w:rPr>
        <w:t>分表2-1：重点场所消防安全检查记录表</w:t>
      </w:r>
      <w:r>
        <w:rPr>
          <w:rFonts w:hint="eastAsia" w:ascii="仿宋_GB2312" w:hAnsi="仿宋_GB2312" w:eastAsia="仿宋_GB2312" w:cs="仿宋_GB2312"/>
        </w:rPr>
        <w:t xml:space="preserve"> </w:t>
      </w:r>
    </w:p>
    <w:p w14:paraId="6C11F789">
      <w:pPr>
        <w:rPr>
          <w:rFonts w:hint="eastAsia"/>
        </w:rPr>
      </w:pPr>
    </w:p>
    <w:tbl>
      <w:tblPr>
        <w:tblStyle w:val="7"/>
        <w:tblW w:w="14662" w:type="dxa"/>
        <w:tblInd w:w="-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733"/>
        <w:gridCol w:w="1232"/>
        <w:gridCol w:w="1208"/>
        <w:gridCol w:w="1448"/>
        <w:gridCol w:w="1315"/>
        <w:gridCol w:w="1382"/>
        <w:gridCol w:w="1397"/>
        <w:gridCol w:w="1140"/>
        <w:gridCol w:w="1380"/>
        <w:gridCol w:w="1200"/>
        <w:gridCol w:w="870"/>
      </w:tblGrid>
      <w:tr w14:paraId="5597B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  <w:tblHeader/>
        </w:trPr>
        <w:tc>
          <w:tcPr>
            <w:tcW w:w="1357" w:type="dxa"/>
            <w:noWrap w:val="0"/>
            <w:vAlign w:val="center"/>
          </w:tcPr>
          <w:p w14:paraId="5F4BC8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场所名称</w:t>
            </w:r>
          </w:p>
        </w:tc>
        <w:tc>
          <w:tcPr>
            <w:tcW w:w="733" w:type="dxa"/>
            <w:noWrap w:val="0"/>
            <w:vAlign w:val="center"/>
          </w:tcPr>
          <w:p w14:paraId="008B4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场所</w:t>
            </w:r>
          </w:p>
          <w:p w14:paraId="167BB0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1232" w:type="dxa"/>
            <w:noWrap w:val="0"/>
            <w:vAlign w:val="center"/>
          </w:tcPr>
          <w:p w14:paraId="31C875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1208" w:type="dxa"/>
            <w:noWrap w:val="0"/>
            <w:vAlign w:val="center"/>
          </w:tcPr>
          <w:p w14:paraId="2B432A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责任部门</w:t>
            </w:r>
          </w:p>
        </w:tc>
        <w:tc>
          <w:tcPr>
            <w:tcW w:w="1448" w:type="dxa"/>
            <w:noWrap w:val="0"/>
            <w:vAlign w:val="center"/>
          </w:tcPr>
          <w:p w14:paraId="4AF402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消防安全</w:t>
            </w:r>
          </w:p>
          <w:p w14:paraId="76D202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责任制落实</w:t>
            </w:r>
          </w:p>
        </w:tc>
        <w:tc>
          <w:tcPr>
            <w:tcW w:w="1315" w:type="dxa"/>
            <w:noWrap w:val="0"/>
            <w:vAlign w:val="center"/>
          </w:tcPr>
          <w:p w14:paraId="7CEAE6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消防设施</w:t>
            </w:r>
          </w:p>
          <w:p w14:paraId="6545AC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运行情况</w:t>
            </w:r>
          </w:p>
        </w:tc>
        <w:tc>
          <w:tcPr>
            <w:tcW w:w="1382" w:type="dxa"/>
            <w:noWrap w:val="0"/>
            <w:vAlign w:val="center"/>
          </w:tcPr>
          <w:p w14:paraId="65E6E3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疏散通道/</w:t>
            </w:r>
          </w:p>
          <w:p w14:paraId="3E1523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安全出口</w:t>
            </w:r>
          </w:p>
        </w:tc>
        <w:tc>
          <w:tcPr>
            <w:tcW w:w="1397" w:type="dxa"/>
            <w:noWrap w:val="0"/>
            <w:vAlign w:val="center"/>
          </w:tcPr>
          <w:p w14:paraId="60C13F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用火用电</w:t>
            </w:r>
          </w:p>
          <w:p w14:paraId="3F5E1B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用气安全</w:t>
            </w:r>
          </w:p>
        </w:tc>
        <w:tc>
          <w:tcPr>
            <w:tcW w:w="1140" w:type="dxa"/>
            <w:noWrap w:val="0"/>
            <w:vAlign w:val="center"/>
          </w:tcPr>
          <w:p w14:paraId="586E0A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应急疏散预案</w:t>
            </w:r>
          </w:p>
        </w:tc>
        <w:tc>
          <w:tcPr>
            <w:tcW w:w="1380" w:type="dxa"/>
            <w:noWrap w:val="0"/>
            <w:vAlign w:val="center"/>
          </w:tcPr>
          <w:p w14:paraId="1277AC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发现隐患</w:t>
            </w:r>
          </w:p>
        </w:tc>
        <w:tc>
          <w:tcPr>
            <w:tcW w:w="1200" w:type="dxa"/>
            <w:noWrap w:val="0"/>
            <w:vAlign w:val="center"/>
          </w:tcPr>
          <w:p w14:paraId="6BF785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整改时限</w:t>
            </w:r>
          </w:p>
        </w:tc>
        <w:tc>
          <w:tcPr>
            <w:tcW w:w="870" w:type="dxa"/>
            <w:noWrap w:val="0"/>
            <w:vAlign w:val="center"/>
          </w:tcPr>
          <w:p w14:paraId="5004EB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</w:t>
            </w:r>
          </w:p>
        </w:tc>
      </w:tr>
      <w:tr w14:paraId="1C192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</w:trPr>
        <w:tc>
          <w:tcPr>
            <w:tcW w:w="1357" w:type="dxa"/>
            <w:noWrap w:val="0"/>
            <w:vAlign w:val="center"/>
          </w:tcPr>
          <w:p w14:paraId="5771EB7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示例：XX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eastAsia="zh-CN"/>
              </w:rPr>
              <w:t>馆</w:t>
            </w:r>
          </w:p>
        </w:tc>
        <w:tc>
          <w:tcPr>
            <w:tcW w:w="733" w:type="dxa"/>
            <w:noWrap w:val="0"/>
            <w:vAlign w:val="center"/>
          </w:tcPr>
          <w:p w14:paraId="14B786FC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lang w:eastAsia="zh-CN"/>
              </w:rPr>
              <w:t>公共文化场馆</w:t>
            </w:r>
          </w:p>
        </w:tc>
        <w:tc>
          <w:tcPr>
            <w:tcW w:w="1232" w:type="dxa"/>
            <w:noWrap w:val="0"/>
            <w:vAlign w:val="center"/>
          </w:tcPr>
          <w:p w14:paraId="45AD76D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2025-12-20</w:t>
            </w:r>
          </w:p>
        </w:tc>
        <w:tc>
          <w:tcPr>
            <w:tcW w:w="1208" w:type="dxa"/>
            <w:noWrap w:val="0"/>
            <w:vAlign w:val="center"/>
          </w:tcPr>
          <w:p w14:paraId="7EC1265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XX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eastAsia="zh-CN"/>
              </w:rPr>
              <w:t>馆</w:t>
            </w:r>
          </w:p>
        </w:tc>
        <w:tc>
          <w:tcPr>
            <w:tcW w:w="1448" w:type="dxa"/>
            <w:noWrap w:val="0"/>
            <w:vAlign w:val="center"/>
          </w:tcPr>
          <w:p w14:paraId="547C1A7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42" w:leftChars="20" w:right="42" w:rightChars="2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□是 □否</w:t>
            </w:r>
          </w:p>
        </w:tc>
        <w:tc>
          <w:tcPr>
            <w:tcW w:w="1315" w:type="dxa"/>
            <w:noWrap w:val="0"/>
            <w:vAlign w:val="center"/>
          </w:tcPr>
          <w:p w14:paraId="2A4EE6A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42" w:leftChars="20" w:right="42" w:rightChars="2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□良好</w:t>
            </w:r>
          </w:p>
          <w:p w14:paraId="4E7B5F1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42" w:leftChars="20" w:right="42" w:rightChars="2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□一般</w:t>
            </w:r>
          </w:p>
          <w:p w14:paraId="5E4D213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42" w:leftChars="20" w:right="42" w:rightChars="2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□故障</w:t>
            </w:r>
          </w:p>
        </w:tc>
        <w:tc>
          <w:tcPr>
            <w:tcW w:w="1382" w:type="dxa"/>
            <w:noWrap w:val="0"/>
            <w:vAlign w:val="center"/>
          </w:tcPr>
          <w:p w14:paraId="39B5504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□畅通</w:t>
            </w:r>
          </w:p>
          <w:p w14:paraId="35E9215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□堵塞</w:t>
            </w:r>
          </w:p>
        </w:tc>
        <w:tc>
          <w:tcPr>
            <w:tcW w:w="1397" w:type="dxa"/>
            <w:noWrap w:val="0"/>
            <w:vAlign w:val="center"/>
          </w:tcPr>
          <w:p w14:paraId="5CB732F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□规范</w:t>
            </w:r>
          </w:p>
          <w:p w14:paraId="7198E28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□存在隐患</w:t>
            </w:r>
          </w:p>
        </w:tc>
        <w:tc>
          <w:tcPr>
            <w:tcW w:w="1140" w:type="dxa"/>
            <w:noWrap w:val="0"/>
            <w:vAlign w:val="center"/>
          </w:tcPr>
          <w:p w14:paraId="04B6A14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□有 □无 □需完善</w:t>
            </w:r>
          </w:p>
        </w:tc>
        <w:tc>
          <w:tcPr>
            <w:tcW w:w="1380" w:type="dxa"/>
            <w:noWrap w:val="0"/>
            <w:vAlign w:val="center"/>
          </w:tcPr>
          <w:p w14:paraId="2B5E34C6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占用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eastAsia="zh-CN"/>
              </w:rPr>
              <w:t>消防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通道</w:t>
            </w:r>
          </w:p>
        </w:tc>
        <w:tc>
          <w:tcPr>
            <w:tcW w:w="1200" w:type="dxa"/>
            <w:noWrap w:val="0"/>
            <w:vAlign w:val="center"/>
          </w:tcPr>
          <w:p w14:paraId="7D16CB1F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2025-12-25前</w:t>
            </w:r>
          </w:p>
        </w:tc>
        <w:tc>
          <w:tcPr>
            <w:tcW w:w="870" w:type="dxa"/>
            <w:noWrap w:val="0"/>
            <w:vAlign w:val="center"/>
          </w:tcPr>
          <w:p w14:paraId="6BCDDF6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王五</w:t>
            </w:r>
          </w:p>
        </w:tc>
      </w:tr>
    </w:tbl>
    <w:p w14:paraId="713289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center"/>
        <w:rPr>
          <w:rStyle w:val="9"/>
        </w:rPr>
      </w:pPr>
    </w:p>
    <w:p w14:paraId="61050A6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center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</w:p>
    <w:p w14:paraId="7F04E88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分表3-1：电动自行车整治情况统计表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6A976C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7"/>
        <w:tblW w:w="14728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3"/>
        <w:gridCol w:w="1320"/>
        <w:gridCol w:w="1170"/>
        <w:gridCol w:w="1842"/>
        <w:gridCol w:w="1783"/>
        <w:gridCol w:w="1640"/>
        <w:gridCol w:w="1400"/>
        <w:gridCol w:w="1902"/>
        <w:gridCol w:w="2368"/>
      </w:tblGrid>
      <w:tr w14:paraId="11BFB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  <w:tblHeader/>
        </w:trPr>
        <w:tc>
          <w:tcPr>
            <w:tcW w:w="1303" w:type="dxa"/>
            <w:noWrap w:val="0"/>
            <w:vAlign w:val="center"/>
          </w:tcPr>
          <w:p w14:paraId="516507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区域/小区</w:t>
            </w:r>
          </w:p>
        </w:tc>
        <w:tc>
          <w:tcPr>
            <w:tcW w:w="1320" w:type="dxa"/>
            <w:noWrap w:val="0"/>
            <w:vAlign w:val="center"/>
          </w:tcPr>
          <w:p w14:paraId="43536C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</w:t>
            </w:r>
          </w:p>
          <w:p w14:paraId="14478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周期</w:t>
            </w:r>
          </w:p>
        </w:tc>
        <w:tc>
          <w:tcPr>
            <w:tcW w:w="1170" w:type="dxa"/>
            <w:noWrap w:val="0"/>
            <w:vAlign w:val="center"/>
          </w:tcPr>
          <w:p w14:paraId="7D6C1D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责任单位</w:t>
            </w:r>
          </w:p>
        </w:tc>
        <w:tc>
          <w:tcPr>
            <w:tcW w:w="1842" w:type="dxa"/>
            <w:noWrap w:val="0"/>
            <w:vAlign w:val="center"/>
          </w:tcPr>
          <w:p w14:paraId="253717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清理“进楼入户”</w:t>
            </w:r>
          </w:p>
          <w:p w14:paraId="7CE011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车辆数</w:t>
            </w:r>
          </w:p>
        </w:tc>
        <w:tc>
          <w:tcPr>
            <w:tcW w:w="1783" w:type="dxa"/>
            <w:noWrap w:val="0"/>
            <w:vAlign w:val="center"/>
          </w:tcPr>
          <w:p w14:paraId="5D578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整治“飞线充电”起数</w:t>
            </w:r>
          </w:p>
        </w:tc>
        <w:tc>
          <w:tcPr>
            <w:tcW w:w="1640" w:type="dxa"/>
            <w:noWrap w:val="0"/>
            <w:vAlign w:val="center"/>
          </w:tcPr>
          <w:p w14:paraId="5D84DE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清理“僵尸车”数量</w:t>
            </w:r>
          </w:p>
        </w:tc>
        <w:tc>
          <w:tcPr>
            <w:tcW w:w="1400" w:type="dxa"/>
            <w:noWrap w:val="0"/>
            <w:vAlign w:val="center"/>
          </w:tcPr>
          <w:p w14:paraId="181A7C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开展联合</w:t>
            </w:r>
          </w:p>
          <w:p w14:paraId="008AB9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执法次数</w:t>
            </w:r>
          </w:p>
        </w:tc>
        <w:tc>
          <w:tcPr>
            <w:tcW w:w="1902" w:type="dxa"/>
            <w:noWrap w:val="0"/>
            <w:vAlign w:val="center"/>
          </w:tcPr>
          <w:p w14:paraId="21E57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查处非法改装/</w:t>
            </w:r>
          </w:p>
          <w:p w14:paraId="05092B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销售案件数</w:t>
            </w:r>
          </w:p>
        </w:tc>
        <w:tc>
          <w:tcPr>
            <w:tcW w:w="2368" w:type="dxa"/>
            <w:noWrap w:val="0"/>
            <w:vAlign w:val="center"/>
          </w:tcPr>
          <w:p w14:paraId="62A9B9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主要困难与建议</w:t>
            </w:r>
          </w:p>
        </w:tc>
      </w:tr>
      <w:tr w14:paraId="370F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1303" w:type="dxa"/>
            <w:noWrap w:val="0"/>
            <w:vAlign w:val="center"/>
          </w:tcPr>
          <w:p w14:paraId="7805099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示例：曾都区XX街道</w:t>
            </w:r>
          </w:p>
        </w:tc>
        <w:tc>
          <w:tcPr>
            <w:tcW w:w="1320" w:type="dxa"/>
            <w:noWrap w:val="0"/>
            <w:vAlign w:val="center"/>
          </w:tcPr>
          <w:p w14:paraId="60BAE59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2025年12月</w:t>
            </w:r>
          </w:p>
        </w:tc>
        <w:tc>
          <w:tcPr>
            <w:tcW w:w="1170" w:type="dxa"/>
            <w:noWrap w:val="0"/>
            <w:vAlign w:val="center"/>
          </w:tcPr>
          <w:p w14:paraId="070867A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街道办/派出所/物业</w:t>
            </w:r>
          </w:p>
        </w:tc>
        <w:tc>
          <w:tcPr>
            <w:tcW w:w="1842" w:type="dxa"/>
            <w:noWrap w:val="0"/>
            <w:vAlign w:val="center"/>
          </w:tcPr>
          <w:p w14:paraId="632C07ED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15辆</w:t>
            </w:r>
          </w:p>
        </w:tc>
        <w:tc>
          <w:tcPr>
            <w:tcW w:w="1783" w:type="dxa"/>
            <w:noWrap w:val="0"/>
            <w:vAlign w:val="center"/>
          </w:tcPr>
          <w:p w14:paraId="7FAB61C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8起</w:t>
            </w:r>
          </w:p>
        </w:tc>
        <w:tc>
          <w:tcPr>
            <w:tcW w:w="1640" w:type="dxa"/>
            <w:noWrap w:val="0"/>
            <w:vAlign w:val="center"/>
          </w:tcPr>
          <w:p w14:paraId="1EB1FCEB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5辆</w:t>
            </w:r>
          </w:p>
        </w:tc>
        <w:tc>
          <w:tcPr>
            <w:tcW w:w="1400" w:type="dxa"/>
            <w:noWrap w:val="0"/>
            <w:vAlign w:val="center"/>
          </w:tcPr>
          <w:p w14:paraId="345149A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2次</w:t>
            </w:r>
          </w:p>
        </w:tc>
        <w:tc>
          <w:tcPr>
            <w:tcW w:w="1902" w:type="dxa"/>
            <w:noWrap w:val="0"/>
            <w:vAlign w:val="center"/>
          </w:tcPr>
          <w:p w14:paraId="6722955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0起</w:t>
            </w:r>
          </w:p>
        </w:tc>
        <w:tc>
          <w:tcPr>
            <w:tcW w:w="2368" w:type="dxa"/>
            <w:noWrap w:val="0"/>
            <w:vAlign w:val="center"/>
          </w:tcPr>
          <w:p w14:paraId="68593E4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部分居民不理解，需加强宣传</w:t>
            </w:r>
          </w:p>
        </w:tc>
      </w:tr>
    </w:tbl>
    <w:p w14:paraId="63345ECE">
      <w:pPr>
        <w:pStyle w:val="3"/>
        <w:keepNext w:val="0"/>
        <w:keepLines w:val="0"/>
        <w:widowControl/>
        <w:suppressLineNumbers w:val="0"/>
        <w:rPr>
          <w:rStyle w:val="9"/>
          <w:b/>
        </w:rPr>
      </w:pPr>
    </w:p>
    <w:p w14:paraId="39800D88"/>
    <w:p w14:paraId="6E1EE8A2">
      <w:pPr>
        <w:pStyle w:val="10"/>
      </w:pPr>
    </w:p>
    <w:p w14:paraId="70BEC707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Style w:val="9"/>
          <w:rFonts w:hint="default" w:ascii="Times New Roman" w:hAnsi="Times New Roman" w:eastAsia="仿宋_GB2312" w:cs="Times New Roman"/>
          <w:b/>
        </w:rPr>
      </w:pPr>
    </w:p>
    <w:p w14:paraId="75606214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</w:rPr>
      </w:pPr>
      <w:r>
        <w:rPr>
          <w:rStyle w:val="9"/>
          <w:rFonts w:hint="default" w:ascii="Times New Roman" w:hAnsi="Times New Roman" w:eastAsia="仿宋_GB2312" w:cs="Times New Roman"/>
          <w:b/>
        </w:rPr>
        <w:t>分表4-1：高层建筑消防安全排查清单</w:t>
      </w:r>
      <w:r>
        <w:rPr>
          <w:rFonts w:hint="default" w:ascii="Times New Roman" w:hAnsi="Times New Roman" w:eastAsia="仿宋_GB2312" w:cs="Times New Roman"/>
        </w:rPr>
        <w:t xml:space="preserve"> </w:t>
      </w:r>
    </w:p>
    <w:p w14:paraId="16005B23">
      <w:pPr>
        <w:rPr>
          <w:rFonts w:hint="default"/>
        </w:rPr>
      </w:pPr>
    </w:p>
    <w:tbl>
      <w:tblPr>
        <w:tblStyle w:val="7"/>
        <w:tblW w:w="14663" w:type="dxa"/>
        <w:tblInd w:w="-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3"/>
        <w:gridCol w:w="1369"/>
        <w:gridCol w:w="1916"/>
        <w:gridCol w:w="1170"/>
        <w:gridCol w:w="1455"/>
        <w:gridCol w:w="1770"/>
        <w:gridCol w:w="2430"/>
        <w:gridCol w:w="2790"/>
      </w:tblGrid>
      <w:tr w14:paraId="318C3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  <w:tblHeader/>
        </w:trPr>
        <w:tc>
          <w:tcPr>
            <w:tcW w:w="1763" w:type="dxa"/>
            <w:noWrap w:val="0"/>
            <w:vAlign w:val="center"/>
          </w:tcPr>
          <w:p w14:paraId="690072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建筑名称/地址</w:t>
            </w:r>
          </w:p>
        </w:tc>
        <w:tc>
          <w:tcPr>
            <w:tcW w:w="1369" w:type="dxa"/>
            <w:noWrap w:val="0"/>
            <w:vAlign w:val="center"/>
          </w:tcPr>
          <w:p w14:paraId="50E0C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排查日期</w:t>
            </w:r>
          </w:p>
        </w:tc>
        <w:tc>
          <w:tcPr>
            <w:tcW w:w="1916" w:type="dxa"/>
            <w:noWrap w:val="0"/>
            <w:vAlign w:val="center"/>
          </w:tcPr>
          <w:p w14:paraId="2F401B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排查牵头</w:t>
            </w:r>
          </w:p>
          <w:p w14:paraId="4EC05E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70" w:type="dxa"/>
            <w:noWrap w:val="0"/>
            <w:vAlign w:val="center"/>
          </w:tcPr>
          <w:p w14:paraId="46A0DB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内部装修</w:t>
            </w:r>
          </w:p>
          <w:p w14:paraId="156EDC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改造风险</w:t>
            </w:r>
          </w:p>
        </w:tc>
        <w:tc>
          <w:tcPr>
            <w:tcW w:w="1455" w:type="dxa"/>
            <w:noWrap w:val="0"/>
            <w:vAlign w:val="center"/>
          </w:tcPr>
          <w:p w14:paraId="1D364A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消防设施</w:t>
            </w:r>
          </w:p>
          <w:p w14:paraId="6657D7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系统风险</w:t>
            </w:r>
          </w:p>
        </w:tc>
        <w:tc>
          <w:tcPr>
            <w:tcW w:w="1770" w:type="dxa"/>
            <w:noWrap w:val="0"/>
            <w:vAlign w:val="center"/>
          </w:tcPr>
          <w:p w14:paraId="42D5DC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日常消防安全</w:t>
            </w:r>
          </w:p>
          <w:p w14:paraId="6B05B5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管理风险</w:t>
            </w:r>
          </w:p>
        </w:tc>
        <w:tc>
          <w:tcPr>
            <w:tcW w:w="2430" w:type="dxa"/>
            <w:noWrap w:val="0"/>
            <w:vAlign w:val="center"/>
          </w:tcPr>
          <w:p w14:paraId="64FC29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隐患等级评估</w:t>
            </w:r>
          </w:p>
        </w:tc>
        <w:tc>
          <w:tcPr>
            <w:tcW w:w="2790" w:type="dxa"/>
            <w:noWrap w:val="0"/>
            <w:vAlign w:val="center"/>
          </w:tcPr>
          <w:p w14:paraId="383FE5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整改计划概要</w:t>
            </w:r>
          </w:p>
        </w:tc>
      </w:tr>
      <w:tr w14:paraId="01D9A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1763" w:type="dxa"/>
            <w:noWrap w:val="0"/>
            <w:vAlign w:val="center"/>
          </w:tcPr>
          <w:p w14:paraId="21AECFD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示例：凯旋中央小区X栋</w:t>
            </w:r>
          </w:p>
        </w:tc>
        <w:tc>
          <w:tcPr>
            <w:tcW w:w="1369" w:type="dxa"/>
            <w:noWrap w:val="0"/>
            <w:vAlign w:val="center"/>
          </w:tcPr>
          <w:p w14:paraId="4D39776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2025-12-18</w:t>
            </w:r>
          </w:p>
        </w:tc>
        <w:tc>
          <w:tcPr>
            <w:tcW w:w="1916" w:type="dxa"/>
            <w:noWrap w:val="0"/>
            <w:vAlign w:val="center"/>
          </w:tcPr>
          <w:p w14:paraId="1BAABA46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市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eastAsia="zh-CN"/>
              </w:rPr>
              <w:t>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建局</w:t>
            </w:r>
          </w:p>
        </w:tc>
        <w:tc>
          <w:tcPr>
            <w:tcW w:w="1170" w:type="dxa"/>
            <w:noWrap w:val="0"/>
            <w:vAlign w:val="center"/>
          </w:tcPr>
          <w:p w14:paraId="5CBDBD3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□无 □有</w:t>
            </w:r>
          </w:p>
        </w:tc>
        <w:tc>
          <w:tcPr>
            <w:tcW w:w="1455" w:type="dxa"/>
            <w:noWrap w:val="0"/>
            <w:vAlign w:val="center"/>
          </w:tcPr>
          <w:p w14:paraId="1C5248E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□无 □有</w:t>
            </w:r>
          </w:p>
        </w:tc>
        <w:tc>
          <w:tcPr>
            <w:tcW w:w="1770" w:type="dxa"/>
            <w:noWrap w:val="0"/>
            <w:vAlign w:val="center"/>
          </w:tcPr>
          <w:p w14:paraId="4DA66CA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□无 □有</w:t>
            </w:r>
          </w:p>
        </w:tc>
        <w:tc>
          <w:tcPr>
            <w:tcW w:w="2430" w:type="dxa"/>
            <w:noWrap w:val="0"/>
            <w:vAlign w:val="center"/>
          </w:tcPr>
          <w:p w14:paraId="2BDD7DE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□重大 □较大 □一般</w:t>
            </w:r>
          </w:p>
        </w:tc>
        <w:tc>
          <w:tcPr>
            <w:tcW w:w="2790" w:type="dxa"/>
            <w:noWrap w:val="0"/>
            <w:vAlign w:val="center"/>
          </w:tcPr>
          <w:p w14:paraId="26398B3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已挂牌督办，详见专项方案</w:t>
            </w:r>
          </w:p>
        </w:tc>
      </w:tr>
    </w:tbl>
    <w:p w14:paraId="7A8580B8">
      <w:pPr>
        <w:keepNext w:val="0"/>
        <w:keepLines w:val="0"/>
        <w:widowControl/>
        <w:suppressLineNumbers w:val="0"/>
      </w:pPr>
    </w:p>
    <w:p w14:paraId="5187AF9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Style w:val="9"/>
          <w:rFonts w:hint="eastAsia" w:ascii="仿宋_GB2312" w:hAnsi="仿宋_GB2312" w:eastAsia="仿宋_GB2312" w:cs="仿宋_GB2312"/>
          <w:sz w:val="24"/>
          <w:szCs w:val="24"/>
        </w:rPr>
        <w:t>使用建议：</w:t>
      </w:r>
    </w:p>
    <w:p w14:paraId="241D41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</w:rPr>
        <w:t>分级使用：各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局属</w:t>
      </w:r>
      <w:r>
        <w:rPr>
          <w:rFonts w:hint="eastAsia" w:ascii="仿宋_GB2312" w:hAnsi="仿宋_GB2312" w:eastAsia="仿宋_GB2312" w:cs="仿宋_GB2312"/>
          <w:sz w:val="24"/>
          <w:szCs w:val="24"/>
        </w:rPr>
        <w:t>单位和县（市、区）使用《月度汇总表》向上报送；各单位、检查组使用各类《分表》进行现场记录和内部汇总。</w:t>
      </w:r>
    </w:p>
    <w:p w14:paraId="66A22A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szCs w:val="24"/>
        </w:rPr>
        <w:t>动态更新：所有表格都应作为动态管理工具，整改进度应定期更新。</w:t>
      </w:r>
    </w:p>
    <w:p w14:paraId="436E8F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4"/>
          <w:szCs w:val="24"/>
        </w:rPr>
        <w:t>数字化填报：建议将此套表格电子化，通过市数据局“一表通”等平台进行在线填报和汇总，提高效率。</w:t>
      </w:r>
    </w:p>
    <w:p w14:paraId="0E9A3388">
      <w:pPr>
        <w:pStyle w:val="6"/>
        <w:keepNext w:val="0"/>
        <w:keepLines w:val="0"/>
        <w:widowControl/>
        <w:suppressLineNumbers w:val="0"/>
        <w:rPr>
          <w:rStyle w:val="9"/>
        </w:rPr>
      </w:pPr>
    </w:p>
    <w:p w14:paraId="4D6BACD2">
      <w:pPr>
        <w:pStyle w:val="6"/>
        <w:keepNext w:val="0"/>
        <w:keepLines w:val="0"/>
        <w:widowControl/>
        <w:suppressLineNumbers w:val="0"/>
        <w:rPr>
          <w:rStyle w:val="9"/>
        </w:rPr>
      </w:pPr>
    </w:p>
    <w:p w14:paraId="287E541B">
      <w:pPr>
        <w:pStyle w:val="6"/>
        <w:keepNext w:val="0"/>
        <w:keepLines w:val="0"/>
        <w:widowControl/>
        <w:suppressLineNumbers w:val="0"/>
        <w:rPr>
          <w:rStyle w:val="9"/>
        </w:rPr>
      </w:pPr>
    </w:p>
    <w:p w14:paraId="4D9E14E8">
      <w:pPr>
        <w:pStyle w:val="6"/>
        <w:keepNext w:val="0"/>
        <w:keepLines w:val="0"/>
        <w:widowControl/>
        <w:suppressLineNumbers w:val="0"/>
        <w:rPr>
          <w:rStyle w:val="9"/>
        </w:rPr>
      </w:pPr>
    </w:p>
    <w:p w14:paraId="4CDB3A34">
      <w:pPr>
        <w:pStyle w:val="6"/>
        <w:keepNext w:val="0"/>
        <w:keepLines w:val="0"/>
        <w:widowControl/>
        <w:suppressLineNumbers w:val="0"/>
        <w:rPr>
          <w:rStyle w:val="9"/>
        </w:rPr>
      </w:pPr>
    </w:p>
    <w:p w14:paraId="5052E3E4">
      <w:pPr>
        <w:pStyle w:val="6"/>
        <w:keepNext w:val="0"/>
        <w:keepLines w:val="0"/>
        <w:widowControl/>
        <w:suppressLineNumbers w:val="0"/>
        <w:rPr>
          <w:rStyle w:val="9"/>
        </w:rPr>
      </w:pPr>
    </w:p>
    <w:p w14:paraId="3EB28527">
      <w:pPr>
        <w:pStyle w:val="6"/>
        <w:keepNext w:val="0"/>
        <w:keepLines w:val="0"/>
        <w:widowControl/>
        <w:suppressLineNumbers w:val="0"/>
        <w:rPr>
          <w:rStyle w:val="9"/>
        </w:rPr>
      </w:pPr>
    </w:p>
    <w:p w14:paraId="4A8039EC">
      <w:pPr>
        <w:pStyle w:val="6"/>
        <w:keepNext w:val="0"/>
        <w:keepLines w:val="0"/>
        <w:widowControl/>
        <w:suppressLineNumbers w:val="0"/>
        <w:rPr>
          <w:rStyle w:val="9"/>
        </w:rPr>
      </w:pPr>
    </w:p>
    <w:p w14:paraId="325DE381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Style w:val="9"/>
          <w:rFonts w:hint="default" w:ascii="Times New Roman" w:hAnsi="Times New Roman" w:eastAsia="方正小标宋简体" w:cs="Times New Roman"/>
          <w:b w:val="0"/>
          <w:bCs/>
          <w:sz w:val="40"/>
          <w:szCs w:val="40"/>
        </w:rPr>
      </w:pPr>
      <w:r>
        <w:rPr>
          <w:rStyle w:val="9"/>
          <w:rFonts w:hint="default" w:ascii="Times New Roman" w:hAnsi="Times New Roman" w:eastAsia="方正小标宋简体" w:cs="Times New Roman"/>
          <w:b w:val="0"/>
          <w:bCs/>
          <w:sz w:val="40"/>
          <w:szCs w:val="40"/>
        </w:rPr>
        <w:t>冬春火灾除患攻坚“百日行动”工作数据统计表（月度）</w:t>
      </w:r>
    </w:p>
    <w:p w14:paraId="65AF325E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Style w:val="9"/>
          <w:rFonts w:hint="default" w:ascii="Times New Roman" w:hAnsi="Times New Roman" w:eastAsia="方正小标宋简体" w:cs="Times New Roman"/>
          <w:b w:val="0"/>
          <w:bCs/>
          <w:sz w:val="40"/>
          <w:szCs w:val="40"/>
        </w:rPr>
      </w:pPr>
    </w:p>
    <w:p w14:paraId="57489AE7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填报单位：</w:t>
      </w:r>
    </w:p>
    <w:p w14:paraId="20296D79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统计周期：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 xml:space="preserve">​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 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年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月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 xml:space="preserve">日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 xml:space="preserve">至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 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年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月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日</w:t>
      </w:r>
    </w:p>
    <w:p w14:paraId="42BE7838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填报人：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                    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​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              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填报日期：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​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 xml:space="preserve"> 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年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月</w:t>
      </w:r>
      <w:r>
        <w:rPr>
          <w:rStyle w:val="9"/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日</w:t>
      </w:r>
    </w:p>
    <w:tbl>
      <w:tblPr>
        <w:tblStyle w:val="7"/>
        <w:tblW w:w="14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75"/>
        <w:gridCol w:w="2903"/>
        <w:gridCol w:w="3277"/>
        <w:gridCol w:w="1140"/>
        <w:gridCol w:w="1418"/>
        <w:gridCol w:w="3202"/>
      </w:tblGrid>
      <w:tr w14:paraId="7B53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2775" w:type="dxa"/>
            <w:noWrap w:val="0"/>
            <w:vAlign w:val="center"/>
          </w:tcPr>
          <w:p w14:paraId="0D8CE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903" w:type="dxa"/>
            <w:noWrap w:val="0"/>
            <w:vAlign w:val="center"/>
          </w:tcPr>
          <w:p w14:paraId="7C34D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统计项目</w:t>
            </w:r>
          </w:p>
        </w:tc>
        <w:tc>
          <w:tcPr>
            <w:tcW w:w="3277" w:type="dxa"/>
            <w:noWrap w:val="0"/>
            <w:vAlign w:val="center"/>
          </w:tcPr>
          <w:p w14:paraId="63C40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40" w:type="dxa"/>
            <w:noWrap w:val="0"/>
            <w:vAlign w:val="center"/>
          </w:tcPr>
          <w:p w14:paraId="595A9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本月数据</w:t>
            </w:r>
          </w:p>
        </w:tc>
        <w:tc>
          <w:tcPr>
            <w:tcW w:w="1418" w:type="dxa"/>
            <w:noWrap w:val="0"/>
            <w:vAlign w:val="center"/>
          </w:tcPr>
          <w:p w14:paraId="5EE7F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累计数据</w:t>
            </w:r>
          </w:p>
        </w:tc>
        <w:tc>
          <w:tcPr>
            <w:tcW w:w="3202" w:type="dxa"/>
            <w:noWrap w:val="0"/>
            <w:vAlign w:val="center"/>
          </w:tcPr>
          <w:p w14:paraId="536B5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备注/重点情况说明</w:t>
            </w:r>
          </w:p>
        </w:tc>
      </w:tr>
      <w:tr w14:paraId="5F0DC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restart"/>
            <w:noWrap w:val="0"/>
            <w:vAlign w:val="center"/>
          </w:tcPr>
          <w:p w14:paraId="010868B4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right="0" w:rightChars="0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一、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组织部署与宣传培训</w:t>
            </w:r>
          </w:p>
        </w:tc>
        <w:tc>
          <w:tcPr>
            <w:tcW w:w="2903" w:type="dxa"/>
            <w:noWrap w:val="0"/>
            <w:vAlign w:val="center"/>
          </w:tcPr>
          <w:p w14:paraId="618710B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召开部署/推进会议</w:t>
            </w:r>
          </w:p>
        </w:tc>
        <w:tc>
          <w:tcPr>
            <w:tcW w:w="3277" w:type="dxa"/>
            <w:noWrap w:val="0"/>
            <w:vAlign w:val="center"/>
          </w:tcPr>
          <w:p w14:paraId="282FC0A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40" w:type="dxa"/>
            <w:noWrap w:val="0"/>
            <w:vAlign w:val="center"/>
          </w:tcPr>
          <w:p w14:paraId="441AE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78F3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7C1CF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41A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1886A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48391DE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制定/印发实施方案</w:t>
            </w:r>
          </w:p>
        </w:tc>
        <w:tc>
          <w:tcPr>
            <w:tcW w:w="3277" w:type="dxa"/>
            <w:noWrap w:val="0"/>
            <w:vAlign w:val="center"/>
          </w:tcPr>
          <w:p w14:paraId="3BED2D8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noWrap w:val="0"/>
            <w:vAlign w:val="center"/>
          </w:tcPr>
          <w:p w14:paraId="33A31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08EE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6E57E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8B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0F67F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208B48A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开展各类宣传活动</w:t>
            </w:r>
          </w:p>
        </w:tc>
        <w:tc>
          <w:tcPr>
            <w:tcW w:w="3277" w:type="dxa"/>
            <w:noWrap w:val="0"/>
            <w:vAlign w:val="center"/>
          </w:tcPr>
          <w:p w14:paraId="7F93D8C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场次</w:t>
            </w:r>
          </w:p>
        </w:tc>
        <w:tc>
          <w:tcPr>
            <w:tcW w:w="1140" w:type="dxa"/>
            <w:noWrap w:val="0"/>
            <w:vAlign w:val="center"/>
          </w:tcPr>
          <w:p w14:paraId="05E0B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DFC2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D7D938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含线上直播、社区宣传等</w:t>
            </w:r>
          </w:p>
        </w:tc>
      </w:tr>
      <w:tr w14:paraId="52EE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788B5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5DC9EA8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发放宣传资料</w:t>
            </w:r>
          </w:p>
        </w:tc>
        <w:tc>
          <w:tcPr>
            <w:tcW w:w="3277" w:type="dxa"/>
            <w:noWrap w:val="0"/>
            <w:vAlign w:val="center"/>
          </w:tcPr>
          <w:p w14:paraId="27AFFEF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140" w:type="dxa"/>
            <w:noWrap w:val="0"/>
            <w:vAlign w:val="center"/>
          </w:tcPr>
          <w:p w14:paraId="7BB71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5B9E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4D94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5B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220A9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1C278ED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组织各类培训</w:t>
            </w:r>
          </w:p>
          <w:p w14:paraId="1437D43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（“明白人”培训）</w:t>
            </w:r>
          </w:p>
        </w:tc>
        <w:tc>
          <w:tcPr>
            <w:tcW w:w="3277" w:type="dxa"/>
            <w:noWrap w:val="0"/>
            <w:vAlign w:val="center"/>
          </w:tcPr>
          <w:p w14:paraId="316BB0F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场次</w:t>
            </w:r>
          </w:p>
        </w:tc>
        <w:tc>
          <w:tcPr>
            <w:tcW w:w="1140" w:type="dxa"/>
            <w:noWrap w:val="0"/>
            <w:vAlign w:val="center"/>
          </w:tcPr>
          <w:p w14:paraId="1FBC8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3C35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15112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56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73B18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00B8D94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培训人员数量</w:t>
            </w:r>
          </w:p>
        </w:tc>
        <w:tc>
          <w:tcPr>
            <w:tcW w:w="3277" w:type="dxa"/>
            <w:noWrap w:val="0"/>
            <w:vAlign w:val="center"/>
          </w:tcPr>
          <w:p w14:paraId="28BF8F7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人次</w:t>
            </w:r>
          </w:p>
        </w:tc>
        <w:tc>
          <w:tcPr>
            <w:tcW w:w="1140" w:type="dxa"/>
            <w:noWrap w:val="0"/>
            <w:vAlign w:val="center"/>
          </w:tcPr>
          <w:p w14:paraId="58341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5661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5A1B4E2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含物业人员、网格员、</w:t>
            </w:r>
          </w:p>
          <w:p w14:paraId="14BE963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企业员工等</w:t>
            </w:r>
          </w:p>
        </w:tc>
      </w:tr>
      <w:tr w14:paraId="3BAFF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restart"/>
            <w:noWrap w:val="0"/>
            <w:vAlign w:val="center"/>
          </w:tcPr>
          <w:p w14:paraId="742D6F96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right="0" w:rightChars="0" w:firstLine="0" w:firstLineChars="0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二、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排查整治与隐患治理</w:t>
            </w:r>
          </w:p>
        </w:tc>
        <w:tc>
          <w:tcPr>
            <w:tcW w:w="2903" w:type="dxa"/>
            <w:noWrap w:val="0"/>
            <w:vAlign w:val="center"/>
          </w:tcPr>
          <w:p w14:paraId="3BF9FCE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检查单位/场所总数</w:t>
            </w:r>
          </w:p>
        </w:tc>
        <w:tc>
          <w:tcPr>
            <w:tcW w:w="3277" w:type="dxa"/>
            <w:noWrap w:val="0"/>
            <w:vAlign w:val="center"/>
          </w:tcPr>
          <w:p w14:paraId="454C7D9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家次</w:t>
            </w:r>
          </w:p>
        </w:tc>
        <w:tc>
          <w:tcPr>
            <w:tcW w:w="1140" w:type="dxa"/>
            <w:noWrap w:val="0"/>
            <w:vAlign w:val="center"/>
          </w:tcPr>
          <w:p w14:paraId="4D0B2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5287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0659A4D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核心指标</w:t>
            </w:r>
          </w:p>
        </w:tc>
      </w:tr>
      <w:tr w14:paraId="5C2E7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11EC8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4BA6CCF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发现一般火灾隐患</w:t>
            </w:r>
          </w:p>
        </w:tc>
        <w:tc>
          <w:tcPr>
            <w:tcW w:w="3277" w:type="dxa"/>
            <w:noWrap w:val="0"/>
            <w:vAlign w:val="center"/>
          </w:tcPr>
          <w:p w14:paraId="62658A7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noWrap w:val="0"/>
            <w:vAlign w:val="center"/>
          </w:tcPr>
          <w:p w14:paraId="25070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DEE4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87EA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A9C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017BA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69CA569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整改一般火灾隐患</w:t>
            </w:r>
          </w:p>
        </w:tc>
        <w:tc>
          <w:tcPr>
            <w:tcW w:w="3277" w:type="dxa"/>
            <w:noWrap w:val="0"/>
            <w:vAlign w:val="center"/>
          </w:tcPr>
          <w:p w14:paraId="53E3B3D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noWrap w:val="0"/>
            <w:vAlign w:val="center"/>
          </w:tcPr>
          <w:p w14:paraId="58FFE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DE1F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5F920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0A1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41455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0AB858D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发现重大火灾隐患</w:t>
            </w:r>
          </w:p>
        </w:tc>
        <w:tc>
          <w:tcPr>
            <w:tcW w:w="3277" w:type="dxa"/>
            <w:noWrap w:val="0"/>
            <w:vAlign w:val="center"/>
          </w:tcPr>
          <w:p w14:paraId="7A9913A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noWrap w:val="0"/>
            <w:vAlign w:val="center"/>
          </w:tcPr>
          <w:p w14:paraId="6A29A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9167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335F8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BC4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restart"/>
            <w:noWrap w:val="0"/>
            <w:vAlign w:val="center"/>
          </w:tcPr>
          <w:p w14:paraId="20C71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二、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排查整治与隐患治理</w:t>
            </w:r>
          </w:p>
        </w:tc>
        <w:tc>
          <w:tcPr>
            <w:tcW w:w="2903" w:type="dxa"/>
            <w:noWrap w:val="0"/>
            <w:vAlign w:val="center"/>
          </w:tcPr>
          <w:p w14:paraId="723298B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整改重大火灾隐患</w:t>
            </w:r>
          </w:p>
        </w:tc>
        <w:tc>
          <w:tcPr>
            <w:tcW w:w="3277" w:type="dxa"/>
            <w:noWrap w:val="0"/>
            <w:vAlign w:val="center"/>
          </w:tcPr>
          <w:p w14:paraId="7EFAD22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140" w:type="dxa"/>
            <w:noWrap w:val="0"/>
            <w:vAlign w:val="center"/>
          </w:tcPr>
          <w:p w14:paraId="288D2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A1B8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12BE8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E7B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323CA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3971399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下发责令整改通知书</w:t>
            </w:r>
          </w:p>
        </w:tc>
        <w:tc>
          <w:tcPr>
            <w:tcW w:w="3277" w:type="dxa"/>
            <w:noWrap w:val="0"/>
            <w:vAlign w:val="center"/>
          </w:tcPr>
          <w:p w14:paraId="69455F3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140" w:type="dxa"/>
            <w:noWrap w:val="0"/>
            <w:vAlign w:val="center"/>
          </w:tcPr>
          <w:p w14:paraId="653D8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506D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5A6EC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9BA9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138D7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022C6C1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实施临时查封</w:t>
            </w:r>
          </w:p>
        </w:tc>
        <w:tc>
          <w:tcPr>
            <w:tcW w:w="3277" w:type="dxa"/>
            <w:noWrap w:val="0"/>
            <w:vAlign w:val="center"/>
          </w:tcPr>
          <w:p w14:paraId="5B83D88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1140" w:type="dxa"/>
            <w:noWrap w:val="0"/>
            <w:vAlign w:val="center"/>
          </w:tcPr>
          <w:p w14:paraId="46CD4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1B28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30A7B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C64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69DD5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4B6F772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责令“三停”（停产、停业、停止使用）</w:t>
            </w:r>
          </w:p>
        </w:tc>
        <w:tc>
          <w:tcPr>
            <w:tcW w:w="3277" w:type="dxa"/>
            <w:noWrap w:val="0"/>
            <w:vAlign w:val="center"/>
          </w:tcPr>
          <w:p w14:paraId="3C86957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</w:p>
        </w:tc>
        <w:tc>
          <w:tcPr>
            <w:tcW w:w="1140" w:type="dxa"/>
            <w:noWrap w:val="0"/>
            <w:vAlign w:val="center"/>
          </w:tcPr>
          <w:p w14:paraId="74F97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2302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6D96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99F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03504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0D2CAFC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挂牌督办重大火灾隐患单位</w:t>
            </w:r>
          </w:p>
        </w:tc>
        <w:tc>
          <w:tcPr>
            <w:tcW w:w="3277" w:type="dxa"/>
            <w:noWrap w:val="0"/>
            <w:vAlign w:val="center"/>
          </w:tcPr>
          <w:p w14:paraId="6FB082B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</w:p>
        </w:tc>
        <w:tc>
          <w:tcPr>
            <w:tcW w:w="1140" w:type="dxa"/>
            <w:noWrap w:val="0"/>
            <w:vAlign w:val="center"/>
          </w:tcPr>
          <w:p w14:paraId="55A2B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B519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1E3047E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列出重点单位名称（如：凯旋中央小区）</w:t>
            </w:r>
          </w:p>
        </w:tc>
      </w:tr>
      <w:tr w14:paraId="53106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2775" w:type="dxa"/>
            <w:vMerge w:val="restart"/>
            <w:noWrap w:val="0"/>
            <w:vAlign w:val="center"/>
          </w:tcPr>
          <w:p w14:paraId="5AF8644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三、重点领域行动成效</w:t>
            </w:r>
          </w:p>
        </w:tc>
        <w:tc>
          <w:tcPr>
            <w:tcW w:w="2903" w:type="dxa"/>
            <w:vMerge w:val="restart"/>
            <w:noWrap w:val="0"/>
            <w:vAlign w:val="center"/>
          </w:tcPr>
          <w:p w14:paraId="15B3157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“消防进家”行动</w:t>
            </w:r>
          </w:p>
        </w:tc>
        <w:tc>
          <w:tcPr>
            <w:tcW w:w="3277" w:type="dxa"/>
            <w:noWrap w:val="0"/>
            <w:vAlign w:val="center"/>
          </w:tcPr>
          <w:p w14:paraId="69C5B06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检查住宅小区</w:t>
            </w:r>
          </w:p>
        </w:tc>
        <w:tc>
          <w:tcPr>
            <w:tcW w:w="1140" w:type="dxa"/>
            <w:noWrap w:val="0"/>
            <w:vAlign w:val="center"/>
          </w:tcPr>
          <w:p w14:paraId="3A54A83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noWrap w:val="0"/>
            <w:vAlign w:val="center"/>
          </w:tcPr>
          <w:p w14:paraId="2F1AE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AC7B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828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42934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continue"/>
            <w:noWrap w:val="0"/>
            <w:vAlign w:val="center"/>
          </w:tcPr>
          <w:p w14:paraId="23BF0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7" w:type="dxa"/>
            <w:noWrap w:val="0"/>
            <w:vAlign w:val="center"/>
          </w:tcPr>
          <w:p w14:paraId="786C9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清理疏散通道、安全出口</w:t>
            </w:r>
          </w:p>
        </w:tc>
        <w:tc>
          <w:tcPr>
            <w:tcW w:w="1140" w:type="dxa"/>
            <w:noWrap w:val="0"/>
            <w:vAlign w:val="center"/>
          </w:tcPr>
          <w:p w14:paraId="75126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1418" w:type="dxa"/>
            <w:noWrap w:val="0"/>
            <w:vAlign w:val="center"/>
          </w:tcPr>
          <w:p w14:paraId="62584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07BFF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378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25E53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continue"/>
            <w:noWrap w:val="0"/>
            <w:vAlign w:val="center"/>
          </w:tcPr>
          <w:p w14:paraId="6E3DD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7" w:type="dxa"/>
            <w:noWrap w:val="0"/>
            <w:vAlign w:val="center"/>
          </w:tcPr>
          <w:p w14:paraId="76429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清理违规停放充电电动自行车</w:t>
            </w:r>
          </w:p>
        </w:tc>
        <w:tc>
          <w:tcPr>
            <w:tcW w:w="1140" w:type="dxa"/>
            <w:noWrap w:val="0"/>
            <w:vAlign w:val="center"/>
          </w:tcPr>
          <w:p w14:paraId="16307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辆</w:t>
            </w:r>
          </w:p>
        </w:tc>
        <w:tc>
          <w:tcPr>
            <w:tcW w:w="1418" w:type="dxa"/>
            <w:noWrap w:val="0"/>
            <w:vAlign w:val="center"/>
          </w:tcPr>
          <w:p w14:paraId="1645E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058FF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53D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3632C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restart"/>
            <w:noWrap w:val="0"/>
            <w:vAlign w:val="center"/>
          </w:tcPr>
          <w:p w14:paraId="1D6A4C5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“九小场所”整治</w:t>
            </w:r>
          </w:p>
        </w:tc>
        <w:tc>
          <w:tcPr>
            <w:tcW w:w="3277" w:type="dxa"/>
            <w:noWrap w:val="0"/>
            <w:vAlign w:val="center"/>
          </w:tcPr>
          <w:p w14:paraId="614AD31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检查“九小场所”</w:t>
            </w:r>
          </w:p>
        </w:tc>
        <w:tc>
          <w:tcPr>
            <w:tcW w:w="1140" w:type="dxa"/>
            <w:noWrap w:val="0"/>
            <w:vAlign w:val="center"/>
          </w:tcPr>
          <w:p w14:paraId="759B8AB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家次</w:t>
            </w:r>
          </w:p>
        </w:tc>
        <w:tc>
          <w:tcPr>
            <w:tcW w:w="1418" w:type="dxa"/>
            <w:noWrap w:val="0"/>
            <w:vAlign w:val="center"/>
          </w:tcPr>
          <w:p w14:paraId="3834D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59F9A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761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081BA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continue"/>
            <w:noWrap w:val="0"/>
            <w:vAlign w:val="center"/>
          </w:tcPr>
          <w:p w14:paraId="05996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7" w:type="dxa"/>
            <w:noWrap w:val="0"/>
            <w:vAlign w:val="center"/>
          </w:tcPr>
          <w:p w14:paraId="6C54A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拆除影响疏散的防盗窗/广告牌</w:t>
            </w:r>
          </w:p>
        </w:tc>
        <w:tc>
          <w:tcPr>
            <w:tcW w:w="1140" w:type="dxa"/>
            <w:noWrap w:val="0"/>
            <w:vAlign w:val="center"/>
          </w:tcPr>
          <w:p w14:paraId="150AE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1418" w:type="dxa"/>
            <w:noWrap w:val="0"/>
            <w:vAlign w:val="center"/>
          </w:tcPr>
          <w:p w14:paraId="0E27A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7F3ED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63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5BA1E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continue"/>
            <w:noWrap w:val="0"/>
            <w:vAlign w:val="center"/>
          </w:tcPr>
          <w:p w14:paraId="0A884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7" w:type="dxa"/>
            <w:noWrap w:val="0"/>
            <w:vAlign w:val="center"/>
          </w:tcPr>
          <w:p w14:paraId="5C46C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整治违规住人问题</w:t>
            </w:r>
          </w:p>
        </w:tc>
        <w:tc>
          <w:tcPr>
            <w:tcW w:w="1140" w:type="dxa"/>
            <w:noWrap w:val="0"/>
            <w:vAlign w:val="center"/>
          </w:tcPr>
          <w:p w14:paraId="6EF17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1418" w:type="dxa"/>
            <w:noWrap w:val="0"/>
            <w:vAlign w:val="center"/>
          </w:tcPr>
          <w:p w14:paraId="02705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9F77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E64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2C9B3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restart"/>
            <w:noWrap w:val="0"/>
            <w:vAlign w:val="center"/>
          </w:tcPr>
          <w:p w14:paraId="2C2A427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电动自行车整治</w:t>
            </w:r>
          </w:p>
        </w:tc>
        <w:tc>
          <w:tcPr>
            <w:tcW w:w="3277" w:type="dxa"/>
            <w:noWrap w:val="0"/>
            <w:vAlign w:val="center"/>
          </w:tcPr>
          <w:p w14:paraId="2F3AC3C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查处非法改装、销售点</w:t>
            </w:r>
          </w:p>
        </w:tc>
        <w:tc>
          <w:tcPr>
            <w:tcW w:w="1140" w:type="dxa"/>
            <w:noWrap w:val="0"/>
            <w:vAlign w:val="center"/>
          </w:tcPr>
          <w:p w14:paraId="4296BD9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noWrap w:val="0"/>
            <w:vAlign w:val="center"/>
          </w:tcPr>
          <w:p w14:paraId="5F171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3773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EC3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3386B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continue"/>
            <w:noWrap w:val="0"/>
            <w:vAlign w:val="center"/>
          </w:tcPr>
          <w:p w14:paraId="3B75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7" w:type="dxa"/>
            <w:noWrap w:val="0"/>
            <w:vAlign w:val="center"/>
          </w:tcPr>
          <w:p w14:paraId="1CA24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劝导制止“飞线充电”</w:t>
            </w:r>
          </w:p>
        </w:tc>
        <w:tc>
          <w:tcPr>
            <w:tcW w:w="1140" w:type="dxa"/>
            <w:noWrap w:val="0"/>
            <w:vAlign w:val="center"/>
          </w:tcPr>
          <w:p w14:paraId="4A4AD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</w:t>
            </w:r>
          </w:p>
        </w:tc>
        <w:tc>
          <w:tcPr>
            <w:tcW w:w="1418" w:type="dxa"/>
            <w:noWrap w:val="0"/>
            <w:vAlign w:val="center"/>
          </w:tcPr>
          <w:p w14:paraId="02642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65E86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BF2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76567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restart"/>
            <w:noWrap w:val="0"/>
            <w:vAlign w:val="center"/>
          </w:tcPr>
          <w:p w14:paraId="291E8F1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动火作业整治</w:t>
            </w:r>
          </w:p>
        </w:tc>
        <w:tc>
          <w:tcPr>
            <w:tcW w:w="3277" w:type="dxa"/>
            <w:noWrap w:val="0"/>
            <w:vAlign w:val="center"/>
          </w:tcPr>
          <w:p w14:paraId="3F646B8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检查动火作业现场</w:t>
            </w:r>
          </w:p>
        </w:tc>
        <w:tc>
          <w:tcPr>
            <w:tcW w:w="1140" w:type="dxa"/>
            <w:noWrap w:val="0"/>
            <w:vAlign w:val="center"/>
          </w:tcPr>
          <w:p w14:paraId="10391FE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1418" w:type="dxa"/>
            <w:noWrap w:val="0"/>
            <w:vAlign w:val="center"/>
          </w:tcPr>
          <w:p w14:paraId="0F3F5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4DC4B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AD8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75D50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continue"/>
            <w:noWrap w:val="0"/>
            <w:vAlign w:val="center"/>
          </w:tcPr>
          <w:p w14:paraId="54045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7" w:type="dxa"/>
            <w:noWrap w:val="0"/>
            <w:vAlign w:val="center"/>
          </w:tcPr>
          <w:p w14:paraId="5337B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查处违规动火作业</w:t>
            </w:r>
          </w:p>
        </w:tc>
        <w:tc>
          <w:tcPr>
            <w:tcW w:w="1140" w:type="dxa"/>
            <w:noWrap w:val="0"/>
            <w:vAlign w:val="center"/>
          </w:tcPr>
          <w:p w14:paraId="716E5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</w:t>
            </w:r>
          </w:p>
        </w:tc>
        <w:tc>
          <w:tcPr>
            <w:tcW w:w="1418" w:type="dxa"/>
            <w:noWrap w:val="0"/>
            <w:vAlign w:val="center"/>
          </w:tcPr>
          <w:p w14:paraId="7199F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4FFB1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24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775" w:type="dxa"/>
            <w:vMerge w:val="restart"/>
            <w:noWrap w:val="0"/>
            <w:vAlign w:val="center"/>
          </w:tcPr>
          <w:p w14:paraId="17E45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三、重点领域行动成效</w:t>
            </w:r>
          </w:p>
        </w:tc>
        <w:tc>
          <w:tcPr>
            <w:tcW w:w="2903" w:type="dxa"/>
            <w:vMerge w:val="restart"/>
            <w:noWrap w:val="0"/>
            <w:vAlign w:val="center"/>
          </w:tcPr>
          <w:p w14:paraId="51DF5CD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生命通道清障</w:t>
            </w:r>
          </w:p>
        </w:tc>
        <w:tc>
          <w:tcPr>
            <w:tcW w:w="3277" w:type="dxa"/>
            <w:noWrap w:val="0"/>
            <w:vAlign w:val="center"/>
          </w:tcPr>
          <w:p w14:paraId="769375B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清理占用消防车通道</w:t>
            </w:r>
          </w:p>
        </w:tc>
        <w:tc>
          <w:tcPr>
            <w:tcW w:w="1140" w:type="dxa"/>
            <w:noWrap w:val="0"/>
            <w:vAlign w:val="center"/>
          </w:tcPr>
          <w:p w14:paraId="46272DC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1418" w:type="dxa"/>
            <w:noWrap w:val="0"/>
            <w:vAlign w:val="center"/>
          </w:tcPr>
          <w:p w14:paraId="62780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5EBF7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E4A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4DF80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continue"/>
            <w:noWrap w:val="0"/>
            <w:vAlign w:val="center"/>
          </w:tcPr>
          <w:p w14:paraId="7CDE2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7" w:type="dxa"/>
            <w:noWrap w:val="0"/>
            <w:vAlign w:val="center"/>
          </w:tcPr>
          <w:p w14:paraId="1F41A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划线、标识化管理消防车通道</w:t>
            </w:r>
          </w:p>
        </w:tc>
        <w:tc>
          <w:tcPr>
            <w:tcW w:w="1140" w:type="dxa"/>
            <w:noWrap w:val="0"/>
            <w:vAlign w:val="center"/>
          </w:tcPr>
          <w:p w14:paraId="08B25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1418" w:type="dxa"/>
            <w:noWrap w:val="0"/>
            <w:vAlign w:val="center"/>
          </w:tcPr>
          <w:p w14:paraId="4E42C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8169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FD9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66DA0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restart"/>
            <w:noWrap w:val="0"/>
            <w:vAlign w:val="center"/>
          </w:tcPr>
          <w:p w14:paraId="1537669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特殊群体关爱</w:t>
            </w:r>
          </w:p>
        </w:tc>
        <w:tc>
          <w:tcPr>
            <w:tcW w:w="3277" w:type="dxa"/>
            <w:noWrap w:val="0"/>
            <w:vAlign w:val="center"/>
          </w:tcPr>
          <w:p w14:paraId="230CEE7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走访独居老人、留守儿童等家庭</w:t>
            </w:r>
          </w:p>
        </w:tc>
        <w:tc>
          <w:tcPr>
            <w:tcW w:w="1140" w:type="dxa"/>
            <w:noWrap w:val="0"/>
            <w:vAlign w:val="center"/>
          </w:tcPr>
          <w:p w14:paraId="0525180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</w:t>
            </w:r>
          </w:p>
        </w:tc>
        <w:tc>
          <w:tcPr>
            <w:tcW w:w="1418" w:type="dxa"/>
            <w:noWrap w:val="0"/>
            <w:vAlign w:val="center"/>
          </w:tcPr>
          <w:p w14:paraId="4D8AE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1889E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6A0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68E5C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03" w:type="dxa"/>
            <w:vMerge w:val="continue"/>
            <w:noWrap w:val="0"/>
            <w:vAlign w:val="center"/>
          </w:tcPr>
          <w:p w14:paraId="0D9C5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7" w:type="dxa"/>
            <w:noWrap w:val="0"/>
            <w:vAlign w:val="center"/>
          </w:tcPr>
          <w:p w14:paraId="0F789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安装独立感烟报警器等</w:t>
            </w:r>
          </w:p>
          <w:p w14:paraId="40317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简易消防器材</w:t>
            </w:r>
          </w:p>
        </w:tc>
        <w:tc>
          <w:tcPr>
            <w:tcW w:w="1140" w:type="dxa"/>
            <w:noWrap w:val="0"/>
            <w:vAlign w:val="center"/>
          </w:tcPr>
          <w:p w14:paraId="5EDAE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noWrap w:val="0"/>
            <w:vAlign w:val="center"/>
          </w:tcPr>
          <w:p w14:paraId="2AF66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0B4BA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1A9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restart"/>
            <w:noWrap w:val="0"/>
            <w:vAlign w:val="center"/>
          </w:tcPr>
          <w:p w14:paraId="5FD83B1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四、执法与问责情况</w:t>
            </w:r>
          </w:p>
        </w:tc>
        <w:tc>
          <w:tcPr>
            <w:tcW w:w="2903" w:type="dxa"/>
            <w:noWrap w:val="0"/>
            <w:vAlign w:val="center"/>
          </w:tcPr>
          <w:p w14:paraId="73D46D5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行政处罚起数</w:t>
            </w:r>
          </w:p>
        </w:tc>
        <w:tc>
          <w:tcPr>
            <w:tcW w:w="3277" w:type="dxa"/>
            <w:noWrap w:val="0"/>
            <w:vAlign w:val="center"/>
          </w:tcPr>
          <w:p w14:paraId="6AFA0FD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</w:t>
            </w:r>
          </w:p>
        </w:tc>
        <w:tc>
          <w:tcPr>
            <w:tcW w:w="1140" w:type="dxa"/>
            <w:noWrap w:val="0"/>
            <w:vAlign w:val="center"/>
          </w:tcPr>
          <w:p w14:paraId="5AF16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4F37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1F9C6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214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76D9D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0B74A6C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行政处罚金额</w:t>
            </w:r>
          </w:p>
        </w:tc>
        <w:tc>
          <w:tcPr>
            <w:tcW w:w="3277" w:type="dxa"/>
            <w:noWrap w:val="0"/>
            <w:vAlign w:val="center"/>
          </w:tcPr>
          <w:p w14:paraId="5C5D98A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</w:t>
            </w:r>
          </w:p>
        </w:tc>
        <w:tc>
          <w:tcPr>
            <w:tcW w:w="1140" w:type="dxa"/>
            <w:noWrap w:val="0"/>
            <w:vAlign w:val="center"/>
          </w:tcPr>
          <w:p w14:paraId="35143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5F18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0FAF4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41D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42716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45F024A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</w:t>
            </w:r>
          </w:p>
        </w:tc>
        <w:tc>
          <w:tcPr>
            <w:tcW w:w="3277" w:type="dxa"/>
            <w:noWrap w:val="0"/>
            <w:vAlign w:val="center"/>
          </w:tcPr>
          <w:p w14:paraId="2DE64DD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 w14:paraId="7C1C4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C243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35D6F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A4C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0A295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08096DD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工作约谈单位</w:t>
            </w:r>
          </w:p>
        </w:tc>
        <w:tc>
          <w:tcPr>
            <w:tcW w:w="3277" w:type="dxa"/>
            <w:noWrap w:val="0"/>
            <w:vAlign w:val="center"/>
          </w:tcPr>
          <w:p w14:paraId="2F25A83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</w:p>
        </w:tc>
        <w:tc>
          <w:tcPr>
            <w:tcW w:w="1140" w:type="dxa"/>
            <w:noWrap w:val="0"/>
            <w:vAlign w:val="center"/>
          </w:tcPr>
          <w:p w14:paraId="62D01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D449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17B9E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08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0599E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060CD54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通报批评单位</w:t>
            </w:r>
          </w:p>
        </w:tc>
        <w:tc>
          <w:tcPr>
            <w:tcW w:w="3277" w:type="dxa"/>
            <w:noWrap w:val="0"/>
            <w:vAlign w:val="center"/>
          </w:tcPr>
          <w:p w14:paraId="1E9C075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</w:p>
        </w:tc>
        <w:tc>
          <w:tcPr>
            <w:tcW w:w="1140" w:type="dxa"/>
            <w:noWrap w:val="0"/>
            <w:vAlign w:val="center"/>
          </w:tcPr>
          <w:p w14:paraId="5D2E1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EB1F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412CA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FD8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548E5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2EE3C85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问责处理人员</w:t>
            </w:r>
          </w:p>
        </w:tc>
        <w:tc>
          <w:tcPr>
            <w:tcW w:w="3277" w:type="dxa"/>
            <w:noWrap w:val="0"/>
            <w:vAlign w:val="center"/>
          </w:tcPr>
          <w:p w14:paraId="1A8E84F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 w14:paraId="1AE3B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4509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68FE6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92F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restart"/>
            <w:noWrap w:val="0"/>
            <w:vAlign w:val="center"/>
          </w:tcPr>
          <w:p w14:paraId="16420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五、应急准备与演练</w:t>
            </w:r>
          </w:p>
        </w:tc>
        <w:tc>
          <w:tcPr>
            <w:tcW w:w="2903" w:type="dxa"/>
            <w:noWrap w:val="0"/>
            <w:vAlign w:val="center"/>
          </w:tcPr>
          <w:p w14:paraId="640F637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修订完善应急预案</w:t>
            </w:r>
          </w:p>
        </w:tc>
        <w:tc>
          <w:tcPr>
            <w:tcW w:w="3277" w:type="dxa"/>
            <w:noWrap w:val="0"/>
            <w:vAlign w:val="center"/>
          </w:tcPr>
          <w:p w14:paraId="6883C82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noWrap w:val="0"/>
            <w:vAlign w:val="center"/>
          </w:tcPr>
          <w:p w14:paraId="7AD5D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EAE1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2C828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AB9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6CBFE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1F82B4F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组织开展应急演练</w:t>
            </w:r>
          </w:p>
        </w:tc>
        <w:tc>
          <w:tcPr>
            <w:tcW w:w="3277" w:type="dxa"/>
            <w:noWrap w:val="0"/>
            <w:vAlign w:val="center"/>
          </w:tcPr>
          <w:p w14:paraId="0DD1D8C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40" w:type="dxa"/>
            <w:noWrap w:val="0"/>
            <w:vAlign w:val="center"/>
          </w:tcPr>
          <w:p w14:paraId="49E73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915A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4D408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A6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5D3D2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798DF29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参演人员数量</w:t>
            </w:r>
          </w:p>
        </w:tc>
        <w:tc>
          <w:tcPr>
            <w:tcW w:w="3277" w:type="dxa"/>
            <w:noWrap w:val="0"/>
            <w:vAlign w:val="center"/>
          </w:tcPr>
          <w:p w14:paraId="7F457B5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人次</w:t>
            </w:r>
          </w:p>
        </w:tc>
        <w:tc>
          <w:tcPr>
            <w:tcW w:w="1140" w:type="dxa"/>
            <w:noWrap w:val="0"/>
            <w:vAlign w:val="center"/>
          </w:tcPr>
          <w:p w14:paraId="1C6B8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F103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19E48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1C4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75" w:type="dxa"/>
            <w:vMerge w:val="continue"/>
            <w:noWrap w:val="0"/>
            <w:vAlign w:val="center"/>
          </w:tcPr>
          <w:p w14:paraId="1DDC8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noWrap w:val="0"/>
            <w:vAlign w:val="center"/>
          </w:tcPr>
          <w:p w14:paraId="230B7AD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前置备勤力量</w:t>
            </w:r>
          </w:p>
        </w:tc>
        <w:tc>
          <w:tcPr>
            <w:tcW w:w="3277" w:type="dxa"/>
            <w:noWrap w:val="0"/>
            <w:vAlign w:val="center"/>
          </w:tcPr>
          <w:p w14:paraId="087E66B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队次</w:t>
            </w:r>
          </w:p>
        </w:tc>
        <w:tc>
          <w:tcPr>
            <w:tcW w:w="1140" w:type="dxa"/>
            <w:noWrap w:val="0"/>
            <w:vAlign w:val="center"/>
          </w:tcPr>
          <w:p w14:paraId="0E8A7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E1F0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02" w:type="dxa"/>
            <w:noWrap w:val="0"/>
            <w:vAlign w:val="center"/>
          </w:tcPr>
          <w:p w14:paraId="5BA8C0C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指消防救援力量等</w:t>
            </w:r>
          </w:p>
        </w:tc>
      </w:tr>
    </w:tbl>
    <w:p w14:paraId="3CED7542">
      <w:pPr>
        <w:keepNext w:val="0"/>
        <w:keepLines w:val="0"/>
        <w:widowControl/>
        <w:suppressLineNumbers w:val="0"/>
      </w:pPr>
    </w:p>
    <w:p w14:paraId="1ABA7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使用说明：</w:t>
      </w:r>
    </w:p>
    <w:p w14:paraId="305DF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报送机制：此表由各县（市、区）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旅安会</w:t>
      </w:r>
      <w:r>
        <w:rPr>
          <w:rFonts w:hint="default" w:ascii="Times New Roman" w:hAnsi="Times New Roman" w:eastAsia="仿宋_GB2312" w:cs="Times New Roman"/>
          <w:sz w:val="24"/>
          <w:szCs w:val="24"/>
        </w:rPr>
        <w:t>、市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文旅局直属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单位，于每月2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4"/>
          <w:szCs w:val="24"/>
        </w:rPr>
        <w:t>日前汇总填报，报送至市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旅安会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办公室。</w:t>
      </w:r>
    </w:p>
    <w:p w14:paraId="7D246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数据衔接：本表的统计结果应与《工作方案》中要求的“一表通”填报要求相衔接，确保数据同源、口径一致。</w:t>
      </w:r>
    </w:p>
    <w:p w14:paraId="798EA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填报要求：</w:t>
      </w:r>
    </w:p>
    <w:p w14:paraId="52D95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本月数据：填写当前统计周期内的数据。</w:t>
      </w:r>
    </w:p>
    <w:p w14:paraId="436D6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累计数据：填写自“百日行动”开始（即日起）至本次统计周期末的累计总数。</w:t>
      </w:r>
    </w:p>
    <w:p w14:paraId="7AA06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备注/重点情况说明：用于简要说明重大隐患整改情况、典型做法、遇到的突出问题或需要协调解决的事项。例如，在“挂牌督办”项可注明“凯旋中央小区正在制定整改方案”；在“累计数据”栏可对趋势进行说明，如“隐患整改率持续上升”。</w:t>
      </w:r>
    </w:p>
    <w:p w14:paraId="6E59C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核心指标：加粗行为需要重点关注的核心量化指标，应确保数据准确、可靠。</w:t>
      </w:r>
    </w:p>
    <w:p w14:paraId="49EB6E7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both"/>
        <w:textAlignment w:val="baseline"/>
        <w:rPr>
          <w:rFonts w:hint="eastAsia" w:eastAsia="宋体"/>
          <w:lang w:eastAsia="zh-CN"/>
        </w:rPr>
      </w:pPr>
    </w:p>
    <w:p w14:paraId="70ECE993">
      <w:pPr>
        <w:pStyle w:val="10"/>
        <w:rPr>
          <w:rFonts w:hint="eastAsia" w:eastAsia="宋体"/>
          <w:lang w:eastAsia="zh-CN"/>
        </w:rPr>
      </w:pPr>
    </w:p>
    <w:p w14:paraId="26A512ED">
      <w:pPr>
        <w:pStyle w:val="10"/>
        <w:rPr>
          <w:rFonts w:hint="eastAsia" w:eastAsia="宋体"/>
          <w:lang w:eastAsia="zh-CN"/>
        </w:rPr>
      </w:pPr>
    </w:p>
    <w:p w14:paraId="5BA04B27">
      <w:pPr>
        <w:pStyle w:val="10"/>
        <w:rPr>
          <w:rFonts w:hint="eastAsia" w:eastAsia="宋体"/>
          <w:lang w:eastAsia="zh-CN"/>
        </w:rPr>
      </w:pPr>
    </w:p>
    <w:p w14:paraId="79799E99">
      <w:pPr>
        <w:pStyle w:val="10"/>
        <w:rPr>
          <w:rFonts w:hint="eastAsia" w:eastAsia="宋体"/>
          <w:lang w:eastAsia="zh-CN"/>
        </w:rPr>
      </w:pPr>
    </w:p>
    <w:p w14:paraId="37ABEE68">
      <w:pPr>
        <w:pStyle w:val="10"/>
        <w:rPr>
          <w:rFonts w:hint="eastAsia" w:eastAsia="宋体"/>
          <w:lang w:eastAsia="zh-CN"/>
        </w:rPr>
      </w:pPr>
    </w:p>
    <w:p w14:paraId="72EA00AF">
      <w:pPr>
        <w:pStyle w:val="10"/>
        <w:rPr>
          <w:rFonts w:hint="eastAsia" w:eastAsia="宋体"/>
          <w:lang w:eastAsia="zh-CN"/>
        </w:rPr>
        <w:sectPr>
          <w:pgSz w:w="16838" w:h="11906" w:orient="landscape"/>
          <w:pgMar w:top="1417" w:right="1134" w:bottom="1134" w:left="1134" w:header="851" w:footer="992" w:gutter="0"/>
          <w:pgNumType w:fmt="decimal"/>
          <w:cols w:space="425" w:num="1"/>
          <w:docGrid w:type="lines" w:linePitch="312" w:charSpace="0"/>
        </w:sectPr>
      </w:pPr>
    </w:p>
    <w:p w14:paraId="10CF20B8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A34738B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40640</wp:posOffset>
            </wp:positionV>
            <wp:extent cx="5830570" cy="6407150"/>
            <wp:effectExtent l="0" t="0" r="17780" b="12700"/>
            <wp:wrapNone/>
            <wp:docPr id="2" name="图片 2" descr="关于印发《全省文化和旅游行业冬春火灾除患攻坚“百日行动”工作方案》的通知（鄂旅安办发〔2025〕1号）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关于印发《全省文化和旅游行业冬春火灾除患攻坚“百日行动”工作方案》的通知（鄂旅安办发〔2025〕1号）_06"/>
                    <pic:cNvPicPr>
                      <a:picLocks noChangeAspect="1"/>
                    </pic:cNvPicPr>
                  </pic:nvPicPr>
                  <pic:blipFill>
                    <a:blip r:embed="rId7"/>
                    <a:srcRect t="14443" r="4712" b="12318"/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23A8D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57BBD08D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36A735F0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08744D24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213BC5BD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355018E4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28E1874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4C29E1C1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535BE27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3FB7902D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37B20202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E2D9E6E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4B252799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21584789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46829D1F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297CA389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5E324520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F02067F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25B1B8BA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02124438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39DA21B4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56414A45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27DD210D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35120C8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6EB37D85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510E2450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7FAA1A8A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5F885AD2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4E79DB85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01CFA14F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01816BC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4DA0619C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6E8759F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53058F17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66C6673F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64FBB7C5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3A71C6D4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00134040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6EDA657D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0B74E7E4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6636EFC8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3989BFC8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486B1F7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1E6ECEA0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26075146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</w:p>
    <w:p w14:paraId="58F1F39A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9DE3E55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-191135</wp:posOffset>
            </wp:positionH>
            <wp:positionV relativeFrom="paragraph">
              <wp:posOffset>6350</wp:posOffset>
            </wp:positionV>
            <wp:extent cx="5990590" cy="5524500"/>
            <wp:effectExtent l="0" t="0" r="10160" b="0"/>
            <wp:wrapNone/>
            <wp:docPr id="3" name="图片 3" descr="关于印发《全省文化和旅游行业冬春火灾除患攻坚“百日行动”工作方案》的通知（鄂旅安办发〔2025〕1号）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关于印发《全省文化和旅游行业冬春火灾除患攻坚“百日行动”工作方案》的通知（鄂旅安办发〔2025〕1号）_07"/>
                    <pic:cNvPicPr>
                      <a:picLocks noChangeAspect="1"/>
                    </pic:cNvPicPr>
                  </pic:nvPicPr>
                  <pic:blipFill>
                    <a:blip r:embed="rId8"/>
                    <a:srcRect t="14708" b="20947"/>
                    <a:stretch>
                      <a:fillRect/>
                    </a:stretch>
                  </pic:blipFill>
                  <pic:spPr>
                    <a:xfrm>
                      <a:off x="0" y="0"/>
                      <a:ext cx="599059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3667C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-191135</wp:posOffset>
            </wp:positionH>
            <wp:positionV relativeFrom="paragraph">
              <wp:posOffset>6350</wp:posOffset>
            </wp:positionV>
            <wp:extent cx="5990590" cy="5524500"/>
            <wp:effectExtent l="0" t="0" r="10160" b="0"/>
            <wp:wrapNone/>
            <wp:docPr id="1" name="图片 1" descr="关于印发《全省文化和旅游行业冬春火灾除患攻坚“百日行动”工作方案》的通知（鄂旅安办发〔2025〕1号）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关于印发《全省文化和旅游行业冬春火灾除患攻坚“百日行动”工作方案》的通知（鄂旅安办发〔2025〕1号）_07"/>
                    <pic:cNvPicPr>
                      <a:picLocks noChangeAspect="1"/>
                    </pic:cNvPicPr>
                  </pic:nvPicPr>
                  <pic:blipFill>
                    <a:blip r:embed="rId8"/>
                    <a:srcRect t="14708" b="20947"/>
                    <a:stretch>
                      <a:fillRect/>
                    </a:stretch>
                  </pic:blipFill>
                  <pic:spPr>
                    <a:xfrm>
                      <a:off x="0" y="0"/>
                      <a:ext cx="599059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984" w:right="1587" w:bottom="181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C7F10">
    <w:pPr>
      <w:spacing w:line="176" w:lineRule="auto"/>
      <w:ind w:left="7859"/>
      <w:rPr>
        <w:rFonts w:ascii="宋体" w:hAnsi="宋体" w:eastAsia="宋体" w:cs="宋体"/>
        <w:sz w:val="33"/>
        <w:szCs w:val="33"/>
      </w:rPr>
    </w:pPr>
    <w:r>
      <w:rPr>
        <w:sz w:val="3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EA497E">
                          <w:pPr>
                            <w:pStyle w:val="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EA497E">
                    <w:pPr>
                      <w:pStyle w:val="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yOGM5OGFhZmYyM2IyMGE1NzdhZWJhZmQ2MGFkMGYifQ=="/>
  </w:docVars>
  <w:rsids>
    <w:rsidRoot w:val="00000000"/>
    <w:rsid w:val="10F66AD9"/>
    <w:rsid w:val="20460FD3"/>
    <w:rsid w:val="252246B0"/>
    <w:rsid w:val="2FFB68AC"/>
    <w:rsid w:val="31973569"/>
    <w:rsid w:val="31A24EF8"/>
    <w:rsid w:val="39F23A32"/>
    <w:rsid w:val="3B4C0D05"/>
    <w:rsid w:val="458921B6"/>
    <w:rsid w:val="57F848B1"/>
    <w:rsid w:val="5B9F21AE"/>
    <w:rsid w:val="64DC186D"/>
    <w:rsid w:val="6FBF545B"/>
    <w:rsid w:val="72D201F3"/>
    <w:rsid w:val="7486193A"/>
    <w:rsid w:val="76F31FAD"/>
    <w:rsid w:val="795A45DD"/>
    <w:rsid w:val="7BEFB67C"/>
    <w:rsid w:val="7E0230E5"/>
    <w:rsid w:val="CDFF62B4"/>
    <w:rsid w:val="DDBF32B6"/>
    <w:rsid w:val="E57C4E05"/>
    <w:rsid w:val="FF3757B6"/>
    <w:rsid w:val="FFE7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2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3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rFonts w:ascii="Times New Roman" w:hAnsi="Times New Roman" w:eastAsia="宋体" w:cs="Times New Roman"/>
      <w:b/>
    </w:rPr>
  </w:style>
  <w:style w:type="paragraph" w:customStyle="1" w:styleId="10">
    <w:name w:val="NormalIndent"/>
    <w:basedOn w:val="1"/>
    <w:qFormat/>
    <w:uiPriority w:val="0"/>
    <w:pPr>
      <w:spacing w:beforeLines="0" w:afterLines="0" w:line="640" w:lineRule="exact"/>
      <w:ind w:firstLine="585"/>
      <w:textAlignment w:val="baseline"/>
    </w:pPr>
    <w:rPr>
      <w:rFonts w:hint="default" w:ascii="宋体" w:hAnsi="Calibri" w:eastAsia="宋体" w:cs="Times New Roman"/>
      <w:color w:val="000000"/>
      <w:sz w:val="21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6983</Words>
  <Characters>7156</Characters>
  <Lines>0</Lines>
  <Paragraphs>0</Paragraphs>
  <TotalTime>1</TotalTime>
  <ScaleCrop>false</ScaleCrop>
  <LinksUpToDate>false</LinksUpToDate>
  <CharactersWithSpaces>7315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2025-12-07T07:46:00Z</dcterms:created>
  <dc:creator>Administrator</dc:creator>
  <cp:lastModifiedBy>UOS</cp:lastModifiedBy>
  <cp:lastPrinted>2025-12-10T18:57:00Z</cp:lastPrinted>
  <dcterms:modified xsi:type="dcterms:W3CDTF">2025-12-24T16:45:19Z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eyJoZGlkIjoiNzA1ZmRlZDUxMDRhYjQ0YTVjZTA2MmI5NWM3ZjM4NGEiLCJ1c2VySWQiOiIyOTU0NDkzODYifQ==</vt:lpwstr>
  </property>
  <property fmtid="{D5CDD505-2E9C-101B-9397-08002B2CF9AE}" pid="4" name="ICV">
    <vt:lpwstr>4BF2ACA208BA4854BDD615ECDF100FC4_13</vt:lpwstr>
  </property>
</Properties>
</file>