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autoSpaceDE w:val="0"/>
        <w:autoSpaceDN w:val="0"/>
        <w:spacing w:before="1200" w:after="0" w:line="500" w:lineRule="atLeast"/>
        <w:ind w:right="0" w:firstLine="2800" w:firstLineChars="1000"/>
        <w:jc w:val="both"/>
        <w:textAlignment w:val="auto"/>
        <w:rPr>
          <w:sz w:val="28"/>
        </w:rPr>
      </w:pPr>
      <w:r>
        <w:rPr>
          <w:rFonts w:ascii="宋体" w:hAnsi="宋体" w:eastAsia="宋体" w:cs="宋体"/>
          <w:b w:val="0"/>
          <w:i w:val="0"/>
          <w:strike w:val="0"/>
          <w:color w:val="000000"/>
          <w:sz w:val="28"/>
        </w:rPr>
        <w:t>广水市镇级殡仪服务中心管理办法(试行)</w:t>
      </w:r>
    </w:p>
    <w:p>
      <w:pPr>
        <w:wordWrap/>
        <w:autoSpaceDE w:val="0"/>
        <w:autoSpaceDN w:val="0"/>
        <w:spacing w:before="760" w:after="0" w:line="548" w:lineRule="atLeast"/>
        <w:ind w:left="1660" w:right="920" w:firstLine="600"/>
        <w:jc w:val="both"/>
        <w:textAlignment w:val="auto"/>
        <w:rPr>
          <w:sz w:val="28"/>
        </w:rPr>
      </w:pPr>
      <w:r>
        <w:rPr>
          <w:rFonts w:ascii="宋体" w:hAnsi="宋体" w:eastAsia="宋体" w:cs="宋体"/>
          <w:b w:val="0"/>
          <w:i w:val="0"/>
          <w:strike w:val="0"/>
          <w:color w:val="000000"/>
          <w:sz w:val="28"/>
        </w:rPr>
        <w:t>根据国务院《殡葬管理条例》、《湖北省殡葬管理办法》和随州市殡葬改革工作领导小组《关于深化殡葬改革推进全域火葬的工作方案》 (随殡改发〔2023〕2号)等文件精神，为推进殡葬改革，实施全域火葬，方便群众办理丧事，现就全市镇级殡仪服务中心的建设运行，制定如下管理办法。</w:t>
      </w:r>
    </w:p>
    <w:p>
      <w:pPr>
        <w:wordWrap/>
        <w:autoSpaceDE w:val="0"/>
        <w:autoSpaceDN w:val="0"/>
        <w:spacing w:before="0" w:after="0" w:line="544" w:lineRule="atLeast"/>
        <w:ind w:left="1660" w:right="900" w:firstLine="600"/>
        <w:jc w:val="both"/>
        <w:textAlignment w:val="auto"/>
        <w:rPr>
          <w:sz w:val="28"/>
        </w:rPr>
      </w:pPr>
      <w:r>
        <w:rPr>
          <w:rFonts w:ascii="宋体" w:hAnsi="宋体" w:eastAsia="宋体" w:cs="宋体"/>
          <w:b w:val="0"/>
          <w:i w:val="0"/>
          <w:strike w:val="0"/>
          <w:color w:val="000000"/>
          <w:sz w:val="28"/>
        </w:rPr>
        <w:t>第一条 镇级殡仪服务中心建设，由市民政局根据需要进行总体规划，可在集镇周边或镇级公益性公墓所在村选址，因地</w:t>
      </w:r>
      <w:bookmarkStart w:id="0" w:name="_GoBack"/>
      <w:bookmarkEnd w:id="0"/>
      <w:r>
        <w:rPr>
          <w:rFonts w:ascii="宋体" w:hAnsi="宋体" w:eastAsia="宋体" w:cs="宋体"/>
          <w:b w:val="0"/>
          <w:i w:val="0"/>
          <w:strike w:val="0"/>
          <w:color w:val="000000"/>
          <w:sz w:val="28"/>
        </w:rPr>
        <w:t>制宜利用公办闲置资产进行改扩建，或进行房屋场地租赁改建，实行轻资产运营，不提倡大拆大建、重资产投资。为避免丧事活动扰民，不得在集镇和居民区选址。</w:t>
      </w:r>
    </w:p>
    <w:p>
      <w:pPr>
        <w:wordWrap/>
        <w:autoSpaceDE w:val="0"/>
        <w:autoSpaceDN w:val="0"/>
        <w:spacing w:before="0" w:after="0" w:line="570" w:lineRule="atLeast"/>
        <w:ind w:left="1680" w:right="940" w:firstLine="580"/>
        <w:jc w:val="both"/>
        <w:textAlignment w:val="auto"/>
        <w:rPr>
          <w:sz w:val="28"/>
        </w:rPr>
      </w:pPr>
      <w:r>
        <w:rPr>
          <w:rFonts w:ascii="宋体" w:hAnsi="宋体" w:eastAsia="宋体" w:cs="宋体"/>
          <w:b w:val="0"/>
          <w:i w:val="0"/>
          <w:strike w:val="0"/>
          <w:color w:val="000000"/>
          <w:sz w:val="28"/>
        </w:rPr>
        <w:t>第二条 除应办、开发区外，每个镇(街道) 设立一处殡仪服务中心，作为基层殡仪车辆和冰棺调度、治丧服务和殡葬管理工作的主阵地。主城区丧事活动集中到市殡仪馆办理。</w:t>
      </w:r>
    </w:p>
    <w:p>
      <w:pPr>
        <w:wordWrap/>
        <w:spacing w:before="0" w:after="0" w:line="14" w:lineRule="exact"/>
        <w:ind w:left="0" w:right="0"/>
        <w:textAlignment w:val="auto"/>
      </w:pPr>
    </w:p>
    <w:p>
      <w:pPr>
        <w:wordWrap/>
        <w:spacing w:before="0" w:after="0" w:line="14" w:lineRule="exact"/>
        <w:ind w:left="0" w:right="0"/>
        <w:textAlignment w:val="auto"/>
      </w:pPr>
      <w:r>
        <mc:AlternateContent>
          <mc:Choice Requires="wps">
            <w:drawing>
              <wp:anchor distT="0" distB="0" distL="0" distR="0" simplePos="0" relativeHeight="251659264" behindDoc="0" locked="0" layoutInCell="1" allowOverlap="1">
                <wp:simplePos x="0" y="0"/>
                <wp:positionH relativeFrom="column">
                  <wp:posOffset>1066800</wp:posOffset>
                </wp:positionH>
                <wp:positionV relativeFrom="paragraph">
                  <wp:posOffset>0</wp:posOffset>
                </wp:positionV>
                <wp:extent cx="4889500" cy="431800"/>
                <wp:effectExtent l="0" t="0" r="0" b="0"/>
                <wp:wrapTopAndBottom/>
                <wp:docPr id="9" name="文本框 9"/>
                <wp:cNvGraphicFramePr/>
                <a:graphic xmlns:a="http://schemas.openxmlformats.org/drawingml/2006/main">
                  <a:graphicData uri="http://schemas.microsoft.com/office/word/2010/wordprocessingShape">
                    <wps:wsp>
                      <wps:cNvSpPr txBox="1"/>
                      <wps:spPr>
                        <a:xfrm>
                          <a:off x="0" y="0"/>
                          <a:ext cx="4889500" cy="431800"/>
                        </a:xfrm>
                        <a:prstGeom prst="rect">
                          <a:avLst/>
                        </a:prstGeom>
                        <a:noFill/>
                        <a:ln w="6350">
                          <a:noFill/>
                        </a:ln>
                      </wps:spPr>
                      <wps:bodyPr vert="horz" wrap="square" lIns="0" tIns="0" rIns="0" bIns="0" anchor="t">
                        <a:noAutofit/>
                      </wps:bodyPr>
                    </wps:wsp>
                  </a:graphicData>
                </a:graphic>
              </wp:anchor>
            </w:drawing>
          </mc:Choice>
          <mc:Fallback>
            <w:pict>
              <v:shape id="_x0000_s1026" o:spid="_x0000_s1026" o:spt="202" type="#_x0000_t202" style="position:absolute;left:0pt;margin-left:84pt;margin-top:0pt;height:34pt;width:385pt;mso-wrap-distance-bottom:0pt;mso-wrap-distance-top:0pt;z-index:251659264;mso-width-relative:page;mso-height-relative:page;" filled="f" stroked="f" coordsize="21600,21600" o:gfxdata="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0gmQytMAAAAHAQAADwAAAAAAAAABACAA&#10;AAAiAAAAZHJzL2Rvd25yZXYueG1sUEsBAhQAFAAAAAgAh07iQIJ4u/PZAQAAowMAAA4AAAAAAAAA&#10;AQAgAAAAIgEAAGRycy9lMm9Eb2MueG1sUEsFBgAAAAAGAAYAWQEAAG0FAAAAAA==&#10;">
                <v:fill on="f" focussize="0,0"/>
                <v:stroke on="f" weight="0.5pt"/>
                <v:imagedata o:title=""/>
                <o:lock v:ext="edit" aspectratio="f"/>
                <v:textbox inset="0mm,0mm,0mm,0mm"/>
                <w10:wrap type="topAndBottom"/>
              </v:shape>
            </w:pict>
          </mc:Fallback>
        </mc:AlternateContent>
      </w:r>
      <w:r>
        <mc:AlternateContent>
          <mc:Choice Requires="wps">
            <w:drawing>
              <wp:anchor distT="0" distB="0" distL="0" distR="0" simplePos="0" relativeHeight="251659264" behindDoc="0" locked="0" layoutInCell="1" allowOverlap="1">
                <wp:simplePos x="0" y="0"/>
                <wp:positionH relativeFrom="column">
                  <wp:posOffset>1066800</wp:posOffset>
                </wp:positionH>
                <wp:positionV relativeFrom="paragraph">
                  <wp:posOffset>0</wp:posOffset>
                </wp:positionV>
                <wp:extent cx="4889500" cy="1714500"/>
                <wp:effectExtent l="0" t="0" r="0" b="0"/>
                <wp:wrapTopAndBottom/>
                <wp:docPr id="10" name="文本框 10"/>
                <wp:cNvGraphicFramePr/>
                <a:graphic xmlns:a="http://schemas.openxmlformats.org/drawingml/2006/main">
                  <a:graphicData uri="http://schemas.microsoft.com/office/word/2010/wordprocessingShape">
                    <wps:wsp>
                      <wps:cNvSpPr txBox="1"/>
                      <wps:spPr>
                        <a:xfrm>
                          <a:off x="0" y="0"/>
                          <a:ext cx="4889500" cy="1714500"/>
                        </a:xfrm>
                        <a:prstGeom prst="rect">
                          <a:avLst/>
                        </a:prstGeom>
                        <a:noFill/>
                        <a:ln w="6350">
                          <a:noFill/>
                        </a:ln>
                      </wps:spPr>
                      <wps:txbx>
                        <w:txbxContent>
                          <w:p>
                            <w:pPr>
                              <w:wordWrap/>
                              <w:autoSpaceDE w:val="0"/>
                              <w:autoSpaceDN w:val="0"/>
                              <w:spacing w:before="0" w:after="0" w:line="536" w:lineRule="atLeast"/>
                              <w:ind w:left="0" w:right="0" w:firstLine="580"/>
                              <w:jc w:val="both"/>
                              <w:textAlignment w:val="auto"/>
                              <w:rPr>
                                <w:sz w:val="28"/>
                              </w:rPr>
                            </w:pPr>
                            <w:r>
                              <w:rPr>
                                <w:rFonts w:ascii="宋体" w:hAnsi="宋体" w:eastAsia="宋体" w:cs="宋体"/>
                                <w:b w:val="0"/>
                                <w:i w:val="0"/>
                                <w:strike w:val="0"/>
                                <w:color w:val="000000"/>
                                <w:sz w:val="28"/>
                              </w:rPr>
                              <w:t>第三条 镇人民政府(街道办事处) 是殡仪服务中心投资建设的责任主体，可自行投资建设，也可与镇区相邻的村(社区) 联建，还可委托村(社区) 集体投资建设，体现政府主导、公益属性。市人民政府及民政、财政部门根据实际情况给予支持。</w:t>
                            </w:r>
                          </w:p>
                        </w:txbxContent>
                      </wps:txbx>
                      <wps:bodyPr vert="horz" wrap="square" lIns="0" tIns="0" rIns="0" bIns="0" anchor="t">
                        <a:spAutoFit/>
                      </wps:bodyPr>
                    </wps:wsp>
                  </a:graphicData>
                </a:graphic>
              </wp:anchor>
            </w:drawing>
          </mc:Choice>
          <mc:Fallback>
            <w:pict>
              <v:shape id="_x0000_s1026" o:spid="_x0000_s1026" o:spt="202" type="#_x0000_t202" style="position:absolute;left:0pt;margin-left:84pt;margin-top:0pt;height:135pt;width:385pt;mso-wrap-distance-bottom:0pt;mso-wrap-distance-top:0pt;z-index:251659264;mso-width-relative:page;mso-height-relative:page;" filled="f" stroked="f" coordsize="21600,21600" o:gfxdata="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omW491QAAAAgBAAAPAAAA&#10;AAAAAAEAIAAAACIAAABkcnMvZG93bnJldi54bWxQSwECFAAUAAAACACHTuJAhvkdnN8BAACxAwAA&#10;DgAAAAAAAAABACAAAAAkAQAAZHJzL2Uyb0RvYy54bWxQSwUGAAAAAAYABgBZAQAAdQUAAAAA&#10;">
                <v:fill on="f" focussize="0,0"/>
                <v:stroke on="f" weight="0.5pt"/>
                <v:imagedata o:title=""/>
                <o:lock v:ext="edit" aspectratio="f"/>
                <v:textbox inset="0mm,0mm,0mm,0mm" style="mso-fit-shape-to-text:t;">
                  <w:txbxContent>
                    <w:p>
                      <w:pPr>
                        <w:wordWrap/>
                        <w:autoSpaceDE w:val="0"/>
                        <w:autoSpaceDN w:val="0"/>
                        <w:spacing w:before="0" w:after="0" w:line="536" w:lineRule="atLeast"/>
                        <w:ind w:left="0" w:right="0" w:firstLine="580"/>
                        <w:jc w:val="both"/>
                        <w:textAlignment w:val="auto"/>
                        <w:rPr>
                          <w:sz w:val="28"/>
                        </w:rPr>
                      </w:pPr>
                      <w:r>
                        <w:rPr>
                          <w:rFonts w:ascii="宋体" w:hAnsi="宋体" w:eastAsia="宋体" w:cs="宋体"/>
                          <w:b w:val="0"/>
                          <w:i w:val="0"/>
                          <w:strike w:val="0"/>
                          <w:color w:val="000000"/>
                          <w:sz w:val="28"/>
                        </w:rPr>
                        <w:t>第三条 镇人民政府(街道办事处) 是殡仪服务中心投资建设的责任主体，可自行投资建设，也可与镇区相邻的村(社区) 联建，还可委托村(社区) 集体投资建设，体现政府主导、公益属性。市人民政府及民政、财政部门根据实际情况给予支持。</w:t>
                      </w:r>
                    </w:p>
                  </w:txbxContent>
                </v:textbox>
                <w10:wrap type="topAndBottom"/>
              </v:shape>
            </w:pict>
          </mc:Fallback>
        </mc:AlternateContent>
      </w:r>
      <w:r>
        <mc:AlternateContent>
          <mc:Choice Requires="wps">
            <w:drawing>
              <wp:anchor distT="0" distB="0" distL="0" distR="0" simplePos="0" relativeHeight="251659264" behindDoc="0" locked="0" layoutInCell="1" allowOverlap="1">
                <wp:simplePos x="0" y="0"/>
                <wp:positionH relativeFrom="column">
                  <wp:posOffset>2400300</wp:posOffset>
                </wp:positionH>
                <wp:positionV relativeFrom="paragraph">
                  <wp:posOffset>431800</wp:posOffset>
                </wp:positionV>
                <wp:extent cx="1384300" cy="1346200"/>
                <wp:effectExtent l="0" t="0" r="0" b="0"/>
                <wp:wrapTopAndBottom/>
                <wp:docPr id="11" name="文本框 11"/>
                <wp:cNvGraphicFramePr/>
                <a:graphic xmlns:a="http://schemas.openxmlformats.org/drawingml/2006/main">
                  <a:graphicData uri="http://schemas.microsoft.com/office/word/2010/wordprocessingShape">
                    <wps:wsp>
                      <wps:cNvSpPr txBox="1"/>
                      <wps:spPr>
                        <a:xfrm>
                          <a:off x="0" y="0"/>
                          <a:ext cx="1384300" cy="1346200"/>
                        </a:xfrm>
                        <a:prstGeom prst="rect">
                          <a:avLst/>
                        </a:prstGeom>
                        <a:noFill/>
                        <a:ln w="6350">
                          <a:noFill/>
                        </a:ln>
                      </wps:spPr>
                      <wps:txbx>
                        <w:txbxContent>
                          <w:p>
                            <w:pPr>
                              <w:wordWrap/>
                              <w:spacing w:before="0" w:after="0"/>
                              <w:ind w:left="0" w:right="0"/>
                              <w:jc w:val="both"/>
                              <w:textAlignment w:val="auto"/>
                            </w:pPr>
                          </w:p>
                        </w:txbxContent>
                      </wps:txbx>
                      <wps:bodyPr vert="horz" wrap="square" lIns="0" tIns="0" rIns="0" bIns="0" anchor="t">
                        <a:spAutoFit/>
                      </wps:bodyPr>
                    </wps:wsp>
                  </a:graphicData>
                </a:graphic>
              </wp:anchor>
            </w:drawing>
          </mc:Choice>
          <mc:Fallback>
            <w:pict>
              <v:shape id="_x0000_s1026" o:spid="_x0000_s1026" o:spt="202" type="#_x0000_t202" style="position:absolute;left:0pt;margin-left:189pt;margin-top:34pt;height:106pt;width:109pt;mso-wrap-distance-bottom:0pt;mso-wrap-distance-top:0pt;z-index:251659264;mso-width-relative:page;mso-height-relative:page;" filled="f" stroked="f" coordsize="21600,21600" o:gfxdata="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bUtCw2AAAAAoBAAAP&#10;AAAAAAAAAAEAIAAAACIAAABkcnMvZG93bnJldi54bWxQSwECFAAUAAAACACHTuJA7B5cfd8BAACx&#10;AwAADgAAAAAAAAABACAAAAAnAQAAZHJzL2Uyb0RvYy54bWxQSwUGAAAAAAYABgBZAQAAeAUAAAAA&#10;">
                <v:fill on="f" focussize="0,0"/>
                <v:stroke on="f" weight="0.5pt"/>
                <v:imagedata o:title=""/>
                <o:lock v:ext="edit" aspectratio="f"/>
                <v:textbox inset="0mm,0mm,0mm,0mm" style="mso-fit-shape-to-text:t;">
                  <w:txbxContent>
                    <w:p>
                      <w:pPr>
                        <w:wordWrap/>
                        <w:spacing w:before="0" w:after="0"/>
                        <w:ind w:left="0" w:right="0"/>
                        <w:jc w:val="both"/>
                        <w:textAlignment w:val="auto"/>
                      </w:pPr>
                    </w:p>
                  </w:txbxContent>
                </v:textbox>
                <w10:wrap type="topAndBottom"/>
              </v:shape>
            </w:pict>
          </mc:Fallback>
        </mc:AlternateContent>
      </w:r>
    </w:p>
    <w:p>
      <w:pPr>
        <w:wordWrap/>
        <w:autoSpaceDE w:val="0"/>
        <w:autoSpaceDN w:val="0"/>
        <w:spacing w:before="60" w:after="0" w:line="340" w:lineRule="atLeast"/>
        <w:ind w:left="2260" w:right="0"/>
        <w:jc w:val="both"/>
        <w:textAlignment w:val="auto"/>
        <w:rPr>
          <w:sz w:val="28"/>
        </w:rPr>
      </w:pPr>
      <w:r>
        <w:rPr>
          <w:rFonts w:ascii="宋体" w:hAnsi="宋体" w:eastAsia="宋体" w:cs="宋体"/>
          <w:b w:val="0"/>
          <w:i w:val="0"/>
          <w:strike w:val="0"/>
          <w:color w:val="000000"/>
          <w:sz w:val="28"/>
        </w:rPr>
        <w:t>第四条 镇级殡仪服务中心严格按照有关规定，经市民</w:t>
      </w:r>
      <w:r>
        <w:br w:type="page"/>
      </w:r>
    </w:p>
    <w:p>
      <w:pPr>
        <w:wordWrap/>
        <w:autoSpaceDE w:val="0"/>
        <w:autoSpaceDN w:val="0"/>
        <w:spacing w:before="800" w:after="0" w:line="400" w:lineRule="atLeast"/>
        <w:ind w:left="1020" w:right="0"/>
        <w:jc w:val="both"/>
        <w:textAlignment w:val="auto"/>
        <w:rPr>
          <w:sz w:val="31"/>
        </w:rPr>
      </w:pPr>
      <w:r>
        <w:rPr>
          <w:rFonts w:ascii="宋体" w:hAnsi="宋体" w:eastAsia="宋体" w:cs="宋体"/>
          <w:b w:val="0"/>
          <w:i w:val="0"/>
          <w:strike w:val="0"/>
          <w:color w:val="000000"/>
          <w:sz w:val="31"/>
        </w:rPr>
        <w:t>政局审批同意后，办理市场主体登记。</w:t>
      </w:r>
    </w:p>
    <w:p>
      <w:pPr>
        <w:wordWrap/>
        <w:autoSpaceDE w:val="0"/>
        <w:autoSpaceDN w:val="0"/>
        <w:spacing w:before="0" w:after="0" w:line="590" w:lineRule="atLeast"/>
        <w:ind w:left="1040" w:right="1060" w:firstLine="640"/>
        <w:jc w:val="both"/>
        <w:textAlignment w:val="auto"/>
        <w:rPr>
          <w:sz w:val="31"/>
        </w:rPr>
      </w:pPr>
      <w:r>
        <w:rPr>
          <w:rFonts w:ascii="宋体" w:hAnsi="宋体" w:eastAsia="宋体" w:cs="宋体"/>
          <w:b w:val="0"/>
          <w:i w:val="0"/>
          <w:strike w:val="0"/>
          <w:color w:val="000000"/>
          <w:sz w:val="31"/>
        </w:rPr>
        <w:t>第五条 镇级殡仪服务中心接受市民政局管理和市殡仪馆业务指导。</w:t>
      </w:r>
    </w:p>
    <w:p>
      <w:pPr>
        <w:wordWrap/>
        <w:autoSpaceDE w:val="0"/>
        <w:autoSpaceDN w:val="0"/>
        <w:spacing w:before="0" w:after="0" w:line="590" w:lineRule="atLeast"/>
        <w:ind w:left="1020" w:right="1060" w:firstLine="660"/>
        <w:jc w:val="both"/>
        <w:textAlignment w:val="auto"/>
        <w:rPr>
          <w:sz w:val="31"/>
        </w:rPr>
      </w:pPr>
      <w:r>
        <w:rPr>
          <w:rFonts w:ascii="宋体" w:hAnsi="宋体" w:eastAsia="宋体" w:cs="宋体"/>
          <w:b w:val="0"/>
          <w:i w:val="0"/>
          <w:strike w:val="0"/>
          <w:color w:val="000000"/>
          <w:sz w:val="31"/>
        </w:rPr>
        <w:t>第六条 镇级殡仪服务中心法人代表由镇人民政府(街道办事处)出资人选聘有关人员担任，具体承办人可选用属地村(社区) 干部或集体经济组织专业人员，镇(街道) 也可安排1-2名公益性岗位。</w:t>
      </w:r>
    </w:p>
    <w:p>
      <w:pPr>
        <w:wordWrap/>
        <w:autoSpaceDE w:val="0"/>
        <w:autoSpaceDN w:val="0"/>
        <w:spacing w:before="0" w:after="0" w:line="587" w:lineRule="atLeast"/>
        <w:ind w:left="1020" w:right="1040" w:firstLine="660"/>
        <w:jc w:val="both"/>
        <w:textAlignment w:val="auto"/>
        <w:rPr>
          <w:sz w:val="31"/>
        </w:rPr>
      </w:pPr>
      <w:r>
        <w:rPr>
          <w:rFonts w:ascii="宋体" w:hAnsi="宋体" w:eastAsia="宋体" w:cs="宋体"/>
          <w:b w:val="0"/>
          <w:i w:val="0"/>
          <w:strike w:val="0"/>
          <w:color w:val="000000"/>
          <w:sz w:val="31"/>
        </w:rPr>
        <w:t>第七条 镇级殡仪服务中心按照服务功能和相关建设标准进行设施布局，设置接待服务办公区、遗体处置(存放)室、 吊唁(祭拜)厅、餐饮部、停车场等。前期建设须保障基本服务功能配套，后期再逐步提升完善。暂不具备设立殡仪服务中心条件的镇(街道) ，须设立一处殡仪车、冰棺储备调度站点，满足全域火葬工作需要。</w:t>
      </w:r>
    </w:p>
    <w:p>
      <w:pPr>
        <w:wordWrap/>
        <w:autoSpaceDE w:val="0"/>
        <w:autoSpaceDN w:val="0"/>
        <w:spacing w:before="20" w:after="0" w:line="584" w:lineRule="atLeast"/>
        <w:ind w:left="1040" w:right="1020" w:firstLine="640"/>
        <w:jc w:val="both"/>
        <w:textAlignment w:val="auto"/>
        <w:rPr>
          <w:sz w:val="31"/>
        </w:rPr>
      </w:pPr>
      <w:r>
        <w:rPr>
          <w:rFonts w:ascii="宋体" w:hAnsi="宋体" w:eastAsia="宋体" w:cs="宋体"/>
          <w:b w:val="0"/>
          <w:i w:val="0"/>
          <w:strike w:val="0"/>
          <w:color w:val="000000"/>
          <w:sz w:val="31"/>
        </w:rPr>
        <w:t>第八条 镇级殡仪服务中心须配足殡仪车和冰棺。4万人以下的镇(街道) ，原则上配备 2-3台殡仪车、5-8台冰棺；4万人以上的镇(街道) ，原则上配备 3-4 台殡仪车、8-12台冰棺，根据需求还可配备一个冰柜。各镇(街道)对冰棺、冰柜实行统一编号、纳入闭环管理，不得私自出租出借。</w:t>
      </w:r>
    </w:p>
    <w:p>
      <w:pPr>
        <w:wordWrap/>
        <w:autoSpaceDE w:val="0"/>
        <w:autoSpaceDN w:val="0"/>
        <w:spacing w:before="0" w:after="0" w:line="600" w:lineRule="atLeast"/>
        <w:ind w:left="1040" w:right="1040" w:firstLine="640"/>
        <w:jc w:val="both"/>
        <w:textAlignment w:val="auto"/>
        <w:rPr>
          <w:sz w:val="31"/>
        </w:rPr>
      </w:pPr>
      <w:r>
        <w:rPr>
          <w:rFonts w:ascii="宋体" w:hAnsi="宋体" w:eastAsia="宋体" w:cs="宋体"/>
          <w:b w:val="0"/>
          <w:i w:val="0"/>
          <w:strike w:val="0"/>
          <w:color w:val="000000"/>
          <w:sz w:val="31"/>
        </w:rPr>
        <w:t>第九条 加强镇级殡仪服务中心殡仪车和冰棺管理调度。</w:t>
      </w:r>
    </w:p>
    <w:p>
      <w:pPr>
        <w:wordWrap/>
        <w:autoSpaceDE w:val="0"/>
        <w:autoSpaceDN w:val="0"/>
        <w:spacing w:before="0" w:after="0" w:line="587" w:lineRule="atLeast"/>
        <w:ind w:left="900" w:right="1160" w:firstLine="780"/>
        <w:jc w:val="both"/>
        <w:textAlignment w:val="auto"/>
        <w:rPr>
          <w:sz w:val="31"/>
        </w:rPr>
      </w:pPr>
      <w:r>
        <w:rPr>
          <w:rFonts w:ascii="宋体" w:hAnsi="宋体" w:eastAsia="宋体" w:cs="宋体"/>
          <w:b w:val="0"/>
          <w:i w:val="0"/>
          <w:strike w:val="0"/>
          <w:color w:val="000000"/>
          <w:sz w:val="31"/>
        </w:rPr>
        <w:t>(一) 所有镇级殡仪服务中心的殡仪车纳入统一管理，由市民政局报请市公安局认定后，实行统一编号、发放统一标识牌，加装定位系统，并统一纳入智慧殡葬信息平台调度</w:t>
      </w:r>
      <w:r>
        <w:br w:type="page"/>
      </w:r>
    </w:p>
    <w:p>
      <w:pPr>
        <w:wordWrap/>
        <w:autoSpaceDE w:val="0"/>
        <w:autoSpaceDN w:val="0"/>
        <w:spacing w:before="660" w:after="0" w:line="380" w:lineRule="atLeast"/>
        <w:ind w:left="920" w:right="0"/>
        <w:jc w:val="both"/>
        <w:textAlignment w:val="auto"/>
        <w:rPr>
          <w:sz w:val="30"/>
        </w:rPr>
      </w:pPr>
      <w:r>
        <w:rPr>
          <w:rFonts w:ascii="宋体" w:hAnsi="宋体" w:eastAsia="宋体" w:cs="宋体"/>
          <w:b w:val="0"/>
          <w:i w:val="0"/>
          <w:strike w:val="0"/>
          <w:color w:val="000000"/>
          <w:sz w:val="30"/>
        </w:rPr>
        <w:t>管理。</w:t>
      </w:r>
    </w:p>
    <w:p>
      <w:pPr>
        <w:wordWrap/>
        <w:autoSpaceDE w:val="0"/>
        <w:autoSpaceDN w:val="0"/>
        <w:spacing w:before="0" w:after="0" w:line="590" w:lineRule="atLeast"/>
        <w:ind w:left="880" w:right="1220" w:firstLine="760"/>
        <w:jc w:val="both"/>
        <w:textAlignment w:val="auto"/>
        <w:rPr>
          <w:sz w:val="30"/>
        </w:rPr>
      </w:pPr>
      <w:r>
        <w:rPr>
          <w:rFonts w:ascii="宋体" w:hAnsi="宋体" w:eastAsia="宋体" w:cs="宋体"/>
          <w:b w:val="0"/>
          <w:i w:val="0"/>
          <w:strike w:val="0"/>
          <w:color w:val="000000"/>
          <w:sz w:val="30"/>
        </w:rPr>
        <w:t>(二) 镇级殡仪服务中心暂无条件购置殡仪车的，可租赁社会车辆使用，但要纳入统一管理。</w:t>
      </w:r>
    </w:p>
    <w:p>
      <w:pPr>
        <w:wordWrap/>
        <w:autoSpaceDE w:val="0"/>
        <w:autoSpaceDN w:val="0"/>
        <w:spacing w:before="0" w:after="0" w:line="590" w:lineRule="atLeast"/>
        <w:ind w:left="880" w:right="1260" w:firstLine="760"/>
        <w:jc w:val="both"/>
        <w:textAlignment w:val="auto"/>
        <w:rPr>
          <w:sz w:val="30"/>
        </w:rPr>
      </w:pPr>
      <w:r>
        <w:rPr>
          <w:rFonts w:ascii="宋体" w:hAnsi="宋体" w:eastAsia="宋体" w:cs="宋体"/>
          <w:b w:val="0"/>
          <w:i w:val="0"/>
          <w:strike w:val="0"/>
          <w:color w:val="000000"/>
          <w:sz w:val="30"/>
        </w:rPr>
        <w:t>(三) 殡仪车驾驶员要严格执行道路交通管理规定，车辆所有人按时缴纳交强险、第三者责任险和乘员险等。</w:t>
      </w:r>
    </w:p>
    <w:p>
      <w:pPr>
        <w:wordWrap/>
        <w:autoSpaceDE w:val="0"/>
        <w:autoSpaceDN w:val="0"/>
        <w:spacing w:before="0" w:after="0" w:line="590" w:lineRule="atLeast"/>
        <w:ind w:left="860" w:right="1260" w:firstLine="780"/>
        <w:jc w:val="both"/>
        <w:textAlignment w:val="auto"/>
        <w:rPr>
          <w:sz w:val="30"/>
        </w:rPr>
      </w:pPr>
      <w:r>
        <w:rPr>
          <w:rFonts w:ascii="宋体" w:hAnsi="宋体" w:eastAsia="宋体" w:cs="宋体"/>
          <w:b w:val="0"/>
          <w:i w:val="0"/>
          <w:strike w:val="0"/>
          <w:color w:val="000000"/>
          <w:sz w:val="30"/>
        </w:rPr>
        <w:t>(四) 殡仪车驾驶员要相对固定，并经过殡仪服务专业培训。</w:t>
      </w:r>
    </w:p>
    <w:p>
      <w:pPr>
        <w:wordWrap/>
        <w:autoSpaceDE w:val="0"/>
        <w:autoSpaceDN w:val="0"/>
        <w:spacing w:before="0" w:after="0" w:line="580" w:lineRule="atLeast"/>
        <w:ind w:left="880" w:right="1220" w:firstLine="760"/>
        <w:jc w:val="both"/>
        <w:textAlignment w:val="auto"/>
        <w:rPr>
          <w:sz w:val="30"/>
        </w:rPr>
      </w:pPr>
      <w:r>
        <w:rPr>
          <w:rFonts w:ascii="宋体" w:hAnsi="宋体" w:eastAsia="宋体" w:cs="宋体"/>
          <w:b w:val="0"/>
          <w:i w:val="0"/>
          <w:strike w:val="0"/>
          <w:color w:val="000000"/>
          <w:sz w:val="30"/>
        </w:rPr>
        <w:t>(五) 殡仪车、冰棺10公里内1小时内、 10公里外2小时内送到。</w:t>
      </w:r>
    </w:p>
    <w:p>
      <w:pPr>
        <w:wordWrap/>
        <w:autoSpaceDE w:val="0"/>
        <w:autoSpaceDN w:val="0"/>
        <w:spacing w:before="0" w:after="0" w:line="590" w:lineRule="atLeast"/>
        <w:ind w:left="1000" w:right="1100" w:firstLine="640"/>
        <w:jc w:val="both"/>
        <w:textAlignment w:val="auto"/>
        <w:rPr>
          <w:sz w:val="30"/>
        </w:rPr>
      </w:pPr>
      <w:r>
        <w:rPr>
          <w:rFonts w:ascii="宋体" w:hAnsi="宋体" w:eastAsia="宋体" w:cs="宋体"/>
          <w:b w:val="0"/>
          <w:i w:val="0"/>
          <w:strike w:val="0"/>
          <w:color w:val="000000"/>
          <w:sz w:val="30"/>
        </w:rPr>
        <w:t>第十条 镇级殡仪服务中心负责本行政区域内的殡仪服务工作和落实市殡仪馆安排交办的业务工作。</w:t>
      </w:r>
    </w:p>
    <w:p>
      <w:pPr>
        <w:wordWrap/>
        <w:autoSpaceDE w:val="0"/>
        <w:autoSpaceDN w:val="0"/>
        <w:spacing w:before="20" w:after="0" w:line="586" w:lineRule="atLeast"/>
        <w:ind w:left="860" w:right="1220" w:firstLine="780"/>
        <w:jc w:val="both"/>
        <w:textAlignment w:val="auto"/>
        <w:rPr>
          <w:sz w:val="30"/>
        </w:rPr>
      </w:pPr>
      <w:r>
        <w:rPr>
          <w:rFonts w:ascii="宋体" w:hAnsi="宋体" w:eastAsia="宋体" w:cs="宋体"/>
          <w:b w:val="0"/>
          <w:i w:val="0"/>
          <w:strike w:val="0"/>
          <w:color w:val="000000"/>
          <w:sz w:val="30"/>
        </w:rPr>
        <w:t>(一) 承接殡仪馆有关业务，包括遗体接运、消毒、防腐、化妆、更衣、装冰棺、冷藏和吊唁等。做好本辖区内冰棺调度，提供冰棺租赁服务； 负责本辖区内的遗体接运和送往殡仪馆火化； 配合市殡仪馆，做好本镇(街道) 辖区外殡仪车、冰棺的应急调度服务工作； 配合属地政府(民政办)宣传殡葬改革、移风易俗、全域火葬政策，引导丧户节俭办理丧事。</w:t>
      </w:r>
    </w:p>
    <w:p>
      <w:pPr>
        <w:wordWrap/>
        <w:autoSpaceDE w:val="0"/>
        <w:autoSpaceDN w:val="0"/>
        <w:spacing w:before="0" w:after="0" w:line="588" w:lineRule="atLeast"/>
        <w:ind w:left="860" w:right="1260" w:firstLine="780"/>
        <w:jc w:val="both"/>
        <w:textAlignment w:val="auto"/>
        <w:rPr>
          <w:sz w:val="30"/>
        </w:rPr>
      </w:pPr>
      <w:r>
        <w:rPr>
          <w:rFonts w:ascii="宋体" w:hAnsi="宋体" w:eastAsia="宋体" w:cs="宋体"/>
          <w:b w:val="0"/>
          <w:i w:val="0"/>
          <w:strike w:val="0"/>
          <w:color w:val="000000"/>
          <w:sz w:val="30"/>
        </w:rPr>
        <w:t>(二) 承担属地政府(民政办)交办的全域火葬闭环管理工作。负责通过丧属、村组信息员、红白理事会、殡仪从业人员等，第一时间收集掌握本辖区人员死亡信息，并上报属地政府(民政办) 和市殡仪馆信息平台； 指导协助丧属办理死亡证明、火化、安葬等相关事宜。</w:t>
      </w:r>
      <w:r>
        <w:br w:type="page"/>
      </w:r>
    </w:p>
    <w:p>
      <w:pPr>
        <w:wordWrap/>
        <w:autoSpaceDE w:val="0"/>
        <w:autoSpaceDN w:val="0"/>
        <w:spacing w:before="580" w:after="0" w:line="589" w:lineRule="atLeast"/>
        <w:ind w:left="920" w:right="1160" w:firstLine="760"/>
        <w:jc w:val="both"/>
        <w:textAlignment w:val="auto"/>
        <w:rPr>
          <w:sz w:val="31"/>
        </w:rPr>
      </w:pPr>
      <w:r>
        <w:rPr>
          <w:rFonts w:ascii="宋体" w:hAnsi="宋体" w:eastAsia="宋体" w:cs="宋体"/>
          <w:b w:val="0"/>
          <w:i w:val="0"/>
          <w:strike w:val="0"/>
          <w:color w:val="000000"/>
          <w:sz w:val="31"/>
        </w:rPr>
        <w:t>(三) 负责为丧户提供丧葬礼仪服务，兼顾社会效益和经济效益，合理设置服务项目。遗体存放(冰棺冷藏)严格按发改部门核准的标准执行；遗体整容化妆(含洁身、更衣)、吊唁设施及设备租赁(含礼厅) 等延伸服务，按照发改部门指导价格执行； 丧葬用品、烟酒副食、 日常百货和餐饮住宿等价格为市场调节价，由服务中心依据相关法律法规规定，按照公开、公平、合力利润和诚实信用原则自主制定，办理税务登记，接受相关部门的监督管理。所有服务收费项目必须执行明码标价与收费公示制度。</w:t>
      </w:r>
    </w:p>
    <w:p>
      <w:pPr>
        <w:wordWrap/>
        <w:autoSpaceDE w:val="0"/>
        <w:autoSpaceDN w:val="0"/>
        <w:spacing w:before="20" w:after="0" w:line="584" w:lineRule="atLeast"/>
        <w:ind w:left="1040" w:right="1040" w:firstLine="640"/>
        <w:jc w:val="both"/>
        <w:textAlignment w:val="auto"/>
        <w:rPr>
          <w:sz w:val="31"/>
        </w:rPr>
      </w:pPr>
      <w:r>
        <w:rPr>
          <w:rFonts w:ascii="宋体" w:hAnsi="宋体" w:eastAsia="宋体" w:cs="宋体"/>
          <w:b w:val="0"/>
          <w:i w:val="0"/>
          <w:strike w:val="0"/>
          <w:color w:val="000000"/>
          <w:sz w:val="31"/>
        </w:rPr>
        <w:t>第十一条 镇级殡仪服务中心执行“五免一奖”惠民殡葬政策，负责落实本辖区户籍死亡居民遗体信息登记、接运工作，送市殡仪馆火化的，按“五免一奖”标准直接免除丧户费用； 减免范围以外遗体运输费用，按发改部门核定的服务价格收费。</w:t>
      </w:r>
    </w:p>
    <w:p>
      <w:pPr>
        <w:wordWrap/>
        <w:autoSpaceDE w:val="0"/>
        <w:autoSpaceDN w:val="0"/>
        <w:spacing w:before="0" w:after="0" w:line="587" w:lineRule="atLeast"/>
        <w:ind w:left="1040" w:right="1040" w:firstLine="640"/>
        <w:jc w:val="both"/>
        <w:textAlignment w:val="auto"/>
        <w:rPr>
          <w:sz w:val="31"/>
        </w:rPr>
      </w:pPr>
      <w:r>
        <w:rPr>
          <w:rFonts w:ascii="宋体" w:hAnsi="宋体" w:eastAsia="宋体" w:cs="宋体"/>
          <w:b w:val="0"/>
          <w:i w:val="0"/>
          <w:strike w:val="0"/>
          <w:color w:val="000000"/>
          <w:sz w:val="31"/>
        </w:rPr>
        <w:t>第十二条 市民政局及市殡仪馆加强对镇级殡仪服务中心从业人员的培训，提升其业务水平，引导从业人员自觉遵守国家殡葬法律法规和政策要求，遵守职业道德。</w:t>
      </w:r>
    </w:p>
    <w:p>
      <w:pPr>
        <w:wordWrap/>
        <w:autoSpaceDE w:val="0"/>
        <w:autoSpaceDN w:val="0"/>
        <w:spacing w:before="0" w:after="0" w:line="593" w:lineRule="atLeast"/>
        <w:ind w:left="1040" w:right="1040" w:firstLine="640"/>
        <w:jc w:val="both"/>
        <w:textAlignment w:val="auto"/>
        <w:rPr>
          <w:sz w:val="31"/>
        </w:rPr>
      </w:pPr>
      <w:r>
        <w:rPr>
          <w:rFonts w:ascii="宋体" w:hAnsi="宋体" w:eastAsia="宋体" w:cs="宋体"/>
          <w:b w:val="0"/>
          <w:i w:val="0"/>
          <w:strike w:val="0"/>
          <w:color w:val="000000"/>
          <w:sz w:val="31"/>
        </w:rPr>
        <w:t>第十三条 镇级殡仪服务中心实行年检制度，对年检结果予以通报，年检反馈问题须限期整改，整改不到位的予以取缔。</w:t>
      </w:r>
    </w:p>
    <w:p>
      <w:pPr>
        <w:wordWrap/>
        <w:autoSpaceDE w:val="0"/>
        <w:autoSpaceDN w:val="0"/>
        <w:spacing w:before="0" w:after="0" w:line="587" w:lineRule="atLeast"/>
        <w:ind w:left="1020" w:right="1060" w:firstLine="660"/>
        <w:jc w:val="both"/>
        <w:textAlignment w:val="auto"/>
        <w:rPr>
          <w:sz w:val="31"/>
        </w:rPr>
      </w:pPr>
      <w:r>
        <w:rPr>
          <w:rFonts w:ascii="宋体" w:hAnsi="宋体" w:eastAsia="宋体" w:cs="宋体"/>
          <w:b w:val="0"/>
          <w:i w:val="0"/>
          <w:strike w:val="0"/>
          <w:color w:val="000000"/>
          <w:sz w:val="31"/>
        </w:rPr>
        <w:t>第十四条 镇级殡仪服务中心履行安全生产第一责任人责任，贯彻落实安全生产责任制，配置必要的人员和设施设备，确保建筑、消防、交通、食品等安全。</w:t>
      </w:r>
      <w:r>
        <w:br w:type="page"/>
      </w:r>
    </w:p>
    <w:p>
      <w:pPr>
        <w:wordWrap/>
        <w:autoSpaceDE w:val="0"/>
        <w:autoSpaceDN w:val="0"/>
        <w:spacing w:before="460" w:after="0" w:line="600" w:lineRule="atLeast"/>
        <w:ind w:left="960" w:right="1180" w:firstLine="620"/>
        <w:jc w:val="both"/>
        <w:textAlignment w:val="auto"/>
        <w:rPr>
          <w:sz w:val="29"/>
        </w:rPr>
      </w:pPr>
      <w:r>
        <w:rPr>
          <w:rFonts w:ascii="宋体" w:hAnsi="宋体" w:eastAsia="宋体" w:cs="宋体"/>
          <w:b w:val="0"/>
          <w:i w:val="0"/>
          <w:strike w:val="0"/>
          <w:color w:val="000000"/>
          <w:sz w:val="29"/>
        </w:rPr>
        <w:t>第十五条 镇级殡仪服务中心从业人员存在下列情形之一的，按照相关规定进行处罚。</w:t>
      </w:r>
    </w:p>
    <w:p>
      <w:pPr>
        <w:wordWrap/>
        <w:autoSpaceDE w:val="0"/>
        <w:autoSpaceDN w:val="0"/>
        <w:spacing w:before="200" w:after="0" w:line="380" w:lineRule="atLeast"/>
        <w:ind w:left="1580" w:right="0"/>
        <w:jc w:val="both"/>
        <w:textAlignment w:val="auto"/>
        <w:rPr>
          <w:sz w:val="29"/>
        </w:rPr>
      </w:pPr>
      <w:r>
        <w:rPr>
          <w:rFonts w:ascii="宋体" w:hAnsi="宋体" w:eastAsia="宋体" w:cs="宋体"/>
          <w:b w:val="0"/>
          <w:i w:val="0"/>
          <w:strike w:val="0"/>
          <w:color w:val="000000"/>
          <w:sz w:val="29"/>
        </w:rPr>
        <w:t>(一) 为遗体土葬、棺葬提供便利的。</w:t>
      </w:r>
    </w:p>
    <w:p>
      <w:pPr>
        <w:wordWrap/>
        <w:autoSpaceDE w:val="0"/>
        <w:autoSpaceDN w:val="0"/>
        <w:spacing w:before="180" w:after="0" w:line="380" w:lineRule="atLeast"/>
        <w:ind w:left="1580" w:right="0"/>
        <w:jc w:val="both"/>
        <w:textAlignment w:val="auto"/>
        <w:rPr>
          <w:sz w:val="29"/>
        </w:rPr>
      </w:pPr>
      <w:r>
        <w:rPr>
          <w:rFonts w:ascii="宋体" w:hAnsi="宋体" w:eastAsia="宋体" w:cs="宋体"/>
          <w:b w:val="0"/>
          <w:i w:val="0"/>
          <w:strike w:val="0"/>
          <w:color w:val="000000"/>
          <w:sz w:val="29"/>
        </w:rPr>
        <w:t>(二) 利用殡仪车、冰棺从事土葬或非法活动的。</w:t>
      </w:r>
    </w:p>
    <w:p>
      <w:pPr>
        <w:wordWrap/>
        <w:autoSpaceDE w:val="0"/>
        <w:autoSpaceDN w:val="0"/>
        <w:spacing w:before="0" w:after="0" w:line="610" w:lineRule="atLeast"/>
        <w:ind w:left="880" w:right="1300" w:firstLine="700"/>
        <w:jc w:val="both"/>
        <w:textAlignment w:val="auto"/>
        <w:rPr>
          <w:sz w:val="29"/>
        </w:rPr>
      </w:pPr>
      <w:r>
        <w:rPr>
          <w:rFonts w:ascii="宋体" w:hAnsi="宋体" w:eastAsia="宋体" w:cs="宋体"/>
          <w:b w:val="0"/>
          <w:i w:val="0"/>
          <w:strike w:val="0"/>
          <w:color w:val="000000"/>
          <w:sz w:val="29"/>
        </w:rPr>
        <w:t>(三) 办丧过程中吃拿卡要和从事封建迷信活动造成不良影响的。</w:t>
      </w:r>
    </w:p>
    <w:p>
      <w:pPr>
        <w:wordWrap/>
        <w:autoSpaceDE w:val="0"/>
        <w:autoSpaceDN w:val="0"/>
        <w:spacing w:before="200" w:after="0" w:line="380" w:lineRule="atLeast"/>
        <w:ind w:left="1580" w:right="0"/>
        <w:jc w:val="both"/>
        <w:textAlignment w:val="auto"/>
        <w:rPr>
          <w:sz w:val="29"/>
        </w:rPr>
      </w:pPr>
      <w:r>
        <w:rPr>
          <w:rFonts w:ascii="宋体" w:hAnsi="宋体" w:eastAsia="宋体" w:cs="宋体"/>
          <w:b w:val="0"/>
          <w:i w:val="0"/>
          <w:strike w:val="0"/>
          <w:color w:val="000000"/>
          <w:sz w:val="29"/>
        </w:rPr>
        <w:t>(四) 擅自组装殡仪车等殡葬设备的。</w:t>
      </w:r>
    </w:p>
    <w:p>
      <w:pPr>
        <w:wordWrap/>
        <w:autoSpaceDE w:val="0"/>
        <w:autoSpaceDN w:val="0"/>
        <w:spacing w:before="200" w:after="0" w:line="380" w:lineRule="atLeast"/>
        <w:ind w:left="1580" w:right="0"/>
        <w:jc w:val="both"/>
        <w:textAlignment w:val="auto"/>
        <w:rPr>
          <w:sz w:val="29"/>
        </w:rPr>
      </w:pPr>
      <w:r>
        <w:rPr>
          <w:rFonts w:ascii="宋体" w:hAnsi="宋体" w:eastAsia="宋体" w:cs="宋体"/>
          <w:b w:val="0"/>
          <w:i w:val="0"/>
          <w:strike w:val="0"/>
          <w:color w:val="000000"/>
          <w:sz w:val="29"/>
        </w:rPr>
        <w:t>(五) 扰乱遗体接运秩序的。</w:t>
      </w:r>
    </w:p>
    <w:p>
      <w:pPr>
        <w:wordWrap/>
        <w:autoSpaceDE w:val="0"/>
        <w:autoSpaceDN w:val="0"/>
        <w:spacing w:before="0" w:after="0" w:line="590" w:lineRule="atLeast"/>
        <w:ind w:left="960" w:right="1160" w:firstLine="620"/>
        <w:jc w:val="both"/>
        <w:textAlignment w:val="auto"/>
        <w:rPr>
          <w:sz w:val="29"/>
        </w:rPr>
      </w:pPr>
      <w:r>
        <w:rPr>
          <w:rFonts w:ascii="宋体" w:hAnsi="宋体" w:eastAsia="宋体" w:cs="宋体"/>
          <w:b w:val="0"/>
          <w:i w:val="0"/>
          <w:strike w:val="0"/>
          <w:color w:val="000000"/>
          <w:sz w:val="29"/>
        </w:rPr>
        <w:t>第十六条  镇级殡仪服务中心必须对外公布 24小时服务电话，接受社会监督。</w:t>
      </w:r>
    </w:p>
    <w:p>
      <w:pPr>
        <w:wordWrap/>
        <w:autoSpaceDE w:val="0"/>
        <w:autoSpaceDN w:val="0"/>
        <w:spacing w:before="0" w:after="0" w:line="580" w:lineRule="atLeast"/>
        <w:ind w:left="980" w:right="1280" w:firstLine="600"/>
        <w:jc w:val="both"/>
        <w:textAlignment w:val="auto"/>
        <w:rPr>
          <w:sz w:val="29"/>
        </w:rPr>
      </w:pPr>
      <w:r>
        <w:rPr>
          <w:rFonts w:ascii="宋体" w:hAnsi="宋体" w:eastAsia="宋体" w:cs="宋体"/>
          <w:b w:val="0"/>
          <w:i w:val="0"/>
          <w:strike w:val="0"/>
          <w:color w:val="000000"/>
          <w:sz w:val="29"/>
        </w:rPr>
        <w:t>第十七条  广水市镇级殡仪服务中心管理办法(试行)由市民政局负责解释。</w:t>
      </w:r>
      <w:r>
        <w:br w:type="page"/>
      </w:r>
    </w:p>
    <w:p>
      <w:pPr>
        <w:wordWrap/>
        <w:autoSpaceDE w:val="0"/>
        <w:autoSpaceDN w:val="0"/>
        <w:spacing w:before="840" w:after="0" w:line="540" w:lineRule="atLeast"/>
        <w:ind w:left="1220" w:right="0" w:firstLine="1550" w:firstLineChars="500"/>
        <w:jc w:val="both"/>
        <w:textAlignment w:val="auto"/>
        <w:rPr>
          <w:sz w:val="31"/>
        </w:rPr>
      </w:pPr>
      <w:r>
        <w:rPr>
          <w:rFonts w:ascii="宋体" w:hAnsi="宋体" w:eastAsia="宋体" w:cs="宋体"/>
          <w:b w:val="0"/>
          <w:i w:val="0"/>
          <w:strike w:val="0"/>
          <w:color w:val="000000"/>
          <w:sz w:val="31"/>
        </w:rPr>
        <w:t>广水市农村公益性公墓管理办法(试行)</w:t>
      </w:r>
    </w:p>
    <w:p>
      <w:pPr>
        <w:wordWrap/>
        <w:autoSpaceDE w:val="0"/>
        <w:autoSpaceDN w:val="0"/>
        <w:spacing w:before="820" w:after="0" w:line="567" w:lineRule="atLeast"/>
        <w:ind w:left="1020" w:right="1060" w:firstLine="660"/>
        <w:jc w:val="both"/>
        <w:textAlignment w:val="auto"/>
        <w:rPr>
          <w:sz w:val="31"/>
        </w:rPr>
      </w:pPr>
      <w:r>
        <w:rPr>
          <w:rFonts w:ascii="宋体" w:hAnsi="宋体" w:eastAsia="宋体" w:cs="宋体"/>
          <w:b w:val="0"/>
          <w:i w:val="0"/>
          <w:strike w:val="0"/>
          <w:color w:val="000000"/>
          <w:sz w:val="31"/>
        </w:rPr>
        <w:t>为规范我市农村公益性公墓的建设和管理，节约土地资源，保护生态环境，根据国务院《殡葬管理条例》、民政部《公墓管理暂行办法》，制定本办法。</w:t>
      </w:r>
    </w:p>
    <w:p>
      <w:pPr>
        <w:wordWrap/>
        <w:autoSpaceDE w:val="0"/>
        <w:autoSpaceDN w:val="0"/>
        <w:spacing w:before="40" w:after="0" w:line="560" w:lineRule="atLeast"/>
        <w:ind w:left="1060" w:right="1040" w:firstLine="620"/>
        <w:jc w:val="both"/>
        <w:textAlignment w:val="auto"/>
        <w:rPr>
          <w:sz w:val="31"/>
        </w:rPr>
      </w:pPr>
      <w:r>
        <w:rPr>
          <w:rFonts w:ascii="宋体" w:hAnsi="宋体" w:eastAsia="宋体" w:cs="宋体"/>
          <w:b w:val="0"/>
          <w:i w:val="0"/>
          <w:strike w:val="0"/>
          <w:color w:val="000000"/>
          <w:sz w:val="31"/>
        </w:rPr>
        <w:t>第一条 公益性公墓为面向本辖区已故村(居) 民提供骨灰安葬服务的社会公益性设施。</w:t>
      </w:r>
    </w:p>
    <w:p>
      <w:pPr>
        <w:wordWrap/>
        <w:autoSpaceDE w:val="0"/>
        <w:autoSpaceDN w:val="0"/>
        <w:spacing w:before="20" w:after="0" w:line="560" w:lineRule="atLeast"/>
        <w:ind w:left="1040" w:right="1020" w:firstLine="640"/>
        <w:jc w:val="both"/>
        <w:textAlignment w:val="auto"/>
        <w:rPr>
          <w:sz w:val="31"/>
        </w:rPr>
      </w:pPr>
      <w:r>
        <w:rPr>
          <w:rFonts w:ascii="宋体" w:hAnsi="宋体" w:eastAsia="宋体" w:cs="宋体"/>
          <w:b w:val="0"/>
          <w:i w:val="0"/>
          <w:strike w:val="0"/>
          <w:color w:val="000000"/>
          <w:sz w:val="31"/>
        </w:rPr>
        <w:t>第二条 公益性公墓建设选址与自然环境相协调，不得破坏当地生态环境，严禁占用耕地或变相占用耕地。</w:t>
      </w:r>
    </w:p>
    <w:p>
      <w:pPr>
        <w:wordWrap/>
        <w:autoSpaceDE w:val="0"/>
        <w:autoSpaceDN w:val="0"/>
        <w:spacing w:before="20" w:after="0" w:line="560" w:lineRule="atLeast"/>
        <w:ind w:left="1040" w:right="1220" w:firstLine="640"/>
        <w:jc w:val="both"/>
        <w:textAlignment w:val="auto"/>
        <w:rPr>
          <w:sz w:val="31"/>
        </w:rPr>
      </w:pPr>
      <w:r>
        <w:rPr>
          <w:rFonts w:ascii="宋体" w:hAnsi="宋体" w:eastAsia="宋体" w:cs="宋体"/>
          <w:b w:val="0"/>
          <w:i w:val="0"/>
          <w:strike w:val="0"/>
          <w:color w:val="000000"/>
          <w:sz w:val="31"/>
        </w:rPr>
        <w:t>第三条 公墓墓区土地所有权依法归国家或集体所有，任何人不得私自转让或买卖。</w:t>
      </w:r>
    </w:p>
    <w:p>
      <w:pPr>
        <w:wordWrap/>
        <w:autoSpaceDE w:val="0"/>
        <w:autoSpaceDN w:val="0"/>
        <w:spacing w:before="20" w:after="0" w:line="570" w:lineRule="atLeast"/>
        <w:ind w:left="1020" w:right="1020" w:firstLine="660"/>
        <w:jc w:val="both"/>
        <w:textAlignment w:val="auto"/>
        <w:rPr>
          <w:sz w:val="31"/>
        </w:rPr>
      </w:pPr>
      <w:r>
        <w:rPr>
          <w:rFonts w:ascii="宋体" w:hAnsi="宋体" w:eastAsia="宋体" w:cs="宋体"/>
          <w:b w:val="0"/>
          <w:i w:val="0"/>
          <w:strike w:val="0"/>
          <w:color w:val="000000"/>
          <w:sz w:val="31"/>
        </w:rPr>
        <w:t>第四条 公墓合理设置标识、焚烧炉、排水设施、步行通道、周边围挡、监控设备、停车场等。镇级公益性公墓可根据需要，配套管理用房、公共厕所、防火设施等。公墓内不得大面积硬化，不修建高大牌坊和硬化广场。</w:t>
      </w:r>
    </w:p>
    <w:p>
      <w:pPr>
        <w:wordWrap/>
        <w:autoSpaceDE w:val="0"/>
        <w:autoSpaceDN w:val="0"/>
        <w:spacing w:before="0" w:after="0" w:line="565" w:lineRule="atLeast"/>
        <w:ind w:left="1020" w:right="1040" w:firstLine="660"/>
        <w:jc w:val="both"/>
        <w:textAlignment w:val="auto"/>
        <w:rPr>
          <w:sz w:val="31"/>
        </w:rPr>
      </w:pPr>
      <w:r>
        <w:rPr>
          <w:rFonts w:ascii="宋体" w:hAnsi="宋体" w:eastAsia="宋体" w:cs="宋体"/>
          <w:b w:val="0"/>
          <w:i w:val="0"/>
          <w:strike w:val="0"/>
          <w:color w:val="000000"/>
          <w:sz w:val="31"/>
        </w:rPr>
        <w:t>第五条 市民政局是公益性公墓的主管部门，负责建立健全年检制度和日常抽查机制，定期进行监督检查，对检查不合格的公墓责令限期改正，涉嫌违纪违法的，向有关部门移交问题线索。</w:t>
      </w:r>
    </w:p>
    <w:p>
      <w:pPr>
        <w:wordWrap/>
        <w:autoSpaceDE w:val="0"/>
        <w:autoSpaceDN w:val="0"/>
        <w:spacing w:before="0" w:after="0" w:line="570" w:lineRule="atLeast"/>
        <w:ind w:left="1020" w:right="1040" w:firstLine="660"/>
        <w:jc w:val="both"/>
        <w:textAlignment w:val="auto"/>
        <w:rPr>
          <w:sz w:val="31"/>
        </w:rPr>
      </w:pPr>
      <w:r>
        <w:rPr>
          <w:rFonts w:ascii="宋体" w:hAnsi="宋体" w:eastAsia="宋体" w:cs="宋体"/>
          <w:b w:val="0"/>
          <w:i w:val="0"/>
          <w:strike w:val="0"/>
          <w:color w:val="000000"/>
          <w:sz w:val="31"/>
        </w:rPr>
        <w:t>第六条 农村公益性公墓由属地民政办管理，必须明确专人负责公墓日常运营管理，做好日常管理和维护，每年对绿化树木进行补种、铲除杂草、维修破损的设施设备，对排水设施予以整修、疏通。</w:t>
      </w:r>
      <w:r>
        <w:br w:type="page"/>
      </w:r>
    </w:p>
    <w:p>
      <w:pPr>
        <w:wordWrap/>
        <w:autoSpaceDE w:val="0"/>
        <w:autoSpaceDN w:val="0"/>
        <w:spacing w:before="420" w:after="0" w:line="560" w:lineRule="atLeast"/>
        <w:ind w:left="1200" w:right="1220" w:firstLine="600"/>
        <w:jc w:val="both"/>
        <w:textAlignment w:val="auto"/>
        <w:rPr>
          <w:rFonts w:ascii="宋体" w:hAnsi="宋体" w:eastAsia="宋体" w:cs="宋体"/>
          <w:b w:val="0"/>
          <w:i w:val="0"/>
          <w:strike w:val="0"/>
          <w:color w:val="000000"/>
          <w:sz w:val="29"/>
        </w:rPr>
      </w:pPr>
    </w:p>
    <w:p>
      <w:pPr>
        <w:wordWrap/>
        <w:autoSpaceDE w:val="0"/>
        <w:autoSpaceDN w:val="0"/>
        <w:spacing w:before="420" w:after="0" w:line="560" w:lineRule="atLeast"/>
        <w:ind w:left="1200" w:right="1220" w:firstLine="600"/>
        <w:jc w:val="both"/>
        <w:textAlignment w:val="auto"/>
        <w:rPr>
          <w:sz w:val="29"/>
        </w:rPr>
      </w:pPr>
      <w:r>
        <w:rPr>
          <w:rFonts w:ascii="宋体" w:hAnsi="宋体" w:eastAsia="宋体" w:cs="宋体"/>
          <w:b w:val="0"/>
          <w:i w:val="0"/>
          <w:strike w:val="0"/>
          <w:color w:val="000000"/>
          <w:sz w:val="29"/>
        </w:rPr>
        <w:t>第七条 公益性公墓必须突出公益性，不以盈利为目的，不得从事或变相从事营利活动。</w:t>
      </w:r>
    </w:p>
    <w:p>
      <w:pPr>
        <w:wordWrap/>
        <w:autoSpaceDE w:val="0"/>
        <w:autoSpaceDN w:val="0"/>
        <w:spacing w:before="0" w:after="0" w:line="553" w:lineRule="atLeast"/>
        <w:ind w:left="1200" w:right="1180" w:firstLine="600"/>
        <w:jc w:val="both"/>
        <w:textAlignment w:val="auto"/>
        <w:rPr>
          <w:sz w:val="29"/>
        </w:rPr>
      </w:pPr>
      <w:r>
        <w:rPr>
          <w:rFonts w:ascii="宋体" w:hAnsi="宋体" w:eastAsia="宋体" w:cs="宋体"/>
          <w:b w:val="0"/>
          <w:i w:val="0"/>
          <w:strike w:val="0"/>
          <w:color w:val="000000"/>
          <w:sz w:val="29"/>
        </w:rPr>
        <w:t>第八条 公墓建设和墓穴档案要建账立册，接受检查和监督，在入口等醒目位置设置价格公示牌，公开墓穴价格和投诉电话。</w:t>
      </w:r>
    </w:p>
    <w:p>
      <w:pPr>
        <w:wordWrap/>
        <w:autoSpaceDE w:val="0"/>
        <w:autoSpaceDN w:val="0"/>
        <w:spacing w:before="0" w:after="0" w:line="547" w:lineRule="atLeast"/>
        <w:ind w:left="1180" w:right="1160" w:firstLine="620"/>
        <w:jc w:val="both"/>
        <w:textAlignment w:val="auto"/>
        <w:rPr>
          <w:sz w:val="29"/>
        </w:rPr>
      </w:pPr>
      <w:r>
        <w:rPr>
          <w:rFonts w:ascii="宋体" w:hAnsi="宋体" w:eastAsia="宋体" w:cs="宋体"/>
          <w:b w:val="0"/>
          <w:i w:val="0"/>
          <w:strike w:val="0"/>
          <w:color w:val="000000"/>
          <w:sz w:val="29"/>
        </w:rPr>
        <w:t>第九条 镇级公益性公墓费用由属地民政办收取，村级公益性公墓费用由所属村(居)委会收取。收支情况向所辖村民公示，纳入政务公开民主管理范围。</w:t>
      </w:r>
    </w:p>
    <w:p>
      <w:pPr>
        <w:wordWrap/>
        <w:autoSpaceDE w:val="0"/>
        <w:autoSpaceDN w:val="0"/>
        <w:spacing w:before="0" w:after="0" w:line="547" w:lineRule="atLeast"/>
        <w:ind w:left="1200" w:right="1180" w:firstLine="600"/>
        <w:jc w:val="both"/>
        <w:textAlignment w:val="auto"/>
        <w:rPr>
          <w:sz w:val="29"/>
        </w:rPr>
      </w:pPr>
      <w:r>
        <w:rPr>
          <w:rFonts w:ascii="宋体" w:hAnsi="宋体" w:eastAsia="宋体" w:cs="宋体"/>
          <w:b w:val="0"/>
          <w:i w:val="0"/>
          <w:strike w:val="0"/>
          <w:color w:val="000000"/>
          <w:sz w:val="29"/>
        </w:rPr>
        <w:t>第十条 镇级公益性公墓实行政府定价。村级公益性公墓比照镇级公益性公墓定价，各村(社区)召开村民代表大会讨论决定并公示，不得超过镇级公益性公墓收费标准。</w:t>
      </w:r>
    </w:p>
    <w:p>
      <w:pPr>
        <w:wordWrap/>
        <w:autoSpaceDE w:val="0"/>
        <w:autoSpaceDN w:val="0"/>
        <w:spacing w:before="20" w:after="0" w:line="547" w:lineRule="atLeast"/>
        <w:ind w:left="1180" w:right="1180" w:firstLine="620"/>
        <w:jc w:val="both"/>
        <w:textAlignment w:val="auto"/>
        <w:rPr>
          <w:sz w:val="29"/>
        </w:rPr>
      </w:pPr>
      <w:r>
        <w:rPr>
          <w:rFonts w:ascii="宋体" w:hAnsi="宋体" w:eastAsia="宋体" w:cs="宋体"/>
          <w:b w:val="0"/>
          <w:i w:val="0"/>
          <w:strike w:val="0"/>
          <w:color w:val="000000"/>
          <w:sz w:val="29"/>
        </w:rPr>
        <w:t>第十一条 公墓墓穴实行编号管理，凭火化、迁坟或死亡等有效证明为安葬对象提供墓穴，骨灰按编号顺序下葬。除一方已入墓安葬的双人合葬墓外，不得预留墓穴。</w:t>
      </w:r>
    </w:p>
    <w:p>
      <w:pPr>
        <w:wordWrap/>
        <w:autoSpaceDE w:val="0"/>
        <w:autoSpaceDN w:val="0"/>
        <w:spacing w:before="0" w:after="0" w:line="560" w:lineRule="atLeast"/>
        <w:ind w:left="1200" w:right="1200" w:firstLine="600"/>
        <w:jc w:val="both"/>
        <w:textAlignment w:val="auto"/>
        <w:rPr>
          <w:sz w:val="29"/>
        </w:rPr>
      </w:pPr>
      <w:r>
        <w:rPr>
          <w:rFonts w:ascii="宋体" w:hAnsi="宋体" w:eastAsia="宋体" w:cs="宋体"/>
          <w:b w:val="0"/>
          <w:i w:val="0"/>
          <w:strike w:val="0"/>
          <w:color w:val="000000"/>
          <w:sz w:val="29"/>
        </w:rPr>
        <w:t>第十二条 进公益性公墓安葬的，统一由管理员负责下葬，不得私自安葬，不得私自建造墓碑牌匾等其他附属设施，安葬后发放《公墓安葬证》。</w:t>
      </w:r>
    </w:p>
    <w:p>
      <w:pPr>
        <w:wordWrap/>
        <w:autoSpaceDE w:val="0"/>
        <w:autoSpaceDN w:val="0"/>
        <w:spacing w:before="0" w:after="0" w:line="547" w:lineRule="atLeast"/>
        <w:ind w:left="1220" w:right="1180" w:firstLine="580"/>
        <w:jc w:val="both"/>
        <w:textAlignment w:val="auto"/>
        <w:rPr>
          <w:sz w:val="29"/>
        </w:rPr>
      </w:pPr>
      <w:r>
        <w:rPr>
          <w:rFonts w:ascii="宋体" w:hAnsi="宋体" w:eastAsia="宋体" w:cs="宋体"/>
          <w:b w:val="0"/>
          <w:i w:val="0"/>
          <w:strike w:val="0"/>
          <w:color w:val="000000"/>
          <w:sz w:val="29"/>
        </w:rPr>
        <w:t>第十三条 农村公益性公墓只能向本辖区户籍村(居)民或在本辖区居住的村(居) 民提供安葬服务，不得违规对外出售。</w:t>
      </w:r>
    </w:p>
    <w:p>
      <w:pPr>
        <w:wordWrap/>
        <w:autoSpaceDE w:val="0"/>
        <w:autoSpaceDN w:val="0"/>
        <w:spacing w:before="0" w:after="0" w:line="540" w:lineRule="atLeast"/>
        <w:ind w:left="1200" w:right="1180" w:firstLine="600"/>
        <w:jc w:val="both"/>
        <w:textAlignment w:val="auto"/>
        <w:rPr>
          <w:sz w:val="29"/>
        </w:rPr>
      </w:pPr>
      <w:r>
        <w:rPr>
          <w:rFonts w:ascii="宋体" w:hAnsi="宋体" w:eastAsia="宋体" w:cs="宋体"/>
          <w:b w:val="0"/>
          <w:i w:val="0"/>
          <w:strike w:val="0"/>
          <w:color w:val="000000"/>
          <w:sz w:val="29"/>
        </w:rPr>
        <w:t>第十四条 提倡鲜花祭祀，摒弃焚烧纸钱、燃放烟花爆竹的陈规陋习，将祭祀与家风传承相结合。</w:t>
      </w:r>
    </w:p>
    <w:p>
      <w:pPr>
        <w:wordWrap/>
        <w:autoSpaceDE w:val="0"/>
        <w:autoSpaceDN w:val="0"/>
        <w:spacing w:before="180" w:after="0" w:line="380" w:lineRule="atLeast"/>
        <w:ind w:left="1800" w:right="0"/>
        <w:jc w:val="both"/>
        <w:textAlignment w:val="auto"/>
        <w:rPr>
          <w:sz w:val="29"/>
        </w:rPr>
      </w:pPr>
      <w:r>
        <w:rPr>
          <w:rFonts w:ascii="宋体" w:hAnsi="宋体" w:eastAsia="宋体" w:cs="宋体"/>
          <w:b w:val="0"/>
          <w:i w:val="0"/>
          <w:strike w:val="0"/>
          <w:color w:val="000000"/>
          <w:sz w:val="29"/>
        </w:rPr>
        <w:t>第十五条 本办法由广水市民政局负责具体解释。</w:t>
      </w:r>
    </w:p>
    <w:p>
      <w:pPr>
        <w:wordWrap/>
        <w:autoSpaceDE w:val="0"/>
        <w:autoSpaceDN w:val="0"/>
        <w:spacing w:before="160" w:after="0" w:line="380" w:lineRule="atLeast"/>
        <w:ind w:left="1800" w:right="0"/>
        <w:jc w:val="both"/>
        <w:textAlignment w:val="auto"/>
        <w:rPr>
          <w:sz w:val="29"/>
        </w:rPr>
      </w:pPr>
      <w:r>
        <w:rPr>
          <w:rFonts w:ascii="宋体" w:hAnsi="宋体" w:eastAsia="宋体" w:cs="宋体"/>
          <w:b w:val="0"/>
          <w:i w:val="0"/>
          <w:strike w:val="0"/>
          <w:color w:val="000000"/>
          <w:sz w:val="29"/>
        </w:rPr>
        <w:t>第十六条 本办法自2024年 3月20日起施行。</w:t>
      </w:r>
    </w:p>
    <w:sectPr>
      <w:pgSz w:w="11900" w:h="16840"/>
      <w:pgMar w:top="800" w:right="800" w:bottom="800" w:left="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noPunctuationKerning w:val="1"/>
  <w:compat>
    <w:ulTrailSpace/>
    <w:useFELayout/>
    <w:compatSetting w:name="compatibilityMode" w:uri="http://schemas.microsoft.com/office/word" w:val="15"/>
  </w:compat>
  <w:docVars>
    <w:docVar w:name="commondata" w:val="eyJoZGlkIjoiMGY0MjgzMTlmMGE5YTExZmY4OTI5YjViNGFhNmJiNDYifQ=="/>
    <w:docVar w:name="KSO_WPS_MARK_KEY" w:val="d1251975-6e90-4e18-b74f-9e9103e2c251"/>
  </w:docVars>
  <w:rsids>
    <w:rsidRoot w:val="00000000"/>
    <w:rsid w:val="1DDA770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8</Pages>
  <Words>3211</Words>
  <Characters>3235</Characters>
  <TotalTime>7</TotalTime>
  <ScaleCrop>false</ScaleCrop>
  <LinksUpToDate>false</LinksUpToDate>
  <CharactersWithSpaces>3431</CharactersWithSpaces>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2024-03-29T02:09:00Z</dcterms:created>
  <dc:creator>Apache POI</dc:creator>
  <cp:lastModifiedBy>大瑞</cp:lastModifiedBy>
  <dcterms:modified xsi:type="dcterms:W3CDTF">2024-03-29T02:19:29Z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FD600C7713FB4ABBBD2A5DD53A2BA7C4_12</vt:lpwstr>
  </property>
</Properties>
</file>