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陈巷镇轭头村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18086260191</w:t>
      </w:r>
    </w:p>
    <w:p>
      <w:pPr>
        <w:ind w:firstLine="800" w:firstLineChars="250"/>
        <w:jc w:val="left"/>
        <w:rPr>
          <w:rFonts w:ascii="仿宋" w:hAnsi="仿宋" w:eastAsia="仿宋" w:cs="仿宋"/>
          <w:color w:val="auto"/>
          <w:sz w:val="32"/>
          <w:szCs w:val="32"/>
        </w:rPr>
      </w:pPr>
      <w:r>
        <w:rPr>
          <w:rFonts w:hint="eastAsia" w:ascii="仿宋" w:hAnsi="仿宋" w:eastAsia="仿宋" w:cs="仿宋"/>
          <w:color w:val="auto"/>
          <w:sz w:val="32"/>
          <w:szCs w:val="32"/>
        </w:rPr>
        <w:t>(4) 监督电话：0722—</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1.《国务院关于加强农村留守儿童关爱保护工作的意见》国发〔2016〕13号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1、申请：父母双方外出务工或一方外出务工另一方无监护能力、不满16周岁的未成年人。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2、审核：乡镇街道民政部门，对于登记的信息予以核查。</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1.特困人员认定审核审批表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2.户口本</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3.身份证复印件</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4.残疾证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5.特困人员分散供养服务协议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6.城乡特困人员入户调查表</w:t>
            </w:r>
          </w:p>
        </w:tc>
      </w:tr>
      <w:tr>
        <w:tblPrEx>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r>
              <w:rPr>
                <w:rFonts w:hint="eastAsia" w:ascii="仿宋" w:hAnsi="仿宋" w:eastAsia="仿宋" w:cs="仿宋"/>
                <w:color w:val="auto"/>
                <w:kern w:val="0"/>
                <w:sz w:val="27"/>
                <w:szCs w:val="27"/>
              </w:rPr>
              <w:br w:type="textWrapping"/>
            </w: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3、审批：对准予行政许可的，作出准予行政许可的决定。</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4、办结：名单确认。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1、受理：农村地区丈夫外出后单独或与其他家庭成员居住在户籍地的妇女。</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2、审核：村社区将采集的信息，上报镇民政办公室。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0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2"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2"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0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40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1、中华人民共和国居民身份证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2、营业执照</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3、招用人员简章</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777"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1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9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12"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0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709"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709"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09"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09"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6"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09"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4973E6"/>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3E1B43"/>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38371</Words>
  <Characters>43402</Characters>
  <Lines>328</Lines>
  <Paragraphs>92</Paragraphs>
  <TotalTime>15</TotalTime>
  <ScaleCrop>false</ScaleCrop>
  <LinksUpToDate>false</LinksUpToDate>
  <CharactersWithSpaces>43678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2023-11-09T08:56:14Z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