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陈巷镇旭升村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auto"/>
          <w:sz w:val="32"/>
          <w:szCs w:val="32"/>
          <w:lang w:eastAsia="zh-CN"/>
        </w:rPr>
        <w:t>旭升</w:t>
      </w:r>
      <w:r>
        <w:rPr>
          <w:rFonts w:hint="eastAsia" w:ascii="仿宋" w:hAnsi="仿宋" w:eastAsia="仿宋" w:cs="仿宋"/>
          <w:color w:val="auto"/>
          <w:sz w:val="32"/>
          <w:szCs w:val="32"/>
        </w:rPr>
        <w:t>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18086260191</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陈巷镇</w:t>
            </w:r>
            <w:r>
              <w:rPr>
                <w:rFonts w:hint="eastAsia" w:ascii="仿宋" w:hAnsi="仿宋" w:eastAsia="仿宋" w:cs="仿宋"/>
                <w:color w:val="auto"/>
                <w:kern w:val="0"/>
                <w:szCs w:val="21"/>
                <w:lang w:val="en-US" w:eastAsia="zh-CN"/>
              </w:rPr>
              <w:t>-</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村，点击页面上方“个人服务”，点击“按主题分类”，选择“交通安全宣传”，点击“在线办理”。即可线上申请。</w:t>
            </w:r>
          </w:p>
          <w:p>
            <w:pPr>
              <w:widowControl/>
              <w:spacing w:line="360" w:lineRule="auto"/>
              <w:textAlignment w:val="center"/>
              <w:rPr>
                <w:rFonts w:hint="default" w:ascii="仿宋" w:hAnsi="仿宋" w:eastAsia="仿宋" w:cs="仿宋"/>
                <w:b/>
                <w:bCs/>
                <w:color w:val="auto"/>
                <w:szCs w:val="21"/>
                <w:lang w:val="en-US" w:eastAsia="zh-CN"/>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陈巷镇旭升</w:t>
            </w:r>
            <w:r>
              <w:rPr>
                <w:rFonts w:hint="eastAsia" w:ascii="仿宋" w:hAnsi="仿宋" w:eastAsia="仿宋" w:cs="仿宋"/>
                <w:color w:val="auto"/>
                <w:kern w:val="0"/>
                <w:szCs w:val="21"/>
              </w:rPr>
              <w:t>村便民服务室;  联系人：</w:t>
            </w:r>
            <w:r>
              <w:rPr>
                <w:rFonts w:hint="eastAsia" w:ascii="仿宋" w:hAnsi="仿宋" w:eastAsia="仿宋" w:cs="仿宋"/>
                <w:color w:val="auto"/>
                <w:kern w:val="0"/>
                <w:szCs w:val="21"/>
                <w:lang w:eastAsia="zh-CN"/>
              </w:rPr>
              <w:t>彭春花</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18086260191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陈巷镇</w:t>
            </w:r>
            <w:r>
              <w:rPr>
                <w:rFonts w:hint="eastAsia" w:ascii="仿宋" w:hAnsi="仿宋" w:eastAsia="仿宋" w:cs="仿宋"/>
                <w:color w:val="auto"/>
                <w:kern w:val="0"/>
                <w:szCs w:val="21"/>
              </w:rPr>
              <w:t>—</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w:t>
            </w:r>
            <w:r>
              <w:rPr>
                <w:rFonts w:hint="eastAsia" w:ascii="仿宋" w:hAnsi="仿宋" w:eastAsia="仿宋" w:cs="仿宋"/>
                <w:color w:val="auto"/>
                <w:kern w:val="0"/>
                <w:szCs w:val="21"/>
              </w:rPr>
              <w:t>街道</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村便民服务室;  联系人：</w:t>
            </w:r>
            <w:r>
              <w:rPr>
                <w:rFonts w:hint="eastAsia" w:ascii="仿宋" w:hAnsi="仿宋" w:eastAsia="仿宋" w:cs="仿宋"/>
                <w:color w:val="auto"/>
                <w:kern w:val="0"/>
                <w:szCs w:val="21"/>
                <w:lang w:eastAsia="zh-CN"/>
              </w:rPr>
              <w:t>彭春花</w:t>
            </w:r>
            <w:r>
              <w:rPr>
                <w:rFonts w:hint="eastAsia" w:ascii="仿宋" w:hAnsi="仿宋" w:eastAsia="仿宋" w:cs="仿宋"/>
                <w:color w:val="auto"/>
                <w:kern w:val="0"/>
                <w:szCs w:val="21"/>
              </w:rPr>
              <w:t xml:space="preserve"> 联系电话：</w:t>
            </w:r>
            <w:r>
              <w:rPr>
                <w:rFonts w:hint="eastAsia" w:ascii="仿宋" w:hAnsi="仿宋" w:eastAsia="仿宋" w:cs="仿宋"/>
                <w:color w:val="auto"/>
                <w:kern w:val="0"/>
                <w:szCs w:val="21"/>
                <w:lang w:val="en-US" w:eastAsia="zh-CN"/>
              </w:rPr>
              <w:t>18086260191</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陈巷旭升</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14552A"/>
    <w:rsid w:val="523233D0"/>
    <w:rsid w:val="52C66D5A"/>
    <w:rsid w:val="530F7F15"/>
    <w:rsid w:val="544D2FD3"/>
    <w:rsid w:val="54535B9F"/>
    <w:rsid w:val="55006D71"/>
    <w:rsid w:val="55156A8A"/>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38371</Words>
  <Characters>43402</Characters>
  <Lines>328</Lines>
  <Paragraphs>92</Paragraphs>
  <TotalTime>27</TotalTime>
  <ScaleCrop>false</ScaleCrop>
  <LinksUpToDate>false</LinksUpToDate>
  <CharactersWithSpaces>43678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2023-11-10T07:19:57Z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4375ABFC5A824B66884F90873B3BB2A9</vt:lpwstr>
  </property>
</Properties>
</file>