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25" w:line="219" w:lineRule="auto"/>
        <w:outlineLvl w:val="0"/>
        <w:tabs>
          <w:tab w:val="left" w:pos="367"/>
        </w:tabs>
        <w:rPr>
          <w:rFonts w:ascii="SimSun" w:hAnsi="SimSun" w:eastAsia="SimSun" w:cs="SimSun"/>
          <w:sz w:val="112"/>
          <w:szCs w:val="112"/>
        </w:rPr>
      </w:pPr>
      <w:r>
        <w:rPr>
          <w:rFonts w:ascii="SimSun" w:hAnsi="SimSun" w:eastAsia="SimSun" w:cs="SimSun"/>
          <w:sz w:val="112"/>
          <w:szCs w:val="112"/>
          <w:u w:val="single" w:color="FF0000"/>
          <w:color w:val="F90800"/>
        </w:rPr>
        <w:tab/>
      </w:r>
      <w:r>
        <w:rPr>
          <w:rFonts w:ascii="SimSun" w:hAnsi="SimSun" w:eastAsia="SimSun" w:cs="SimSun"/>
          <w:sz w:val="112"/>
          <w:szCs w:val="112"/>
          <w:b/>
          <w:bCs/>
          <w:u w:val="single" w:color="FF0000"/>
          <w:color w:val="F90800"/>
          <w:spacing w:val="-58"/>
          <w:w w:val="53"/>
        </w:rPr>
        <w:t>广水市殡葬改革工作领导小组办公室</w:t>
      </w:r>
      <w:r>
        <w:rPr>
          <w:rFonts w:ascii="SimSun" w:hAnsi="SimSun" w:eastAsia="SimSun" w:cs="SimSun"/>
          <w:sz w:val="112"/>
          <w:szCs w:val="112"/>
          <w:u w:val="single" w:color="FF0000"/>
          <w:color w:val="F90800"/>
          <w:spacing w:val="112"/>
        </w:rPr>
        <w:t xml:space="preserve"> </w:t>
      </w:r>
    </w:p>
    <w:p>
      <w:pPr>
        <w:ind w:left="836"/>
        <w:spacing w:before="33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关于殡葬改革近期在急的几项重点工作的</w:t>
      </w:r>
    </w:p>
    <w:p>
      <w:pPr>
        <w:ind w:left="4036"/>
        <w:spacing w:before="259" w:line="220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16"/>
        </w:rPr>
        <w:t>提</w:t>
      </w:r>
      <w:r>
        <w:rPr>
          <w:rFonts w:ascii="SimSun" w:hAnsi="SimSun" w:eastAsia="SimSun" w:cs="SimSun"/>
          <w:sz w:val="48"/>
          <w:szCs w:val="48"/>
          <w:spacing w:val="60"/>
        </w:rPr>
        <w:t xml:space="preserve">  </w:t>
      </w:r>
      <w:r>
        <w:rPr>
          <w:rFonts w:ascii="SimSun" w:hAnsi="SimSun" w:eastAsia="SimSun" w:cs="SimSun"/>
          <w:sz w:val="48"/>
          <w:szCs w:val="48"/>
          <w:b/>
          <w:bCs/>
          <w:spacing w:val="-16"/>
        </w:rPr>
        <w:t>示</w:t>
      </w:r>
    </w:p>
    <w:p>
      <w:pPr>
        <w:pStyle w:val="BodyText"/>
        <w:ind w:left="359" w:right="310" w:firstLine="655"/>
        <w:spacing w:before="116" w:line="294" w:lineRule="auto"/>
        <w:rPr/>
      </w:pPr>
      <w:r>
        <w:rPr>
          <w:rFonts w:ascii="KaiTi" w:hAnsi="KaiTi" w:eastAsia="KaiTi" w:cs="KaiTi"/>
          <w:b/>
          <w:bCs/>
          <w:spacing w:val="-40"/>
        </w:rPr>
        <w:t>1、召开动员部署会。</w:t>
      </w:r>
      <w:r>
        <w:rPr>
          <w:spacing w:val="-40"/>
        </w:rPr>
        <w:t>召开党政主要领导参加的</w:t>
      </w:r>
      <w:r>
        <w:rPr>
          <w:spacing w:val="-41"/>
        </w:rPr>
        <w:t>深化殡葬改</w:t>
      </w:r>
      <w:r>
        <w:rPr/>
        <w:t xml:space="preserve"> </w:t>
      </w:r>
      <w:r>
        <w:rPr>
          <w:spacing w:val="-53"/>
        </w:rPr>
        <w:t>革实施全域火葬动员部署会议，层层签订目标责任书，组织本地、</w:t>
      </w:r>
    </w:p>
    <w:p>
      <w:pPr>
        <w:pStyle w:val="BodyText"/>
        <w:ind w:left="359"/>
        <w:spacing w:before="1" w:line="220" w:lineRule="auto"/>
        <w:rPr/>
      </w:pPr>
      <w:r>
        <w:rPr>
          <w:spacing w:val="-40"/>
        </w:rPr>
        <w:t>本单位、本系统党员、干部和公职人员签订承诺书。</w:t>
      </w:r>
    </w:p>
    <w:p>
      <w:pPr>
        <w:pStyle w:val="BodyText"/>
        <w:ind w:left="359" w:right="349" w:firstLine="655"/>
        <w:spacing w:before="128" w:line="292" w:lineRule="auto"/>
        <w:rPr/>
      </w:pPr>
      <w:r>
        <w:rPr>
          <w:rFonts w:ascii="SimSun" w:hAnsi="SimSun" w:eastAsia="SimSun" w:cs="SimSun"/>
          <w:b/>
          <w:bCs/>
          <w:spacing w:val="-39"/>
        </w:rPr>
        <w:t>2、</w:t>
      </w:r>
      <w:r>
        <w:rPr>
          <w:rFonts w:ascii="KaiTi" w:hAnsi="KaiTi" w:eastAsia="KaiTi" w:cs="KaiTi"/>
          <w:b/>
          <w:bCs/>
          <w:spacing w:val="-39"/>
        </w:rPr>
        <w:t>加快殡葬设施建设</w:t>
      </w:r>
      <w:r>
        <w:rPr>
          <w:rFonts w:ascii="SimSun" w:hAnsi="SimSun" w:eastAsia="SimSun" w:cs="SimSun"/>
          <w:b/>
          <w:bCs/>
          <w:spacing w:val="-39"/>
        </w:rPr>
        <w:t>。</w:t>
      </w:r>
      <w:r>
        <w:rPr>
          <w:spacing w:val="-39"/>
        </w:rPr>
        <w:t>一是完善镇村两级公益性公墓配套</w:t>
      </w:r>
      <w:r>
        <w:rPr>
          <w:spacing w:val="16"/>
        </w:rPr>
        <w:t xml:space="preserve"> </w:t>
      </w:r>
      <w:r>
        <w:rPr>
          <w:spacing w:val="-25"/>
        </w:rPr>
        <w:t>设施建设(道路、绿化、围挡、集中焚烧炉等)</w:t>
      </w:r>
      <w:r>
        <w:rPr>
          <w:spacing w:val="-26"/>
        </w:rPr>
        <w:t>;二是加快镇级</w:t>
      </w:r>
      <w:r>
        <w:rPr/>
        <w:t xml:space="preserve"> </w:t>
      </w:r>
      <w:r>
        <w:rPr>
          <w:spacing w:val="-38"/>
        </w:rPr>
        <w:t>殡仪服务中心建设，做到“六有”(有场子、有牌子、有班子、</w:t>
      </w:r>
    </w:p>
    <w:p>
      <w:pPr>
        <w:pStyle w:val="BodyText"/>
        <w:ind w:left="359"/>
        <w:spacing w:before="1" w:line="219" w:lineRule="auto"/>
        <w:rPr/>
      </w:pPr>
      <w:r>
        <w:rPr>
          <w:spacing w:val="-37"/>
        </w:rPr>
        <w:t>有柜子、有车子、有厨子)。</w:t>
      </w:r>
    </w:p>
    <w:p>
      <w:pPr>
        <w:pStyle w:val="BodyText"/>
        <w:ind w:left="359" w:right="395" w:firstLine="655"/>
        <w:spacing w:before="130" w:line="289" w:lineRule="auto"/>
        <w:rPr/>
      </w:pPr>
      <w:r>
        <w:rPr>
          <w:rFonts w:ascii="KaiTi" w:hAnsi="KaiTi" w:eastAsia="KaiTi" w:cs="KaiTi"/>
          <w:b/>
          <w:bCs/>
          <w:spacing w:val="-40"/>
        </w:rPr>
        <w:t>3、规范公墓管理运营。</w:t>
      </w:r>
      <w:r>
        <w:rPr>
          <w:spacing w:val="-40"/>
        </w:rPr>
        <w:t>待镇级公墓政府定价出台</w:t>
      </w:r>
      <w:r>
        <w:rPr>
          <w:spacing w:val="-41"/>
        </w:rPr>
        <w:t>后，村级</w:t>
      </w:r>
      <w:r>
        <w:rPr/>
        <w:t xml:space="preserve"> </w:t>
      </w:r>
      <w:r>
        <w:rPr>
          <w:spacing w:val="-45"/>
        </w:rPr>
        <w:t>公墓墓穴价位比照镇级公墓收费标准，召开村民代表大会，讨论</w:t>
      </w:r>
      <w:r>
        <w:rPr>
          <w:spacing w:val="13"/>
        </w:rPr>
        <w:t xml:space="preserve"> </w:t>
      </w:r>
      <w:r>
        <w:rPr>
          <w:spacing w:val="-45"/>
        </w:rPr>
        <w:t>通过执行；公益性公墓落实专人管理，建立管理制度，规范管理</w:t>
      </w:r>
    </w:p>
    <w:p>
      <w:pPr>
        <w:pStyle w:val="BodyText"/>
        <w:ind w:left="359"/>
        <w:spacing w:before="2" w:line="223" w:lineRule="auto"/>
        <w:rPr/>
      </w:pPr>
      <w:r>
        <w:rPr>
          <w:spacing w:val="-27"/>
        </w:rPr>
        <w:t>运营。</w:t>
      </w:r>
    </w:p>
    <w:p>
      <w:pPr>
        <w:pStyle w:val="BodyText"/>
        <w:ind w:left="359" w:right="260" w:firstLine="655"/>
        <w:spacing w:before="162" w:line="280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1600240</wp:posOffset>
            </wp:positionH>
            <wp:positionV relativeFrom="paragraph">
              <wp:posOffset>-292071</wp:posOffset>
            </wp:positionV>
            <wp:extent cx="1047708" cy="143505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7708" cy="143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b/>
          <w:bCs/>
          <w:spacing w:val="-25"/>
        </w:rPr>
        <w:t>4、加大宣传力度。</w:t>
      </w:r>
      <w:r>
        <w:rPr>
          <w:spacing w:val="-25"/>
        </w:rPr>
        <w:t>召开党委(党组)会、理论中心组学习</w:t>
      </w:r>
      <w:r>
        <w:rPr>
          <w:spacing w:val="15"/>
        </w:rPr>
        <w:t xml:space="preserve"> </w:t>
      </w:r>
      <w:r>
        <w:rPr>
          <w:spacing w:val="-51"/>
        </w:rPr>
        <w:t>会、支部主题党日等会议形式进行宣传；出动宣传车，悬挂横幅，</w:t>
      </w:r>
    </w:p>
    <w:p>
      <w:pPr>
        <w:pStyle w:val="BodyText"/>
        <w:ind w:left="359"/>
        <w:spacing w:before="1" w:line="218" w:lineRule="auto"/>
        <w:rPr/>
      </w:pPr>
      <w:r>
        <w:rPr>
          <w:spacing w:val="-49"/>
        </w:rPr>
        <w:t>张贴标语、《广水市人民政府关于实施全域火葬的通</w:t>
      </w:r>
      <w:r>
        <w:rPr>
          <w:spacing w:val="-50"/>
        </w:rPr>
        <w:t>告》,利用电</w:t>
      </w:r>
    </w:p>
    <w:p>
      <w:pPr>
        <w:pStyle w:val="BodyText"/>
        <w:ind w:left="359" w:right="290"/>
        <w:spacing w:before="127" w:line="282" w:lineRule="auto"/>
        <w:jc w:val="both"/>
        <w:rPr/>
      </w:pPr>
      <w:r>
        <w:rPr>
          <w:spacing w:val="-39"/>
        </w:rPr>
        <w:t>子显示屏、村(社区)微信群、抖音公众号</w:t>
      </w:r>
      <w:r>
        <w:rPr>
          <w:spacing w:val="-40"/>
        </w:rPr>
        <w:t>、“村村通”小喇叭、</w:t>
      </w:r>
      <w:r>
        <w:rPr/>
        <w:t xml:space="preserve"> </w:t>
      </w:r>
      <w:r>
        <w:rPr>
          <w:spacing w:val="-43"/>
        </w:rPr>
        <w:t>“红袖章”等宣传形式，广泛深入开展宣传，做到家喻户晓；组</w:t>
      </w:r>
      <w:r>
        <w:rPr>
          <w:spacing w:val="5"/>
        </w:rPr>
        <w:t xml:space="preserve"> </w:t>
      </w:r>
      <w:r>
        <w:rPr>
          <w:spacing w:val="-44"/>
        </w:rPr>
        <w:t>建舆情监测队伍，制定工作预案，建立舆情应对机制，防止出现</w:t>
      </w:r>
    </w:p>
    <w:p>
      <w:pPr>
        <w:pStyle w:val="BodyText"/>
        <w:ind w:left="359"/>
        <w:spacing w:line="220" w:lineRule="auto"/>
        <w:rPr/>
      </w:pPr>
      <w:r>
        <w:rPr>
          <w:spacing w:val="-37"/>
        </w:rPr>
        <w:t>媒体恶意炒作；统计辖区内居地单位、自然湾，社区区块(居民</w:t>
      </w:r>
    </w:p>
    <w:p>
      <w:pPr>
        <w:spacing w:line="220" w:lineRule="auto"/>
        <w:sectPr>
          <w:footerReference w:type="default" r:id="rId1"/>
          <w:pgSz w:w="11900" w:h="16820"/>
          <w:pgMar w:top="1325" w:right="1039" w:bottom="1190" w:left="1269" w:header="0" w:footer="1129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小组)数，填报《&lt;关于实施全域火葬的通告&gt;印制数量统计表》</w:t>
      </w:r>
    </w:p>
    <w:p>
      <w:pPr>
        <w:pStyle w:val="BodyText"/>
        <w:ind w:firstLine="199"/>
        <w:spacing w:before="181" w:line="330" w:lineRule="auto"/>
        <w:jc w:val="both"/>
        <w:rPr>
          <w:sz w:val="31"/>
          <w:szCs w:val="31"/>
        </w:rPr>
      </w:pPr>
      <w:r>
        <w:rPr>
          <w:sz w:val="31"/>
          <w:szCs w:val="31"/>
          <w:spacing w:val="19"/>
        </w:rPr>
        <w:t>(附件1),于12月26日下午下班前报市殡葬改革领导小组办公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-2"/>
        </w:rPr>
        <w:t>室，以确定统一印制《广水市人民政府关于实施全域火葬的通告》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数量。</w:t>
      </w:r>
    </w:p>
    <w:p>
      <w:pPr>
        <w:pStyle w:val="BodyText"/>
        <w:ind w:right="142" w:firstLine="624"/>
        <w:spacing w:before="222" w:line="328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5、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规范殡葬用品市场及从业人员管理。</w:t>
      </w:r>
      <w:r>
        <w:rPr>
          <w:sz w:val="31"/>
          <w:szCs w:val="31"/>
          <w:spacing w:val="4"/>
        </w:rPr>
        <w:t>对辖区内道士、风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水先生、乐队、戏班等殡葬从业人员调查摸底，填报《殡葬从业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9"/>
        </w:rPr>
        <w:t>人员调查摸底登记表》,并于12月底前报市殡葬改革领导小组办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4"/>
        </w:rPr>
        <w:t>公室备案；组织从业人员集中培训学习，充</w:t>
      </w:r>
      <w:r>
        <w:rPr>
          <w:sz w:val="31"/>
          <w:szCs w:val="31"/>
          <w:spacing w:val="3"/>
        </w:rPr>
        <w:t>分利用从业人员收集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居民死亡信息、宣传殡葬改革政策法规，引导群众支持配合</w:t>
      </w:r>
      <w:r>
        <w:rPr>
          <w:sz w:val="31"/>
          <w:szCs w:val="31"/>
          <w:spacing w:val="3"/>
        </w:rPr>
        <w:t>殡葬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改革，骨灰进公墓安葬；组织属地公安、市场监管、城管等力量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3"/>
        </w:rPr>
        <w:t>对棺材店、墓碑店、社会治丧点等重点场所开展专项整治，引导</w:t>
      </w:r>
    </w:p>
    <w:p>
      <w:pPr>
        <w:pStyle w:val="BodyText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其及时转型。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1" w:line="580" w:lineRule="exact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3155903</wp:posOffset>
            </wp:positionH>
            <wp:positionV relativeFrom="paragraph">
              <wp:posOffset>563410</wp:posOffset>
            </wp:positionV>
            <wp:extent cx="1447840" cy="145411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840" cy="145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-4"/>
          <w:position w:val="20"/>
        </w:rPr>
        <w:t>附件：1.</w:t>
      </w:r>
      <w:r>
        <w:rPr>
          <w:sz w:val="31"/>
          <w:szCs w:val="31"/>
          <w:spacing w:val="-4"/>
          <w:position w:val="20"/>
        </w:rPr>
        <w:t xml:space="preserve"> </w:t>
      </w:r>
      <w:r>
        <w:rPr>
          <w:sz w:val="31"/>
          <w:szCs w:val="31"/>
          <w:spacing w:val="-4"/>
          <w:position w:val="20"/>
        </w:rPr>
        <w:t>《关于实施全域火葬的通告》</w:t>
      </w:r>
      <w:r>
        <w:rPr>
          <w:sz w:val="31"/>
          <w:szCs w:val="31"/>
          <w:spacing w:val="-5"/>
          <w:position w:val="20"/>
        </w:rPr>
        <w:t>印制数量统计表</w:t>
      </w:r>
    </w:p>
    <w:p>
      <w:pPr>
        <w:pStyle w:val="BodyText"/>
        <w:ind w:left="1569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2.</w:t>
      </w:r>
      <w:r>
        <w:rPr>
          <w:sz w:val="31"/>
          <w:szCs w:val="31"/>
          <w:spacing w:val="-7"/>
        </w:rPr>
        <w:t xml:space="preserve"> </w:t>
      </w:r>
      <w:r>
        <w:rPr>
          <w:sz w:val="31"/>
          <w:szCs w:val="31"/>
          <w:spacing w:val="-7"/>
        </w:rPr>
        <w:t>《殡葬从业人员调查摸底登记表》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5039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27"/>
        </w:rPr>
        <w:t>2023年12月25</w:t>
      </w:r>
      <w:r>
        <w:rPr>
          <w:sz w:val="31"/>
          <w:szCs w:val="31"/>
          <w:spacing w:val="-27"/>
        </w:rPr>
        <w:t xml:space="preserve"> </w:t>
      </w:r>
      <w:r>
        <w:rPr>
          <w:sz w:val="31"/>
          <w:szCs w:val="31"/>
          <w:spacing w:val="27"/>
        </w:rPr>
        <w:t>日</w:t>
      </w:r>
    </w:p>
    <w:p>
      <w:pPr>
        <w:spacing w:line="222" w:lineRule="auto"/>
        <w:sectPr>
          <w:footerReference w:type="default" r:id="rId3"/>
          <w:pgSz w:w="12060" w:h="16930"/>
          <w:pgMar w:top="1439" w:right="1505" w:bottom="400" w:left="1620" w:header="0" w:footer="0" w:gutter="0"/>
        </w:sectPr>
        <w:rPr>
          <w:sz w:val="31"/>
          <w:szCs w:val="31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ind w:left="58"/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9"/>
        </w:rPr>
        <w:t>附件1: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626"/>
        <w:spacing w:before="153" w:line="657" w:lineRule="exac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4"/>
          <w:position w:val="12"/>
        </w:rPr>
        <w:t>《关于实施全域火葬的通告》印制数量</w:t>
      </w:r>
    </w:p>
    <w:p>
      <w:pPr>
        <w:ind w:left="4001"/>
        <w:spacing w:before="1" w:line="220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"/>
        </w:rPr>
        <w:t>统计表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84"/>
        <w:spacing w:before="88" w:line="229" w:lineRule="auto"/>
        <w:rPr>
          <w:sz w:val="24"/>
          <w:szCs w:val="24"/>
        </w:rPr>
      </w:pPr>
      <w:r>
        <w:rPr>
          <w:sz w:val="27"/>
          <w:szCs w:val="27"/>
          <w:spacing w:val="-18"/>
          <w:position w:val="-1"/>
        </w:rPr>
        <w:t>镇</w:t>
      </w:r>
      <w:r>
        <w:rPr>
          <w:sz w:val="27"/>
          <w:szCs w:val="27"/>
          <w:spacing w:val="-18"/>
          <w:position w:val="-1"/>
        </w:rPr>
        <w:t xml:space="preserve"> </w:t>
      </w:r>
      <w:r>
        <w:rPr>
          <w:sz w:val="27"/>
          <w:szCs w:val="27"/>
          <w:spacing w:val="-18"/>
          <w:position w:val="-1"/>
        </w:rPr>
        <w:t>(</w:t>
      </w:r>
      <w:r>
        <w:rPr>
          <w:sz w:val="27"/>
          <w:szCs w:val="27"/>
          <w:spacing w:val="-54"/>
          <w:position w:val="-1"/>
        </w:rPr>
        <w:t xml:space="preserve"> </w:t>
      </w:r>
      <w:r>
        <w:rPr>
          <w:sz w:val="27"/>
          <w:szCs w:val="27"/>
          <w:spacing w:val="-18"/>
          <w:position w:val="-1"/>
        </w:rPr>
        <w:t>街</w:t>
      </w:r>
      <w:r>
        <w:rPr>
          <w:sz w:val="27"/>
          <w:szCs w:val="27"/>
          <w:spacing w:val="-52"/>
          <w:position w:val="-1"/>
        </w:rPr>
        <w:t xml:space="preserve"> </w:t>
      </w:r>
      <w:r>
        <w:rPr>
          <w:sz w:val="27"/>
          <w:szCs w:val="27"/>
          <w:spacing w:val="-18"/>
          <w:position w:val="-1"/>
        </w:rPr>
        <w:t>道</w:t>
      </w:r>
      <w:r>
        <w:rPr>
          <w:sz w:val="27"/>
          <w:szCs w:val="27"/>
          <w:spacing w:val="-61"/>
          <w:position w:val="-1"/>
        </w:rPr>
        <w:t xml:space="preserve"> </w:t>
      </w:r>
      <w:r>
        <w:rPr>
          <w:sz w:val="27"/>
          <w:szCs w:val="27"/>
          <w:spacing w:val="-18"/>
          <w:position w:val="-1"/>
        </w:rPr>
        <w:t>)</w:t>
      </w:r>
      <w:r>
        <w:rPr>
          <w:sz w:val="27"/>
          <w:szCs w:val="27"/>
          <w:spacing w:val="-33"/>
          <w:position w:val="-1"/>
        </w:rPr>
        <w:t xml:space="preserve"> </w:t>
      </w:r>
      <w:r>
        <w:rPr>
          <w:sz w:val="27"/>
          <w:szCs w:val="27"/>
          <w:spacing w:val="-18"/>
          <w:position w:val="-1"/>
        </w:rPr>
        <w:t>:</w:t>
      </w:r>
      <w:r>
        <w:rPr>
          <w:sz w:val="27"/>
          <w:szCs w:val="27"/>
          <w:spacing w:val="3"/>
          <w:position w:val="-1"/>
        </w:rPr>
        <w:t xml:space="preserve">                            </w:t>
      </w:r>
      <w:r>
        <w:rPr>
          <w:sz w:val="27"/>
          <w:szCs w:val="27"/>
          <w:spacing w:val="-18"/>
        </w:rPr>
        <w:t>填报时间：</w:t>
      </w:r>
      <w:r>
        <w:rPr>
          <w:sz w:val="27"/>
          <w:szCs w:val="27"/>
          <w:spacing w:val="-18"/>
        </w:rPr>
        <w:t xml:space="preserve">      </w:t>
      </w:r>
      <w:r>
        <w:rPr>
          <w:sz w:val="24"/>
          <w:szCs w:val="24"/>
          <w:spacing w:val="-18"/>
          <w:position w:val="2"/>
        </w:rPr>
        <w:t>年</w:t>
      </w:r>
      <w:r>
        <w:rPr>
          <w:sz w:val="24"/>
          <w:szCs w:val="24"/>
          <w:spacing w:val="-18"/>
          <w:position w:val="2"/>
        </w:rPr>
        <w:t xml:space="preserve">    </w:t>
      </w:r>
      <w:r>
        <w:rPr>
          <w:sz w:val="24"/>
          <w:szCs w:val="24"/>
          <w:spacing w:val="-19"/>
          <w:position w:val="2"/>
        </w:rPr>
        <w:t xml:space="preserve">  </w:t>
      </w:r>
      <w:r>
        <w:rPr>
          <w:sz w:val="24"/>
          <w:szCs w:val="24"/>
          <w:spacing w:val="-19"/>
          <w:position w:val="2"/>
        </w:rPr>
        <w:t>月</w:t>
      </w:r>
      <w:r>
        <w:rPr>
          <w:sz w:val="24"/>
          <w:szCs w:val="24"/>
          <w:spacing w:val="-19"/>
          <w:position w:val="2"/>
        </w:rPr>
        <w:t xml:space="preserve">      </w:t>
      </w:r>
      <w:r>
        <w:rPr>
          <w:sz w:val="24"/>
          <w:szCs w:val="24"/>
          <w:spacing w:val="-19"/>
          <w:position w:val="2"/>
        </w:rPr>
        <w:t>日</w:t>
      </w:r>
    </w:p>
    <w:p>
      <w:pPr>
        <w:spacing w:line="91" w:lineRule="exact"/>
        <w:rPr/>
      </w:pPr>
      <w:r/>
    </w:p>
    <w:tbl>
      <w:tblPr>
        <w:tblStyle w:val="TableNormal"/>
        <w:tblW w:w="94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3"/>
        <w:gridCol w:w="2197"/>
        <w:gridCol w:w="2807"/>
        <w:gridCol w:w="2163"/>
      </w:tblGrid>
      <w:tr>
        <w:trPr>
          <w:trHeight w:val="844" w:hRule="atLeast"/>
        </w:trPr>
        <w:tc>
          <w:tcPr>
            <w:tcW w:w="2253" w:type="dxa"/>
            <w:vAlign w:val="top"/>
          </w:tcPr>
          <w:p>
            <w:pPr>
              <w:ind w:left="175"/>
              <w:spacing w:before="104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辖区内居地单位</w:t>
            </w:r>
          </w:p>
          <w:p>
            <w:pPr>
              <w:ind w:left="845"/>
              <w:spacing w:before="81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(个)</w:t>
            </w:r>
          </w:p>
        </w:tc>
        <w:tc>
          <w:tcPr>
            <w:tcW w:w="2197" w:type="dxa"/>
            <w:vAlign w:val="top"/>
          </w:tcPr>
          <w:p>
            <w:pPr>
              <w:ind w:left="312"/>
              <w:spacing w:before="29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自然湾(个)</w:t>
            </w:r>
          </w:p>
        </w:tc>
        <w:tc>
          <w:tcPr>
            <w:tcW w:w="2807" w:type="dxa"/>
            <w:vAlign w:val="top"/>
          </w:tcPr>
          <w:p>
            <w:pPr>
              <w:ind w:left="185"/>
              <w:spacing w:before="10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社区区块、居民小组</w:t>
            </w:r>
          </w:p>
          <w:p>
            <w:pPr>
              <w:ind w:left="1125"/>
              <w:spacing w:before="88"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(个)</w:t>
            </w:r>
          </w:p>
        </w:tc>
        <w:tc>
          <w:tcPr>
            <w:tcW w:w="2163" w:type="dxa"/>
            <w:vAlign w:val="top"/>
          </w:tcPr>
          <w:p>
            <w:pPr>
              <w:ind w:left="568"/>
              <w:spacing w:before="29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印制总数</w:t>
            </w:r>
          </w:p>
        </w:tc>
      </w:tr>
      <w:tr>
        <w:trPr>
          <w:trHeight w:val="51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5" w:hRule="atLeast"/>
        </w:trPr>
        <w:tc>
          <w:tcPr>
            <w:tcW w:w="22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6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1429" w:right="1224" w:bottom="400" w:left="124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93" w:lineRule="auto"/>
        <w:rPr>
          <w:rFonts w:ascii="Arial"/>
          <w:sz w:val="21"/>
        </w:rPr>
      </w:pPr>
      <w:r/>
    </w:p>
    <w:p>
      <w:pPr>
        <w:ind w:left="2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附件2:</w:t>
      </w:r>
    </w:p>
    <w:p>
      <w:pPr>
        <w:ind w:left="4151"/>
        <w:spacing w:before="289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7"/>
        </w:rPr>
        <w:t>殡葬从业人员调查摸底登记表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45"/>
        <w:spacing w:before="75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4"/>
        </w:rPr>
        <w:t>镇(街道):                                                                             </w:t>
      </w:r>
      <w:r>
        <w:rPr>
          <w:rFonts w:ascii="SimSun" w:hAnsi="SimSun" w:eastAsia="SimSun" w:cs="SimSun"/>
          <w:sz w:val="23"/>
          <w:szCs w:val="23"/>
          <w:spacing w:val="-5"/>
        </w:rPr>
        <w:t xml:space="preserve">          </w:t>
      </w:r>
      <w:r>
        <w:rPr>
          <w:rFonts w:ascii="SimSun" w:hAnsi="SimSun" w:eastAsia="SimSun" w:cs="SimSun"/>
          <w:sz w:val="23"/>
          <w:szCs w:val="23"/>
          <w:spacing w:val="-5"/>
          <w:position w:val="1"/>
        </w:rPr>
        <w:t>填报时间：     </w:t>
      </w:r>
      <w:r>
        <w:rPr>
          <w:rFonts w:ascii="SimSun" w:hAnsi="SimSun" w:eastAsia="SimSun" w:cs="SimSun"/>
          <w:sz w:val="23"/>
          <w:szCs w:val="23"/>
          <w:spacing w:val="-5"/>
          <w:position w:val="-1"/>
        </w:rPr>
        <w:t>年     月      日</w:t>
      </w:r>
    </w:p>
    <w:p>
      <w:pPr>
        <w:spacing w:line="32" w:lineRule="exact"/>
        <w:rPr/>
      </w:pPr>
      <w:r/>
    </w:p>
    <w:tbl>
      <w:tblPr>
        <w:tblStyle w:val="TableNormal"/>
        <w:tblW w:w="145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3"/>
        <w:gridCol w:w="1009"/>
        <w:gridCol w:w="2278"/>
        <w:gridCol w:w="710"/>
        <w:gridCol w:w="2109"/>
        <w:gridCol w:w="4107"/>
        <w:gridCol w:w="1954"/>
      </w:tblGrid>
      <w:tr>
        <w:trPr>
          <w:trHeight w:val="635" w:hRule="atLeast"/>
        </w:trPr>
        <w:tc>
          <w:tcPr>
            <w:tcW w:w="2353" w:type="dxa"/>
            <w:vAlign w:val="top"/>
          </w:tcPr>
          <w:p>
            <w:pPr>
              <w:ind w:left="204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殡葬从业人员类别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2278" w:type="dxa"/>
            <w:vAlign w:val="top"/>
          </w:tcPr>
          <w:p>
            <w:pPr>
              <w:ind w:left="652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身份证号</w:t>
            </w:r>
          </w:p>
        </w:tc>
        <w:tc>
          <w:tcPr>
            <w:tcW w:w="710" w:type="dxa"/>
            <w:vAlign w:val="top"/>
          </w:tcPr>
          <w:p>
            <w:pPr>
              <w:ind w:left="104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性别</w:t>
            </w:r>
          </w:p>
        </w:tc>
        <w:tc>
          <w:tcPr>
            <w:tcW w:w="2109" w:type="dxa"/>
            <w:vAlign w:val="top"/>
          </w:tcPr>
          <w:p>
            <w:pPr>
              <w:ind w:left="804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村居</w:t>
            </w:r>
          </w:p>
        </w:tc>
        <w:tc>
          <w:tcPr>
            <w:tcW w:w="4107" w:type="dxa"/>
            <w:vAlign w:val="top"/>
          </w:tcPr>
          <w:p>
            <w:pPr>
              <w:ind w:left="1805"/>
              <w:spacing w:before="20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住址</w:t>
            </w:r>
          </w:p>
        </w:tc>
        <w:tc>
          <w:tcPr>
            <w:tcW w:w="1954" w:type="dxa"/>
            <w:vAlign w:val="top"/>
          </w:tcPr>
          <w:p>
            <w:pPr>
              <w:ind w:left="489"/>
              <w:spacing w:before="20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</w:tr>
      <w:tr>
        <w:trPr>
          <w:trHeight w:val="659" w:hRule="atLeast"/>
        </w:trPr>
        <w:tc>
          <w:tcPr>
            <w:tcW w:w="2353" w:type="dxa"/>
            <w:vAlign w:val="top"/>
          </w:tcPr>
          <w:p>
            <w:pPr>
              <w:ind w:left="84"/>
              <w:spacing w:before="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例：道士/风水先生/</w:t>
            </w:r>
          </w:p>
          <w:p>
            <w:pPr>
              <w:ind w:left="504"/>
              <w:spacing w:before="6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乐队/戏班</w:t>
            </w:r>
            <w:r>
              <w:rPr>
                <w:rFonts w:ascii="SimSun" w:hAnsi="SimSun" w:eastAsia="SimSun" w:cs="SimSun"/>
                <w:sz w:val="24"/>
                <w:szCs w:val="24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…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2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张三</w:t>
            </w:r>
          </w:p>
        </w:tc>
        <w:tc>
          <w:tcPr>
            <w:tcW w:w="2278" w:type="dxa"/>
            <w:vAlign w:val="top"/>
          </w:tcPr>
          <w:p>
            <w:pPr>
              <w:ind w:left="113"/>
              <w:spacing w:before="27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00000000000000000</w:t>
            </w:r>
          </w:p>
        </w:tc>
        <w:tc>
          <w:tcPr>
            <w:tcW w:w="710" w:type="dxa"/>
            <w:vAlign w:val="top"/>
          </w:tcPr>
          <w:p>
            <w:pPr>
              <w:ind w:left="225"/>
              <w:spacing w:before="2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2109" w:type="dxa"/>
            <w:vAlign w:val="top"/>
          </w:tcPr>
          <w:p>
            <w:pPr>
              <w:ind w:left="804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xx村</w:t>
            </w:r>
          </w:p>
        </w:tc>
        <w:tc>
          <w:tcPr>
            <w:tcW w:w="4107" w:type="dxa"/>
            <w:vAlign w:val="top"/>
          </w:tcPr>
          <w:p>
            <w:pPr>
              <w:ind w:left="1565"/>
              <w:spacing w:before="2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xx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街</w:t>
            </w:r>
            <w:r>
              <w:rPr>
                <w:rFonts w:ascii="SimSun" w:hAnsi="SimSun" w:eastAsia="SimSun" w:cs="SimSun"/>
                <w:sz w:val="24"/>
                <w:szCs w:val="24"/>
              </w:rPr>
              <w:t>xx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号</w:t>
            </w:r>
          </w:p>
        </w:tc>
        <w:tc>
          <w:tcPr>
            <w:tcW w:w="1954" w:type="dxa"/>
            <w:vAlign w:val="top"/>
          </w:tcPr>
          <w:p>
            <w:pPr>
              <w:ind w:left="308"/>
              <w:spacing w:before="27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00000000000</w:t>
            </w:r>
          </w:p>
        </w:tc>
      </w:tr>
      <w:tr>
        <w:trPr>
          <w:trHeight w:val="58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4" w:hRule="atLeast"/>
        </w:trPr>
        <w:tc>
          <w:tcPr>
            <w:tcW w:w="23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20" w:h="11900"/>
      <w:pgMar w:top="1011" w:right="1304" w:bottom="400" w:left="9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0" w:lineRule="exact"/>
      <w:rPr>
        <w:rFonts w:ascii="Arial"/>
        <w:sz w:val="4"/>
      </w:rPr>
    </w:pPr>
    <w:r>
      <w:pict>
        <v:rect id="_x0000_s2" style="position:absolute;margin-left:67.5027pt;margin-top:781.499pt;mso-position-vertical-relative:page;mso-position-horizontal-relative:page;width:475.5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2024-03-27T09:43:20Z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2024-03-27T09:43:21</vt:filetime>
  </property>
  <property fmtid="{D5CDD505-2E9C-101B-9397-08002B2CF9AE}" pid="4" name="UsrData">
    <vt:lpwstr>660379b1061220001f768b1cwl</vt:lpwstr>
  </property>
</Properties>
</file>