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AB748">
      <w:pPr>
        <w:spacing w:before="240" w:after="120" w:line="480" w:lineRule="exact"/>
        <w:jc w:val="center"/>
      </w:pPr>
      <w:r>
        <w:rPr>
          <w:rFonts w:eastAsia="方正小标宋简体"/>
          <w:sz w:val="44"/>
          <w:szCs w:val="44"/>
        </w:rPr>
        <w:t>应山街道办事处安全生产集中整治工作落实方案</w:t>
      </w:r>
    </w:p>
    <w:p w14:paraId="21127103">
      <w:pPr>
        <w:spacing w:line="4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各社区，街道各内设机构、相关成员单位：</w:t>
      </w:r>
    </w:p>
    <w:p w14:paraId="5B863643">
      <w:pPr>
        <w:spacing w:line="4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切实补齐在建工程安全管理、风险隐患排查治理等方面突出短板，持续巩固深化安全生产治理成效，根据《市安防应急委关于印发〈广水市安全生产集中整治工作方案〉的通知》（广安防应急委〔2026〕4号）和《近期重点安全生产工作提示》要求，结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应山</w:t>
      </w:r>
      <w:r>
        <w:rPr>
          <w:rFonts w:hint="eastAsia" w:ascii="仿宋_GB2312" w:hAnsi="仿宋_GB2312" w:eastAsia="仿宋_GB2312" w:cs="仿宋_GB2312"/>
          <w:sz w:val="32"/>
          <w:szCs w:val="32"/>
        </w:rPr>
        <w:t>街道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办事处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实际，制定本工作落实方案。</w:t>
      </w:r>
    </w:p>
    <w:p w14:paraId="46DC8EB1">
      <w:pPr>
        <w:pStyle w:val="2"/>
        <w:spacing w:line="400" w:lineRule="exact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一、总体要求</w:t>
      </w:r>
    </w:p>
    <w:p w14:paraId="165AFACA">
      <w:pPr>
        <w:spacing w:line="4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“人民至上、生命至上”核心理念，牢固树立“时时放心不下”的安全责任感，统筹衔接全市风险隐患大排查大整治集中攻坚行动、重点行业领域“打非治违”专项工作，聚焦在建工程管理不规范、隐患排查不深入、管线保护不到位等核心问题，全面压实属地管理、行业监管、企业主体、一线岗位四方责任，健全源头防控、过程管控、闭环整改全链条治理机制。</w:t>
      </w:r>
    </w:p>
    <w:p w14:paraId="3B53CCBB">
      <w:pPr>
        <w:spacing w:line="4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街道下辖16个社区，辖区以商贸经营场所、人员密集场所、老旧及住宅小区、在建及小散工程为主，整治重点突出建筑施工管线保护、商贸场所消防与燃气、老旧小区用电用气、一般隐患清底等领域，确保整治靶向精准、落地见效。</w:t>
      </w:r>
    </w:p>
    <w:p w14:paraId="18E2085D">
      <w:pPr>
        <w:spacing w:line="4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整治时间自即日起至2027年2月底，严格对标高标准、可落地、强靶向、全闭环要求，重点实现三个目标：一是在建及小散工程施工全流程管控规范，施工破坏管线风险有效遏制；二是全域基础性、管理类一般隐患清底整治；三是“打非治违”持续深化，重点行业领域非法违法行为动态清零。</w:t>
      </w:r>
    </w:p>
    <w:p w14:paraId="326796E0">
      <w:pPr>
        <w:spacing w:line="4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16个社区及街道各内设机构主要负责人为本单位第一责任人，要亲自部署、亲自督办，细化任务清单、明确责任到人，确保各项措施快速落地见效。</w:t>
      </w:r>
    </w:p>
    <w:p w14:paraId="4B13E6F7">
      <w:pPr>
        <w:pStyle w:val="2"/>
        <w:spacing w:line="400" w:lineRule="exact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二、重点整治任务</w:t>
      </w:r>
    </w:p>
    <w:p w14:paraId="55907888">
      <w:pPr>
        <w:pStyle w:val="3"/>
        <w:spacing w:line="4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（一）在建及小散工程全链条安全规范整治</w:t>
      </w:r>
    </w:p>
    <w:p w14:paraId="226CDB57">
      <w:pPr>
        <w:pStyle w:val="17"/>
        <w:numPr>
          <w:numId w:val="0"/>
        </w:numPr>
        <w:spacing w:line="4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严查建设程序与主体责任落实。全覆盖核查辖区在建及小散项目施工许可、安全监督手续办理情况，严厉打击未批先建、违法发包、转包、挂靠等违法行为；压实建设单位首要责任、施工单位主体责任、监理单位旁站监督责任，严查关键岗位脱岗、人证不符问题。</w:t>
      </w:r>
    </w:p>
    <w:p w14:paraId="45275B97">
      <w:pPr>
        <w:pStyle w:val="17"/>
        <w:numPr>
          <w:numId w:val="0"/>
        </w:numPr>
        <w:spacing w:line="4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地下管线施工安全保护。将地下管线核查纳入施工前必备程序，涉及地下管线保护区及周边施工，必须主动对接管线权属单位，完成现场交底、人工探测，编制专项防护方案、签订安全保护协议后方可动工；严禁无交底、无探测、无防护盲目施工。对管线沿线标志桩、警示牌排查补全，完善管线破损泄漏专项应急预案。</w:t>
      </w:r>
    </w:p>
    <w:p w14:paraId="11F19889">
      <w:pPr>
        <w:pStyle w:val="17"/>
        <w:numPr>
          <w:numId w:val="0"/>
        </w:numPr>
        <w:spacing w:line="4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严控危大工程安全风险。聚焦深基坑、高支模、起重机械安拆、有限空间等，严格执行专项方案论证、技术交底、作业许可、分步验收制度；严查特种作业人员无证上岗、临时用电私拉乱接、临边防护不到位等问题。</w:t>
      </w:r>
    </w:p>
    <w:p w14:paraId="7C7569BA">
      <w:pPr>
        <w:pStyle w:val="17"/>
        <w:numPr>
          <w:numId w:val="0"/>
        </w:numPr>
        <w:spacing w:line="4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规范现场基础管理。整治施工现场用电巡查记录滞后、应急物资配备不足、安全管理资料缺失等基础性隐患，督促将管线保护、安全操作规程纳入班组班前教育必讲内容。</w:t>
      </w:r>
    </w:p>
    <w:p w14:paraId="3F65F9FC">
      <w:pPr>
        <w:pStyle w:val="3"/>
        <w:spacing w:line="4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（二）全域风险隐患深化排查治理</w:t>
      </w:r>
    </w:p>
    <w:p w14:paraId="4634044D">
      <w:pPr>
        <w:pStyle w:val="17"/>
        <w:numPr>
          <w:numId w:val="0"/>
        </w:numPr>
        <w:spacing w:line="4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全覆盖排查10类共性一般隐患。组织辖区生产经营单位逐项对标自查：安全制度体系不完善、全员责任落实流于形式、教育培训和应急演练资料造假缺项、安全经费和安责险管理不规范、电气设备防护标识缺失、消防设施不达标、有限空间与临边警示防护不足、特种设备运维缺位、工程交通文旅现场管理疏漏、仓库厂房配电室环境管理混乱等，做到隐患见底、不留盲区。</w:t>
      </w:r>
    </w:p>
    <w:p w14:paraId="5495C9F3">
      <w:pPr>
        <w:pStyle w:val="17"/>
        <w:numPr>
          <w:numId w:val="0"/>
        </w:numPr>
        <w:spacing w:line="4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突出辖区行业领域整治重点。商贸经营场所：重点整治操作规程更新不及时、配电室防护不到位、安全标识体系不完善等问题；人员密集场所及住宅小区：重点整治消防配套不达标、疏散通道占用、燃气使用不规范等问题；在建及小散工程：重点整治岗位责任制落实不到位、现场防护不规范、应急物资配备不足等问题。</w:t>
      </w:r>
    </w:p>
    <w:p w14:paraId="1171502A">
      <w:pPr>
        <w:pStyle w:val="17"/>
        <w:numPr>
          <w:numId w:val="0"/>
        </w:numPr>
        <w:spacing w:line="4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严格分级整改销号。电气破损、标识缺失等简易隐患3日内立行立改；制度修订、资料完善等管理类隐患7日内整改到位；设备维修、工程改造类隐患15日内完成整改。所有隐患建立台账，落实整改责任、措施、时限、资金、预案“五到位”，实现闭环管理。</w:t>
      </w:r>
    </w:p>
    <w:p w14:paraId="4F4674BC">
      <w:pPr>
        <w:pStyle w:val="3"/>
        <w:spacing w:line="4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（三）持续深化“打非治违”专项行动</w:t>
      </w:r>
    </w:p>
    <w:p w14:paraId="4BFEFD27">
      <w:pPr>
        <w:pStyle w:val="3"/>
        <w:spacing w:line="40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突出重点打击领域。将在建工程无证施工、无资质作业、盲目施工破坏地下管线等行为纳入“打非治违”重点范畴；持续推进消防、工贸、城镇燃气、特种设备等重点领域非法违法行为整治，聚焦资质不合规、弄虚作假、恶意违法三类突出问题精准发力。</w:t>
      </w:r>
    </w:p>
    <w:p w14:paraId="10428C40">
      <w:pPr>
        <w:pStyle w:val="17"/>
        <w:numPr>
          <w:numId w:val="0"/>
        </w:numPr>
        <w:spacing w:line="4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强化惩治震慑力度。严格落实“整改治理一批、打击查处一批、关停取缔一批、问责曝光一批”要求，健全行刑衔接联动机制，落实安全生产联合信用惩戒，形成高压震慑态势。</w:t>
      </w:r>
    </w:p>
    <w:p w14:paraId="640B26E0">
      <w:pPr>
        <w:pStyle w:val="3"/>
        <w:spacing w:line="4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（四）对照中央巡查反馈问题举一反三排查整治</w:t>
      </w:r>
    </w:p>
    <w:p w14:paraId="1ADF3EFC">
      <w:pPr>
        <w:spacing w:line="4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对照中央二、三季度安全生产明查暗访反馈的事故警示教育、监管履职、企业主体责任、重点行业风险、监管执法5大类共性突出问题，以及重大事故隐患清单、监管执法问题整改清单，组织辖区全覆盖自查：</w:t>
      </w:r>
    </w:p>
    <w:p w14:paraId="01801AB3">
      <w:pPr>
        <w:pStyle w:val="17"/>
        <w:numPr>
          <w:numId w:val="0"/>
        </w:numPr>
        <w:spacing w:line="4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压实属地管理责任，组织辖区各类生产经营单位全覆盖排查，督促企业对照清单自查自纠；</w:t>
      </w:r>
    </w:p>
    <w:p w14:paraId="2A8CEDA4">
      <w:pPr>
        <w:pStyle w:val="17"/>
        <w:numPr>
          <w:numId w:val="0"/>
        </w:numPr>
        <w:spacing w:line="4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聚焦建筑施工、商贸、消防、燃气、特种设备等领域，采取“四不两直”现场核查，杜绝纸上排查、书面整改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957F884">
      <w:pPr>
        <w:pStyle w:val="2"/>
        <w:spacing w:line="400" w:lineRule="exact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三、工作步骤</w:t>
      </w:r>
    </w:p>
    <w:p w14:paraId="4EE5ACE7">
      <w:pPr>
        <w:pStyle w:val="3"/>
        <w:spacing w:line="4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（一）动员部署与全面排查阶段（即日起—2026年9月30日）</w:t>
      </w:r>
    </w:p>
    <w:p w14:paraId="5C2708A9">
      <w:pPr>
        <w:spacing w:line="4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街道迅速传达集中整治要求，于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出台本辖区集中整治细化方案，完成再动员再部署。同步开展全域拉拉网式补充排查：完成在建及小散工程地下管线管控、施工安全专项排查；完成所有生产经营单位一般隐患自查自纠，建立专项整改台账。按照企业自查自改、社区核查、街道抽查复核的三级流程推进。</w:t>
      </w:r>
    </w:p>
    <w:p w14:paraId="48DB91B0">
      <w:pPr>
        <w:pStyle w:val="3"/>
        <w:spacing w:line="4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（二）集中攻坚与闭环整改阶段（2026年10月1日—2027年1月31日）</w:t>
      </w:r>
    </w:p>
    <w:p w14:paraId="2A70F6F6">
      <w:pPr>
        <w:spacing w:line="4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照隐患台账逐项推进整改销号，重大事故隐患实行街道、社区两级分级挂牌督办，一般隐患动态清零。聚焦在建工程违规施工、隐患整改敷衍等突出问题开展专项执法攻坚，集中查处一批典型违法案件、公开曝光一批反面案例。街道每月调度工作进展，对整治滞后、隐患突出的社区开展督导督办；各社区持续滚动排查、动态更新隐患台账。</w:t>
      </w:r>
    </w:p>
    <w:p w14:paraId="4ABF1608">
      <w:pPr>
        <w:pStyle w:val="3"/>
        <w:spacing w:line="4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（三）巩固提升与总结验收阶段（2027年2月1日—2月28日）</w:t>
      </w:r>
    </w:p>
    <w:p w14:paraId="1FBD0281">
      <w:pPr>
        <w:spacing w:line="4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社区组织开展整治成效“回头看”，重点核查在建工程管控是否规范、隐患整改是否反弹回潮、管线保护机制是否健全，严防问题反复。系统梳理集中整治工作成效、现存共性短板，完善地下管线施工前置核查、一般隐患常态化排查等长效机制；于2027年2月20日前，将集中整治工作总结、长效机制建设材料报送街道应急办。</w:t>
      </w:r>
    </w:p>
    <w:p w14:paraId="3115E149">
      <w:pPr>
        <w:pStyle w:val="2"/>
        <w:spacing w:line="400" w:lineRule="exact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四、工作要求</w:t>
      </w:r>
    </w:p>
    <w:p w14:paraId="2F707FDE">
      <w:pPr>
        <w:pStyle w:val="3"/>
        <w:spacing w:line="4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（一）强化统筹衔接，压实工作责任</w:t>
      </w:r>
    </w:p>
    <w:p w14:paraId="09E63308">
      <w:pPr>
        <w:spacing w:line="4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集中整治是全市风险隐患大排查大整治、“打非治违”行动的深化延伸，坚持一体谋划、一体推进，不另起炉灶、不重复部署。街道成立安全生产集中整治工作专班，由街道主要负责人任组长，应急办具体组织实施；各社区同步明确专人负责，层层压实四方责任。</w:t>
      </w:r>
    </w:p>
    <w:p w14:paraId="4454B3E8">
      <w:pPr>
        <w:pStyle w:val="3"/>
        <w:spacing w:line="4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（二）健全长效机制，巩固整治成效</w:t>
      </w:r>
    </w:p>
    <w:p w14:paraId="0086B289">
      <w:pPr>
        <w:spacing w:line="4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本次集中整治为契机，建立在建工程地下管线施工前置核查、一般隐患月度自查、重点领域常态化“打非治违”等工作机制，将基础性、管理类隐患纳入日常监管必查清单，推动隐患治理由“集中整治”向“常态管控”转变，持续夯实辖区安全生产本质基础。</w:t>
      </w:r>
    </w:p>
    <w:p w14:paraId="40C77D5F">
      <w:pPr>
        <w:spacing w:before="240"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217250">
      <w:pPr>
        <w:spacing w:before="480" w:line="40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应山街道办事处</w:t>
      </w:r>
    </w:p>
    <w:p w14:paraId="5E2B47DE">
      <w:pPr>
        <w:spacing w:line="40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2026年9月3日</w:t>
      </w:r>
      <w:bookmarkStart w:id="0" w:name="_GoBack"/>
      <w:bookmarkEnd w:id="0"/>
    </w:p>
    <w:sectPr>
      <w:footerReference r:id="rId3" w:type="default"/>
      <w:pgSz w:w="11906" w:h="16838"/>
      <w:pgMar w:top="1440" w:right="1274" w:bottom="1440" w:left="127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0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B8427">
    <w:pPr>
      <w:jc w:val="center"/>
    </w:pPr>
    <w:r>
      <w:rPr>
        <w:sz w:val="24"/>
        <w:szCs w:val="24"/>
      </w:rPr>
      <w:t xml:space="preserve">—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PAGE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FE25982"/>
    <w:rsid w:val="E6CB8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仿宋" w:cs="Times New Roman"/>
      <w:sz w:val="30"/>
      <w:szCs w:val="30"/>
      <w:lang w:val="en-US" w:eastAsia="zh-CN" w:bidi="ar-SA"/>
    </w:rPr>
  </w:style>
  <w:style w:type="paragraph" w:styleId="2">
    <w:name w:val="heading 1"/>
    <w:qFormat/>
    <w:uiPriority w:val="9"/>
    <w:pPr>
      <w:spacing w:before="240" w:after="120"/>
      <w:outlineLvl w:val="0"/>
    </w:pPr>
    <w:rPr>
      <w:rFonts w:ascii="Times New Roman" w:hAnsi="Times New Roman" w:eastAsia="黑体" w:cs="Times New Roman"/>
      <w:sz w:val="32"/>
      <w:szCs w:val="32"/>
      <w:lang w:val="en-US" w:eastAsia="zh-CN" w:bidi="ar-SA"/>
    </w:rPr>
  </w:style>
  <w:style w:type="paragraph" w:styleId="3">
    <w:name w:val="heading 2"/>
    <w:qFormat/>
    <w:uiPriority w:val="9"/>
    <w:pPr>
      <w:spacing w:before="120" w:after="60"/>
      <w:outlineLvl w:val="1"/>
    </w:pPr>
    <w:rPr>
      <w:rFonts w:ascii="Times New Roman" w:hAnsi="Times New Roman" w:eastAsia="仿宋" w:cs="Times New Roman"/>
      <w:b/>
      <w:bCs/>
      <w:sz w:val="30"/>
      <w:szCs w:val="30"/>
      <w:lang w:val="en-US" w:eastAsia="zh-CN" w:bidi="ar-SA"/>
    </w:rPr>
  </w:style>
  <w:style w:type="paragraph" w:styleId="4">
    <w:name w:val="heading 3"/>
    <w:qFormat/>
    <w:uiPriority w:val="9"/>
    <w:pPr>
      <w:outlineLvl w:val="2"/>
    </w:pPr>
    <w:rPr>
      <w:rFonts w:ascii="Times New Roman" w:hAnsi="Times New Roman" w:eastAsia="仿宋" w:cs="Times New Roman"/>
      <w:color w:val="1F4D78"/>
      <w:sz w:val="24"/>
      <w:szCs w:val="24"/>
      <w:lang w:val="en-US" w:eastAsia="zh-CN" w:bidi="ar-SA"/>
    </w:rPr>
  </w:style>
  <w:style w:type="paragraph" w:styleId="5">
    <w:name w:val="heading 4"/>
    <w:qFormat/>
    <w:uiPriority w:val="9"/>
    <w:pPr>
      <w:outlineLvl w:val="3"/>
    </w:pPr>
    <w:rPr>
      <w:rFonts w:ascii="Times New Roman" w:hAnsi="Times New Roman" w:eastAsia="仿宋" w:cs="Times New Roman"/>
      <w:i/>
      <w:iCs/>
      <w:color w:val="2E74B5"/>
      <w:sz w:val="30"/>
      <w:szCs w:val="30"/>
      <w:lang w:val="en-US" w:eastAsia="zh-CN" w:bidi="ar-SA"/>
    </w:rPr>
  </w:style>
  <w:style w:type="paragraph" w:styleId="6">
    <w:name w:val="heading 5"/>
    <w:qFormat/>
    <w:uiPriority w:val="9"/>
    <w:pPr>
      <w:outlineLvl w:val="4"/>
    </w:pPr>
    <w:rPr>
      <w:rFonts w:ascii="Times New Roman" w:hAnsi="Times New Roman" w:eastAsia="仿宋" w:cs="Times New Roman"/>
      <w:color w:val="2E74B5"/>
      <w:sz w:val="30"/>
      <w:szCs w:val="30"/>
      <w:lang w:val="en-US" w:eastAsia="zh-CN" w:bidi="ar-SA"/>
    </w:rPr>
  </w:style>
  <w:style w:type="paragraph" w:styleId="7">
    <w:name w:val="heading 6"/>
    <w:qFormat/>
    <w:uiPriority w:val="9"/>
    <w:pPr>
      <w:outlineLvl w:val="5"/>
    </w:pPr>
    <w:rPr>
      <w:rFonts w:ascii="Times New Roman" w:hAnsi="Times New Roman" w:eastAsia="仿宋" w:cs="Times New Roman"/>
      <w:color w:val="1F4D78"/>
      <w:sz w:val="30"/>
      <w:szCs w:val="30"/>
      <w:lang w:val="en-US" w:eastAsia="zh-CN" w:bidi="ar-SA"/>
    </w:rPr>
  </w:style>
  <w:style w:type="character" w:default="1" w:styleId="12">
    <w:name w:val="Default Paragraph Font"/>
    <w:qFormat/>
    <w:uiPriority w:val="1"/>
  </w:style>
  <w:style w:type="table" w:default="1" w:styleId="1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9"/>
    <w:qFormat/>
    <w:uiPriority w:val="99"/>
    <w:rPr>
      <w:rFonts w:ascii="Times New Roman" w:hAnsi="Times New Roman" w:eastAsia="仿宋" w:cs="Times New Roman"/>
      <w:sz w:val="20"/>
      <w:szCs w:val="20"/>
      <w:lang w:val="en-US" w:eastAsia="zh-CN" w:bidi="ar-SA"/>
    </w:rPr>
  </w:style>
  <w:style w:type="paragraph" w:styleId="9">
    <w:name w:val="footnote text"/>
    <w:link w:val="18"/>
    <w:qFormat/>
    <w:uiPriority w:val="99"/>
    <w:rPr>
      <w:rFonts w:ascii="Times New Roman" w:hAnsi="Times New Roman" w:eastAsia="仿宋" w:cs="Times New Roman"/>
      <w:sz w:val="20"/>
      <w:szCs w:val="20"/>
      <w:lang w:val="en-US" w:eastAsia="zh-CN" w:bidi="ar-SA"/>
    </w:rPr>
  </w:style>
  <w:style w:type="paragraph" w:styleId="10">
    <w:name w:val="Title"/>
    <w:qFormat/>
    <w:uiPriority w:val="10"/>
    <w:rPr>
      <w:rFonts w:ascii="Times New Roman" w:hAnsi="Times New Roman" w:eastAsia="仿宋" w:cs="Times New Roman"/>
      <w:sz w:val="56"/>
      <w:szCs w:val="56"/>
      <w:lang w:val="en-US" w:eastAsia="zh-CN" w:bidi="ar-SA"/>
    </w:rPr>
  </w:style>
  <w:style w:type="character" w:styleId="13">
    <w:name w:val="endnote reference"/>
    <w:qFormat/>
    <w:uiPriority w:val="99"/>
    <w:rPr>
      <w:vertAlign w:val="superscript"/>
    </w:rPr>
  </w:style>
  <w:style w:type="character" w:styleId="14">
    <w:name w:val="Hyperlink"/>
    <w:qFormat/>
    <w:uiPriority w:val="99"/>
    <w:rPr>
      <w:color w:val="0563C1"/>
      <w:u w:val="single"/>
    </w:rPr>
  </w:style>
  <w:style w:type="character" w:styleId="15">
    <w:name w:val="footnote reference"/>
    <w:qFormat/>
    <w:uiPriority w:val="99"/>
    <w:rPr>
      <w:vertAlign w:val="superscript"/>
    </w:rPr>
  </w:style>
  <w:style w:type="paragraph" w:customStyle="1" w:styleId="16">
    <w:name w:val="要点1"/>
    <w:qFormat/>
    <w:uiPriority w:val="0"/>
    <w:rPr>
      <w:rFonts w:ascii="Times New Roman" w:hAnsi="Times New Roman" w:eastAsia="仿宋" w:cs="Times New Roman"/>
      <w:b/>
      <w:bCs/>
      <w:sz w:val="30"/>
      <w:szCs w:val="30"/>
      <w:lang w:val="en-US" w:eastAsia="zh-CN" w:bidi="ar-SA"/>
    </w:rPr>
  </w:style>
  <w:style w:type="paragraph" w:styleId="17">
    <w:name w:val="List Paragraph"/>
    <w:qFormat/>
    <w:uiPriority w:val="0"/>
    <w:rPr>
      <w:rFonts w:ascii="Times New Roman" w:hAnsi="Times New Roman" w:eastAsia="仿宋" w:cs="Times New Roman"/>
      <w:sz w:val="30"/>
      <w:szCs w:val="30"/>
      <w:lang w:val="en-US" w:eastAsia="zh-CN" w:bidi="ar-SA"/>
    </w:rPr>
  </w:style>
  <w:style w:type="character" w:customStyle="1" w:styleId="18">
    <w:name w:val="脚注文本 字符"/>
    <w:link w:val="9"/>
    <w:qFormat/>
    <w:uiPriority w:val="99"/>
    <w:rPr>
      <w:sz w:val="20"/>
      <w:szCs w:val="20"/>
    </w:rPr>
  </w:style>
  <w:style w:type="character" w:customStyle="1" w:styleId="19">
    <w:name w:val="尾注文本 字符"/>
    <w:link w:val="8"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3130</Words>
  <Characters>3178</Characters>
  <Paragraphs>79</Paragraphs>
  <TotalTime>51</TotalTime>
  <ScaleCrop>false</ScaleCrop>
  <LinksUpToDate>false</LinksUpToDate>
  <CharactersWithSpaces>3253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2026-09-23T16:28:00Z</dcterms:created>
  <dc:creator>Un-named</dc:creator>
  <cp:lastModifiedBy>user</cp:lastModifiedBy>
  <cp:lastPrinted>2026-09-23T17:12:24Z</cp:lastPrinted>
  <dcterms:modified xsi:type="dcterms:W3CDTF">2026-09-23T17:22:43Z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{"Label":"1","ContentProducer":"001191440300708461136T1WFUO","ProduceID":"01ba642790c314d608992af76d27eeaa-Jerh","ReservedCode1":"{\"Type\":\" TC260PG\",\"Version\":1,\"Bindings\":[{\"Type\":\"soft\",\"AlgID\":\"sm3\",\"Value\":\"37d0bbfab3dc0d04404b401be697bfe88978bfcb13f4b22c5120bbce9d2aa2bf\"},{\"Type\":\"hash\",\"AlgID\":\"sm3\",\"Value\":\"a5d5d9d3b744a7c6a0d66742cb1c15af0f0caf92d86efa93d7c8b225997a53eb\"}],\"PubSD\":[{\"Type\":\"DS\",\"AlgID\":\"sm2\",\"TBSData\":{\"Type\":\"Binding\",\"BType\":\"hash\"},\"Signature\":\"3046022100d829b7dde13cbe020f21e3ff07087ca5ff6683a8cfd5040bc22091b352f9c3b1022100bc4370812def15722d46a800e06dd4908cae683af2b0ef946106fd866a01a9a0\"},{\"Type\":\"PubKey\",\"AlgID\":\"sm2\",\"KeyValue\":\"0407f79b28a17a752b3aae4305c98b48978213832729a2571850b1310b2bc9fe8fee039ccf25ebfeac27502414d9fcef792d777183c98893d226171c2f7a3289a2\"}],\"Extension\":{\"Timestamp\":1788416499,\"KeyVersion\":\"v1-TxLeOmf7bqU223\"}}","ContentPropagator":"001191440300708461136T1WFUO","PropagateID":"01ba642790c314d608992af76d27eeaa-Jerh","ReservedCode2":"{\"Type\":\" TC260PG\",\"Version\":1,\"Bindings\":[{\"Type\":\"soft\",\"AlgID\":\"sm3\",\"Value\":\"37d0bbfab3dc0d04404b401be697bfe88978bfcb13f4b22c5120bbce9d2aa2bf\"},{\"Type\":\"hash\",\"AlgID\":\"sm3\",\"Value\":\"a5d5d9d3b744a7c6a0d66742cb1c15af0f0caf92d86efa93d7c8b225997a53eb\"}],\"PubSD\":[{\"Type\":\"DS\",\"AlgID\":\"sm2\",\"TBSData\":{\"Type\":\"Binding\",\"BType\":\"hash\"},\"Signature\":\"304502201b1257284d341a55e07a41fcf42baa4fb1614b7ea464cfc8efa6ae98d1ac79bc022100c3c448ce15c5665527ff99542230827d036deea280547bb287c55f5ae980e1d1\"},{\"Type\":\"PubKey\",\"AlgID\":\"sm2\",\"KeyValue\":\"0407f79b28a17a752b3aae4305c98b48978213832729a2571850b1310b2bc9fe8fee039ccf25ebfeac27502414d9fcef792d777183c98893d226171c2f7a3289a2\"}],\"Extension\":{\"Timestamp\":1788416499,\"KeyVersion\":\"v1-TxLeOmf7bqU223\"}}"}</vt:lpwstr>
  </property>
  <property fmtid="{D5CDD505-2E9C-101B-9397-08002B2CF9AE}" pid="3" name="ICV">
    <vt:lpwstr>B9F4CBE0A0AA9B2CDA96B36ACC3BD55C_43</vt:lpwstr>
  </property>
  <property fmtid="{D5CDD505-2E9C-101B-9397-08002B2CF9AE}" pid="4" name="KSOProductBuildVer">
    <vt:lpwstr>2052-12.1.2.24722</vt:lpwstr>
  </property>
</Properties>
</file>