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6" w:lineRule="atLeast"/>
        <w:ind w:left="0" w:firstLine="475"/>
        <w:jc w:val="center"/>
      </w:pPr>
      <w:r>
        <w:rPr>
          <w:color w:val="000000"/>
          <w:spacing w:val="0"/>
          <w:shd w:val="clear" w:fill="FFFFFF"/>
        </w:rPr>
        <w:t>   </w:t>
      </w:r>
      <w:r>
        <w:rPr>
          <w:rStyle w:val="5"/>
          <w:rFonts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目   录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第一部分 单位概况</w:t>
      </w:r>
      <w:r>
        <w:rPr>
          <w:rStyle w:val="5"/>
          <w:rFonts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、主要职责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、部门预算单位构成及人员情况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第二部分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2022部门预算表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、部门收支预算总表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jc w:val="left"/>
      </w:pPr>
      <w:r>
        <w:rPr>
          <w:color w:val="333333"/>
          <w:spacing w:val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2、部门收入预算总表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color w:val="333333"/>
          <w:sz w:val="26"/>
          <w:szCs w:val="26"/>
          <w:shd w:val="clear" w:fill="FFFFFF"/>
        </w:rPr>
        <w:t>3</w:t>
      </w:r>
      <w:r>
        <w:rPr>
          <w:rFonts w:hint="eastAsia" w:ascii="微软雅黑" w:hAnsi="微软雅黑" w:eastAsia="微软雅黑" w:cs="微软雅黑"/>
          <w:sz w:val="26"/>
          <w:szCs w:val="26"/>
          <w:shd w:val="clear" w:fill="FFFFFF"/>
        </w:rPr>
        <w:t>、部门支出预算总表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、财政拨款收支总表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、一般公共预算支出总表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、一般公共预算基本支出表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、一般公共预算“三公”经费支出表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、政府性基金预算支出表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、项目支出预算明细表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、政府采购预算表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、政府购买服务预算表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、新增资产配置预算表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13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、非税征收计划表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第三部分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2022年部门预算情况说明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、收支预算总体情况说明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、财政拨款收支预算总体情况说明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3、一般公共预算支出情况说明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、一般公共预算“三公”经费情况说明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、国有资金经营预算情况说明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、机关运行经费支出情况说明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、政府采购支出情况说明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、国有资产占用使用情况说明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10、其他事项说明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第四部分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 预算绩效情况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、部门整体绩效目标编制情况。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、重点项目绩效目标编制情况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第五部分 名词解释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74" w:afterAutospacing="0" w:line="44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第一部分</w:t>
      </w:r>
      <w:r>
        <w:rPr>
          <w:rStyle w:val="5"/>
          <w:rFonts w:hint="default" w:ascii="sans-serif" w:hAnsi="sans-serif" w:eastAsia="sans-serif" w:cs="sans-serif"/>
          <w:i w:val="0"/>
          <w:iCs w:val="0"/>
          <w:color w:val="000000"/>
          <w:spacing w:val="0"/>
          <w:sz w:val="26"/>
          <w:szCs w:val="26"/>
          <w:shd w:val="clear" w:fill="FFFFFF"/>
        </w:rPr>
        <w:t>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单位概况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74" w:afterAutospacing="0" w:line="44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一、主要职责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广水市白泉卫生院主要职责如下：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57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、承担基础疾病门诊诊疗、住院治疗。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、受广水市卫健局委托，承担医疗卫生、公共卫生服务，包括居民健康档案管理、预防接种工作、老年人健康管理、0-6岁儿童健康管理、高血压、糖尿病人健康管理、健康咨询、卫生健康宣传、传染病管理、卫生应急工作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白泉卫生院内设内科、外科、康复科、妇产、中医科、口腔科、检验科、放射科、心超室、公卫科、医保科、办公室、财务科、药剂科、医务科、护理部、接种门诊、社区服务站等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32个科室（门诊、站、村卫生室）。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三、部门预算单位构成及人员情况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广水市白泉卫生院从决算单位构成看，我院决算包括：广水市白泉卫生院本级决算。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广水市白泉卫生院机构设置及人员情况详细说明：2021年内设内科、外科、康复科、妇产科、中医科、口腔科、检验科、放射科、心超室、公卫科、医保科、办公室、财务科、药剂科、医务科、护理部、接种门诊、社区服务站等32个科室（门诊、站、村卫生室）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从单位人员情况看，2021年本单位现有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lang w:eastAsia="zh-CN"/>
        </w:rPr>
        <w:t>事业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编制103名，实有329人，其中：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  <w:lang w:val="en-US" w:eastAsia="zh-CN"/>
        </w:rPr>
        <w:t>行政编在职0名，事业编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在职190名，退休人员139名，借调人员0名。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576" w:lineRule="atLeast"/>
        <w:ind w:left="0" w:firstLine="475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57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547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8"/>
          <w:szCs w:val="28"/>
          <w:shd w:val="clear" w:fill="FFFFFF"/>
        </w:rPr>
        <w:t>第二部分：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sz w:val="28"/>
          <w:szCs w:val="28"/>
          <w:shd w:val="clear" w:fill="FFFFFF"/>
        </w:rPr>
        <w:t>2022部门预算表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color w:val="333333"/>
          <w:spacing w:val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fldChar w:fldCharType="begin"/>
      </w:r>
      <w:r>
        <w:rPr>
          <w:i w:val="0"/>
          <w:iCs w:val="0"/>
          <w:spacing w:val="0"/>
        </w:rPr>
        <w:instrText xml:space="preserve"> HYPERLINK "https://kdocs.cn/l/cjZiquSGD4lF" </w:instrText>
      </w:r>
      <w:r>
        <w:rPr>
          <w:i w:val="0"/>
          <w:iCs w:val="0"/>
          <w:spacing w:val="0"/>
        </w:rPr>
        <w:fldChar w:fldCharType="separate"/>
      </w:r>
      <w:r>
        <w:rPr>
          <w:rStyle w:val="7"/>
          <w:i w:val="0"/>
          <w:iCs w:val="0"/>
          <w:spacing w:val="0"/>
        </w:rPr>
        <w:t>白泉 卫生院 2021年度部门决算公开.pdf</w:t>
      </w:r>
      <w:r>
        <w:rPr>
          <w:i w:val="0"/>
          <w:iCs w:val="0"/>
          <w:spacing w:val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第三部分 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2022年部门预算情况说明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44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一、收支预算总体情况说明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（一）广水市白泉卫生院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2022年收入总预算1873万元，其中：本年收入1460万元，上年结转结余0万元，较上年预算安排减少572万元，同比下降28%，主要原因是医院业务收入预算减少了572万元。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本年收入：一般公共预算拨款收入413万元；政府性基金预算拨款收入0万元；财政专户预算拨款0万元；国有资本经营预算拨款收入0万元；纳入专户管理的非税收入0万元；单位资金收入0万元。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结转结余资金：一般公共预算拨款收入0万元；政府性基金预算拨款收入0万元；国有资本经营预算拨款收入0万元；纳入专户管理的非税收入0万元；单位收入0万元。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（二）广水市白泉卫生院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2022年支出总预算1873万元，其中：本年安排支出1873万元，年终结转结余0万元，</w:t>
      </w:r>
      <w:r>
        <w:rPr>
          <w:rFonts w:hint="eastAsia" w:ascii="微软雅黑" w:hAnsi="微软雅黑" w:eastAsia="微软雅黑" w:cs="微软雅黑"/>
          <w:sz w:val="25"/>
          <w:szCs w:val="25"/>
          <w:shd w:val="clear" w:fill="FFFFFF"/>
        </w:rPr>
        <w:t>较上年预算安排减少572万元，同比下降28%，主要原因是医院业务收入预算减少了572万元。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本年安排支出按资金来源分：本年收入安排支出1873万元；上年结转结余安排支出0万元。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本年安排支出按资金性质分：一般公共预算拨款支出0万元；政府性基金预算拨款支出0万元；国有资本经营预算拨款支出0万元；纳入专户管理的非税支出0万元；单位资金支出1460万元。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本年安排支出按功能分类分：社会保障和就业支出0万元；卫生健康支出1873万元；商业服务等支出0万元；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本年安排支出按经济分类分：工资福利支出1458.3万元；商品和服务支出410万元；对个人和家庭的补助4.7万元；资本性支出0万元；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本年安排支出按支出类别分：基本支出1805万元（其中人员类1458.3万元、运转类346.7</w:t>
      </w:r>
      <w:r>
        <w:rPr>
          <w:rFonts w:hint="eastAsia" w:ascii="微软雅黑" w:hAnsi="微软雅黑" w:eastAsia="微软雅黑" w:cs="微软雅黑"/>
          <w:sz w:val="26"/>
          <w:szCs w:val="26"/>
          <w:shd w:val="clear" w:fill="FFFFFF"/>
        </w:rPr>
        <w:t>万元）；项目支出68万元。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二、财政拨款收支预算总体情况说明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（一）广水市白泉卫生院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2022年财政拨款收入预算413万元，同比减少51万元，增长10%，主要原因是减少了新冠肺炎的拨款。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财政拨款本年收入：一般公共预算拨款413万元；政府性基金预算拨款0万元；国有资本经营预算拨款0万元。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财政拨款上年结转：一般公共预算拨款0万元；政府性基金预算拨款0万元；国有资本经营预算拨款0万元。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（二）</w:t>
      </w:r>
      <w:r>
        <w:rPr>
          <w:rFonts w:hint="eastAsia" w:ascii="微软雅黑" w:hAnsi="微软雅黑" w:eastAsia="微软雅黑" w:cs="微软雅黑"/>
          <w:color w:val="333333"/>
          <w:sz w:val="25"/>
          <w:szCs w:val="25"/>
          <w:shd w:val="clear" w:fill="FFFFFF"/>
        </w:rPr>
        <w:t>广水市白泉卫生院</w:t>
      </w:r>
      <w:r>
        <w:rPr>
          <w:rFonts w:hint="eastAsia" w:ascii="微软雅黑" w:hAnsi="微软雅黑" w:eastAsia="微软雅黑" w:cs="微软雅黑"/>
          <w:sz w:val="25"/>
          <w:szCs w:val="25"/>
          <w:shd w:val="clear" w:fill="FFFFFF"/>
        </w:rPr>
        <w:t>2022年财政拨款收入预算413万元，同比减少51万元，增长10%，主要原因是减少了新冠肺炎的拨款。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财政拨款本年支出：一般公共服务支出0万元；</w:t>
      </w:r>
    </w:p>
    <w:p>
      <w:pPr>
        <w:pStyle w:val="2"/>
        <w:keepNext w:val="0"/>
        <w:keepLines w:val="0"/>
        <w:widowControl/>
        <w:suppressLineNumbers w:val="0"/>
        <w:spacing w:before="274" w:beforeAutospacing="0" w:after="274" w:afterAutospacing="0" w:line="317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4"/>
          <w:szCs w:val="24"/>
        </w:rPr>
        <w:t>三、一般公共预算支出情况说明</w:t>
      </w:r>
    </w:p>
    <w:p>
      <w:pPr>
        <w:pStyle w:val="2"/>
        <w:keepNext w:val="0"/>
        <w:keepLines w:val="0"/>
        <w:widowControl/>
        <w:suppressLineNumbers w:val="0"/>
        <w:spacing w:before="274" w:beforeAutospacing="0" w:after="274" w:afterAutospacing="0" w:line="317" w:lineRule="atLeast"/>
        <w:jc w:val="left"/>
      </w:pPr>
      <w:r>
        <w:rPr>
          <w:color w:val="333333"/>
          <w:spacing w:val="0"/>
        </w:rPr>
        <w:t>    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4"/>
          <w:szCs w:val="24"/>
        </w:rPr>
        <w:t>2022年广水市白泉卫生院一般公共预算支出0万元，较上年增加0万元，同比增加0%.</w:t>
      </w:r>
    </w:p>
    <w:p>
      <w:pPr>
        <w:pStyle w:val="2"/>
        <w:keepNext w:val="0"/>
        <w:keepLines w:val="0"/>
        <w:widowControl/>
        <w:suppressLineNumbers w:val="0"/>
        <w:spacing w:before="274" w:beforeAutospacing="0" w:after="274" w:afterAutospacing="0" w:line="317" w:lineRule="atLeast"/>
        <w:jc w:val="left"/>
      </w:pPr>
      <w:r>
        <w:rPr>
          <w:color w:val="333333"/>
          <w:spacing w:val="0"/>
        </w:rPr>
        <w:t>    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4"/>
          <w:szCs w:val="24"/>
        </w:rPr>
        <w:t>1.一般公共预算本年支出：人员经费安排支出0万元，公用经费安排支出0万元，项目经费安排支出0万元。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4"/>
          <w:szCs w:val="24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sz w:val="24"/>
          <w:szCs w:val="24"/>
          <w:shd w:val="clear" w:fill="FFFFFF"/>
        </w:rPr>
        <w:t>一般公共预算上年结转：人员经费支出0万元，公用经费支出0万元，项目经费支出0万元。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44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四、政府性基金预算支出情况说明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广水市白泉卫生院没有使用政府性基金预算拨款安排的支出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0万元，以空表列示。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广水市白泉卫生院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2022年使用政府性基金预算拨款安排支出0万元，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4"/>
          <w:szCs w:val="24"/>
          <w:shd w:val="clear" w:fill="FFFFFF"/>
        </w:rPr>
        <w:t>较上年增加0</w:t>
      </w:r>
      <w:r>
        <w:rPr>
          <w:rFonts w:hint="eastAsia" w:ascii="微软雅黑" w:hAnsi="微软雅黑" w:eastAsia="微软雅黑" w:cs="微软雅黑"/>
          <w:i w:val="0"/>
          <w:iCs w:val="0"/>
          <w:sz w:val="24"/>
          <w:szCs w:val="24"/>
          <w:shd w:val="clear" w:fill="FFFFFF"/>
        </w:rPr>
        <w:t>万元，同比增加0%</w:t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按来源分：使用本年政府型基金预算拨款安排支出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0万元，上年结转资金0万元；按支出类别分：安排基本支出0万元，安排项目支出0万元。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五、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2022年一般公共预算“三公”经费情况说明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广水市白泉卫生院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2022年一般公共预算“三公”包含"因公出国境“、”公务接待费“、”公务用车购置费“、”公务用车运行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eastAsia="zh-CN"/>
        </w:rPr>
        <w:t>维护费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“，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eastAsia="zh-CN"/>
        </w:rPr>
        <w:t>因公出国境预算数为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val="en-US" w:eastAsia="zh-CN"/>
        </w:rPr>
        <w:t>0万元，较去年无增减变动，原因为我院无人员因公出国境；公务接待费为0万元，较去年无增减变动；公务用车购置费为0万元，较去年无增减变动，原因为我院无公务用车购置计划；公务用车运行维护费为0万元，较去年无增减变动，原因为我院无公务用车运行和维护计划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六、国有资本经营预算情况说明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本单位没有使用国有资本经营预算拨款安排的支出。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七、机关运行经费支出情况说明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年，广水市白泉卫生院机关运行经费支出预算410万元,同比增长2%，主要原因是节约了各种开支。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其中：办公费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1.55万元；印刷费26.75万元；邮电费0.65万元；差旅费1.05万元；会议费0万元；福利费0万元；日常维修费1.5万元；专用材料及一般设备购置费250.36万元；办公用房水电费2.78万元；办公用房取暖费0万元；办公用房物业管理费0万元；公务用车运行维护费0万元；其他费用125.36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八、政府采购支出情况说明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 xml:space="preserve">年，广水市白泉卫生院 2021 年度政府采购支出总额 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 xml:space="preserve"> 万元，其中：政府采购货物支出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 xml:space="preserve"> 万元、政府采购工程支出 0 万元、政府采购服务支出0万元。授予中小企业合同金额 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万元，占政府采购支出总额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，其中：授予小微企业合同金额 0 万元，占政府采购支出总额的0%。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九、国有资产占用使用情况说明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年广水市白泉卫生院年初资产总额为609.92万元。总体情况为流动资产788.73万元，较上年增加143.78万元，同比增长22%，主要原因是没有付材料款及药品款，导致流动资产比上年增加；固定资产882.93万元，较上年增加24万元，同比增长2.8%，主要原因是为了提高业务水平，更好的服务居民的需求，增加了化验及理疗等医疗器材。其中固定资产：房屋11283.6平方米，价值359万元；土地2350平方米，价值106.89万元；车辆2辆，价值30.9万元；办公家具价值27.39万元；其他资产价值358.72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十，其他说明事项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本年度政府购买服务预算、非税收入预算0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万元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，以空表列示。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547"/>
        <w:jc w:val="center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547"/>
        <w:jc w:val="center"/>
        <w:rPr>
          <w:i w:val="0"/>
          <w:iCs w:val="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547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8"/>
          <w:szCs w:val="28"/>
          <w:shd w:val="clear" w:fill="FFFFFF"/>
        </w:rPr>
        <w:t>第四部分：预算绩效情况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一、部门整体绩效目标编制情况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6"/>
          <w:szCs w:val="26"/>
          <w:shd w:val="clear" w:fill="FFFFFF"/>
        </w:rPr>
        <w:t>1.2022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基本公共卫生服务预算项目申报表中央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shd w:val="clear" w:fill="FFFFFF"/>
        </w:rPr>
        <w:fldChar w:fldCharType="begin"/>
      </w:r>
      <w:r>
        <w:rPr>
          <w:shd w:val="clear" w:fill="FFFFFF"/>
        </w:rPr>
        <w:instrText xml:space="preserve"> HYPERLINK "https://kdocs.cn/l/ca5xTWqu7nJi" \t "_self" </w:instrText>
      </w:r>
      <w:r>
        <w:rPr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spacing w:val="0"/>
          <w:sz w:val="26"/>
          <w:szCs w:val="26"/>
          <w:shd w:val="clear" w:fill="FFFFFF"/>
        </w:rPr>
        <w:t>2022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基本公共卫生服务预算项目申报表中央.xls</w:t>
      </w:r>
      <w:r>
        <w:rPr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6"/>
          <w:szCs w:val="26"/>
          <w:shd w:val="clear" w:fill="FFFFFF"/>
        </w:rPr>
        <w:t>2.2022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基本药物预算项目申报表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shd w:val="clear" w:fill="FFFFFF"/>
        </w:rPr>
        <w:fldChar w:fldCharType="begin"/>
      </w:r>
      <w:r>
        <w:rPr>
          <w:shd w:val="clear" w:fill="FFFFFF"/>
        </w:rPr>
        <w:instrText xml:space="preserve"> HYPERLINK "https://kdocs.cn/l/crxJnPud4WE5" \t "_self" </w:instrText>
      </w:r>
      <w:r>
        <w:rPr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spacing w:val="0"/>
          <w:sz w:val="26"/>
          <w:szCs w:val="26"/>
          <w:shd w:val="clear" w:fill="FFFFFF"/>
        </w:rPr>
        <w:t>2022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基本药物预算项目申报表.xls</w:t>
      </w:r>
      <w:r>
        <w:rPr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619" w:lineRule="atLeast"/>
        <w:ind w:left="0" w:firstLine="475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6"/>
          <w:szCs w:val="26"/>
          <w:shd w:val="clear" w:fill="FFFFFF"/>
        </w:rPr>
        <w:t>3.2022</w:t>
      </w:r>
      <w:r>
        <w:rPr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设备购置预算项目申报表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30" w:afterAutospacing="0" w:line="245" w:lineRule="atLeast"/>
        <w:ind w:left="0" w:firstLine="547"/>
        <w:jc w:val="left"/>
      </w:pPr>
      <w:r>
        <w:rPr>
          <w:shd w:val="clear" w:fill="FFFFFF"/>
        </w:rPr>
        <w:fldChar w:fldCharType="begin"/>
      </w:r>
      <w:r>
        <w:rPr>
          <w:shd w:val="clear" w:fill="FFFFFF"/>
        </w:rPr>
        <w:instrText xml:space="preserve"> HYPERLINK "https://kdocs.cn/l/ciA0kCvzen9e" \t "_self" </w:instrText>
      </w:r>
      <w:r>
        <w:rPr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spacing w:val="0"/>
          <w:sz w:val="26"/>
          <w:szCs w:val="26"/>
          <w:shd w:val="clear" w:fill="FFFFFF"/>
        </w:rPr>
        <w:t>2022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sz w:val="26"/>
          <w:szCs w:val="26"/>
          <w:shd w:val="clear" w:fill="FFFFFF"/>
        </w:rPr>
        <w:t>设备购置预算项目申报表.xls</w:t>
      </w:r>
      <w:r>
        <w:rPr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6" w:lineRule="atLeast"/>
        <w:ind w:left="0" w:firstLine="475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333333"/>
          <w:spacing w:val="0"/>
          <w:sz w:val="26"/>
          <w:szCs w:val="26"/>
          <w:shd w:val="clear" w:fill="FFFFFF"/>
        </w:rPr>
        <w:t>第五部分：名词解释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446" w:lineRule="atLeast"/>
        <w:ind w:left="0" w:firstLine="475"/>
        <w:jc w:val="left"/>
        <w:rPr>
          <w:i w:val="0"/>
          <w:iCs w:val="0"/>
          <w:spacing w:val="0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一般公共预算：是对以税收为主体的财政收入，安排用于保障和改善民生、推动经济社会发展、维护国家安全、维持国家机构正常运转等方面的收支预算。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政府性基金预算：是国家通过向社会征收以及出让土地、发行彩票等方式取得收入，并专项用于支持特定基础设施建设和社会事业发展的财政收支预算，是政府预算体系的重要组成部分。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Arial"/>
          <w:color w:val="333333"/>
        </w:rPr>
      </w:pPr>
      <w:r>
        <w:rPr>
          <w:rFonts w:hint="eastAsia" w:ascii="微软雅黑" w:hAnsi="微软雅黑" w:eastAsia="微软雅黑" w:cs="Arial"/>
          <w:color w:val="333333"/>
        </w:rPr>
        <w:t>国有</w:t>
      </w:r>
      <w:r>
        <w:rPr>
          <w:rFonts w:ascii="微软雅黑" w:hAnsi="微软雅黑" w:eastAsia="微软雅黑" w:cs="Arial"/>
          <w:color w:val="333333"/>
        </w:rPr>
        <w:t>资本经营预算：</w:t>
      </w:r>
      <w:r>
        <w:rPr>
          <w:rFonts w:hint="eastAsia" w:ascii="微软雅黑" w:hAnsi="微软雅黑" w:eastAsia="微软雅黑" w:cs="Arial"/>
          <w:color w:val="333333"/>
        </w:rPr>
        <w:t>是政府以所有者身份依法取得国有资本收益，并对所得收益进行分配而发生的各项收支预算，是政府预算的重要组成部分。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一般公共预算</w:t>
      </w:r>
      <w:r>
        <w:rPr>
          <w:rFonts w:hint="eastAsia" w:ascii="微软雅黑" w:hAnsi="微软雅黑" w:eastAsia="微软雅黑" w:cs="Arial"/>
          <w:color w:val="333333"/>
        </w:rPr>
        <w:t>“三公”经费</w:t>
      </w:r>
      <w:r>
        <w:rPr>
          <w:rFonts w:ascii="微软雅黑" w:hAnsi="微软雅黑" w:eastAsia="微软雅黑" w:cs="Arial"/>
          <w:color w:val="333333"/>
        </w:rPr>
        <w:t>：</w:t>
      </w:r>
      <w:r>
        <w:rPr>
          <w:rFonts w:hint="eastAsia" w:ascii="微软雅黑" w:hAnsi="微软雅黑" w:eastAsia="微软雅黑" w:cs="Arial"/>
          <w:color w:val="333333"/>
        </w:rPr>
        <w:t>是指部门用财政拨款安排的因公出国 （境）费、公务用车购置及运行费和公务接待费。其中，因公出国（境）费是反映单位公务出国（境）的住宿费、旅费、伙食补助费、杂费、培训费等支出；公务用车购置及运行费是反映单位公务用车购置费及租用费、燃料费、维修费、过路过桥费、保险费、安全奖励费用等支出；公务接待费是反映单位按规定开支的各类公务接待支出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　　基本支出：是行政事业单位为保障机构正常运转、完成日常工作任务而编制的年度基本支出计划，包括人员经费和日常公用经费两部分。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　　项目支出：是行政事业单位为完成特定的工作任务或事业发展目标，在基本支出以外财政预算专项安排的支出。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　　</w:t>
      </w:r>
      <w:r>
        <w:rPr>
          <w:rFonts w:hint="eastAsia" w:ascii="微软雅黑" w:hAnsi="微软雅黑" w:eastAsia="微软雅黑" w:cs="Arial"/>
          <w:color w:val="333333"/>
        </w:rPr>
        <w:t>机关运行经费：是指为保障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 w:cs="Arial"/>
          <w:color w:val="333333"/>
        </w:rPr>
      </w:pPr>
      <w:r>
        <w:rPr>
          <w:rFonts w:ascii="微软雅黑" w:hAnsi="微软雅黑" w:eastAsia="微软雅黑" w:cs="Arial"/>
          <w:color w:val="333333"/>
        </w:rPr>
        <w:t>　　绩效</w:t>
      </w:r>
      <w:r>
        <w:rPr>
          <w:rFonts w:hint="eastAsia" w:ascii="微软雅黑" w:hAnsi="微软雅黑" w:eastAsia="微软雅黑" w:cs="Arial"/>
          <w:color w:val="333333"/>
        </w:rPr>
        <w:t>目标</w:t>
      </w:r>
      <w:r>
        <w:rPr>
          <w:rFonts w:ascii="微软雅黑" w:hAnsi="微软雅黑" w:eastAsia="微软雅黑" w:cs="Arial"/>
          <w:color w:val="333333"/>
        </w:rPr>
        <w:t>：</w:t>
      </w:r>
      <w:r>
        <w:rPr>
          <w:rFonts w:hint="eastAsia" w:ascii="微软雅黑" w:hAnsi="微软雅黑" w:eastAsia="微软雅黑" w:cs="Arial"/>
          <w:color w:val="333333"/>
        </w:rPr>
        <w:t>绩效目标内容主要是指项目中期目标和年度目标，具体的绩效指标，如产出的数量指标、质量指标、时效指标、社会效益指标、可持续影响指标、服务对象满意度指标等。绩效目标是整个预算绩效管理的起点、基础和前提，对预算编制、预算执行监控、绩效评价的开展都有非常重要的影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DRhYzU0ZjQ1ODg5ZWU3NzY5NWRiYjVjYTE2YmIifQ=="/>
  </w:docVars>
  <w:rsids>
    <w:rsidRoot w:val="77AD0739"/>
    <w:rsid w:val="06826B71"/>
    <w:rsid w:val="1F3A5DE3"/>
    <w:rsid w:val="307B138B"/>
    <w:rsid w:val="3BDD601C"/>
    <w:rsid w:val="50E84DEF"/>
    <w:rsid w:val="59BF74F1"/>
    <w:rsid w:val="734D0798"/>
    <w:rsid w:val="74A51ABA"/>
    <w:rsid w:val="77A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3683</Words>
  <Characters>3989</Characters>
  <Lines>0</Lines>
  <Paragraphs>0</Paragraphs>
  <TotalTime>18</TotalTime>
  <ScaleCrop>false</ScaleCrop>
  <LinksUpToDate>false</LinksUpToDate>
  <CharactersWithSpaces>4010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2023-09-21T02:08:00Z</dcterms:created>
  <dc:creator>土豆苕粉丶</dc:creator>
  <cp:lastModifiedBy>LM</cp:lastModifiedBy>
  <dcterms:modified xsi:type="dcterms:W3CDTF">2023-09-27T09:16:43Z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A4CB67B60BA141FCA302ACC8F2AF4774_11</vt:lpwstr>
  </property>
</Properties>
</file>