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20"/>
        <w:gridCol w:w="698"/>
        <w:gridCol w:w="1234"/>
        <w:gridCol w:w="2520"/>
        <w:gridCol w:w="1720"/>
        <w:gridCol w:w="1013"/>
        <w:gridCol w:w="1379"/>
        <w:gridCol w:w="2159"/>
        <w:gridCol w:w="645"/>
        <w:gridCol w:w="645"/>
        <w:gridCol w:w="220"/>
        <w:gridCol w:w="645"/>
        <w:gridCol w:w="221"/>
        <w:gridCol w:w="669"/>
      </w:tblGrid>
      <w:tr w14:paraId="106D090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85" w:hRule="atLeast"/>
        </w:trPr>
        <w:tc>
          <w:tcPr>
            <w:tcW w:w="15645" w:type="dxa"/>
            <w:gridSpan w:val="14"/>
            <w:tcBorders>
              <w:top w:val="nil"/>
              <w:left w:val="nil"/>
              <w:bottom w:val="nil"/>
              <w:right w:val="nil"/>
            </w:tcBorders>
            <w:shd w:val="clear" w:color="auto" w:fill="auto"/>
            <w:tcMar>
              <w:top w:w="15" w:type="dxa"/>
              <w:left w:w="15" w:type="dxa"/>
              <w:right w:w="15" w:type="dxa"/>
            </w:tcMar>
            <w:vAlign w:val="top"/>
          </w:tcPr>
          <w:p w14:paraId="4C73A903">
            <w:pPr>
              <w:keepNext w:val="0"/>
              <w:keepLines w:val="0"/>
              <w:widowControl/>
              <w:suppressLineNumbers w:val="0"/>
              <w:spacing w:before="0" w:beforeAutospacing="0" w:after="0" w:afterAutospacing="0"/>
              <w:ind w:left="0" w:right="0"/>
              <w:jc w:val="center"/>
              <w:textAlignment w:val="top"/>
              <w:rPr>
                <w:rFonts w:ascii="方正小标宋简体" w:hAnsi="方正小标宋简体" w:eastAsia="方正小标宋简体" w:cs="方正小标宋简体"/>
                <w:b/>
                <w:bCs/>
                <w:sz w:val="43"/>
                <w:szCs w:val="43"/>
              </w:rPr>
            </w:pPr>
            <w:r>
              <w:rPr>
                <w:rFonts w:hint="eastAsia" w:ascii="方正小标宋简体" w:hAnsi="方正小标宋简体" w:eastAsia="方正小标宋简体" w:cs="方正小标宋简体"/>
                <w:b/>
                <w:bCs/>
                <w:kern w:val="0"/>
                <w:sz w:val="43"/>
                <w:szCs w:val="43"/>
                <w:lang w:val="en-US" w:eastAsia="zh-CN" w:bidi="ar"/>
              </w:rPr>
              <w:t>广水市养老服务领域基层政务公开标准目录</w:t>
            </w:r>
          </w:p>
        </w:tc>
      </w:tr>
      <w:tr w14:paraId="32968B9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56" w:hRule="atLeast"/>
        </w:trPr>
        <w:tc>
          <w:tcPr>
            <w:tcW w:w="0" w:type="auto"/>
            <w:tcBorders>
              <w:top w:val="nil"/>
              <w:left w:val="nil"/>
              <w:bottom w:val="nil"/>
              <w:right w:val="nil"/>
            </w:tcBorders>
            <w:shd w:val="clear" w:color="auto" w:fill="auto"/>
            <w:tcMar>
              <w:top w:w="15" w:type="dxa"/>
              <w:left w:w="15" w:type="dxa"/>
              <w:right w:w="15" w:type="dxa"/>
            </w:tcMar>
            <w:vAlign w:val="center"/>
          </w:tcPr>
          <w:p w14:paraId="42955851">
            <w:pPr>
              <w:keepNext w:val="0"/>
              <w:keepLines w:val="0"/>
              <w:widowControl/>
              <w:suppressLineNumbers w:val="0"/>
              <w:spacing w:before="0" w:beforeAutospacing="0" w:after="0" w:afterAutospacing="0"/>
              <w:ind w:left="0" w:right="0"/>
              <w:jc w:val="left"/>
              <w:textAlignment w:val="center"/>
              <w:rPr>
                <w:rFonts w:ascii="Arial" w:hAnsi="Arial" w:cs="Arial"/>
                <w:sz w:val="19"/>
                <w:szCs w:val="19"/>
              </w:rPr>
            </w:pPr>
          </w:p>
        </w:tc>
        <w:tc>
          <w:tcPr>
            <w:tcW w:w="0" w:type="auto"/>
            <w:tcBorders>
              <w:top w:val="nil"/>
              <w:left w:val="nil"/>
              <w:bottom w:val="nil"/>
              <w:right w:val="nil"/>
            </w:tcBorders>
            <w:shd w:val="clear" w:color="auto" w:fill="auto"/>
            <w:tcMar>
              <w:top w:w="15" w:type="dxa"/>
              <w:left w:w="15" w:type="dxa"/>
              <w:right w:w="15" w:type="dxa"/>
            </w:tcMar>
            <w:vAlign w:val="center"/>
          </w:tcPr>
          <w:p w14:paraId="4E35CA63">
            <w:pPr>
              <w:keepNext w:val="0"/>
              <w:keepLines w:val="0"/>
              <w:widowControl/>
              <w:suppressLineNumbers w:val="0"/>
              <w:spacing w:before="0" w:beforeAutospacing="0" w:after="0" w:afterAutospacing="0"/>
              <w:ind w:left="0" w:right="0"/>
              <w:jc w:val="left"/>
              <w:textAlignment w:val="center"/>
              <w:rPr>
                <w:rFonts w:hint="default" w:ascii="Arial" w:hAnsi="Arial" w:cs="Arial"/>
                <w:sz w:val="19"/>
                <w:szCs w:val="19"/>
              </w:rPr>
            </w:pPr>
          </w:p>
        </w:tc>
        <w:tc>
          <w:tcPr>
            <w:tcW w:w="0" w:type="auto"/>
            <w:tcBorders>
              <w:top w:val="nil"/>
              <w:left w:val="nil"/>
              <w:bottom w:val="nil"/>
              <w:right w:val="nil"/>
            </w:tcBorders>
            <w:shd w:val="clear" w:color="auto" w:fill="auto"/>
            <w:tcMar>
              <w:top w:w="15" w:type="dxa"/>
              <w:left w:w="15" w:type="dxa"/>
              <w:right w:w="15" w:type="dxa"/>
            </w:tcMar>
            <w:vAlign w:val="center"/>
          </w:tcPr>
          <w:p w14:paraId="55514730">
            <w:pPr>
              <w:keepNext w:val="0"/>
              <w:keepLines w:val="0"/>
              <w:widowControl/>
              <w:suppressLineNumbers w:val="0"/>
              <w:spacing w:before="0" w:beforeAutospacing="0" w:after="0" w:afterAutospacing="0"/>
              <w:ind w:left="0" w:right="0"/>
              <w:jc w:val="left"/>
              <w:textAlignment w:val="center"/>
              <w:rPr>
                <w:rFonts w:hint="default" w:ascii="Arial" w:hAnsi="Arial" w:cs="Arial"/>
                <w:sz w:val="19"/>
                <w:szCs w:val="19"/>
              </w:rPr>
            </w:pPr>
          </w:p>
        </w:tc>
        <w:tc>
          <w:tcPr>
            <w:tcW w:w="0" w:type="auto"/>
            <w:tcBorders>
              <w:top w:val="nil"/>
              <w:left w:val="nil"/>
              <w:bottom w:val="nil"/>
              <w:right w:val="nil"/>
            </w:tcBorders>
            <w:shd w:val="clear" w:color="auto" w:fill="auto"/>
            <w:tcMar>
              <w:top w:w="15" w:type="dxa"/>
              <w:left w:w="15" w:type="dxa"/>
              <w:right w:w="15" w:type="dxa"/>
            </w:tcMar>
            <w:vAlign w:val="center"/>
          </w:tcPr>
          <w:p w14:paraId="610CEB77">
            <w:pPr>
              <w:keepNext w:val="0"/>
              <w:keepLines w:val="0"/>
              <w:widowControl/>
              <w:suppressLineNumbers w:val="0"/>
              <w:spacing w:before="0" w:beforeAutospacing="0" w:after="0" w:afterAutospacing="0"/>
              <w:ind w:left="0" w:right="0"/>
              <w:jc w:val="left"/>
              <w:textAlignment w:val="center"/>
              <w:rPr>
                <w:rFonts w:hint="default" w:ascii="Arial" w:hAnsi="Arial" w:cs="Arial"/>
                <w:sz w:val="19"/>
                <w:szCs w:val="19"/>
              </w:rPr>
            </w:pPr>
          </w:p>
        </w:tc>
        <w:tc>
          <w:tcPr>
            <w:tcW w:w="0" w:type="auto"/>
            <w:tcBorders>
              <w:top w:val="nil"/>
              <w:left w:val="nil"/>
              <w:bottom w:val="nil"/>
              <w:right w:val="nil"/>
            </w:tcBorders>
            <w:shd w:val="clear" w:color="auto" w:fill="auto"/>
            <w:tcMar>
              <w:top w:w="15" w:type="dxa"/>
              <w:left w:w="15" w:type="dxa"/>
              <w:right w:w="15" w:type="dxa"/>
            </w:tcMar>
            <w:vAlign w:val="center"/>
          </w:tcPr>
          <w:p w14:paraId="7E8EDB75">
            <w:pPr>
              <w:keepNext w:val="0"/>
              <w:keepLines w:val="0"/>
              <w:widowControl/>
              <w:suppressLineNumbers w:val="0"/>
              <w:spacing w:before="0" w:beforeAutospacing="0" w:after="0" w:afterAutospacing="0"/>
              <w:ind w:left="0" w:right="0"/>
              <w:jc w:val="center"/>
              <w:textAlignment w:val="center"/>
              <w:rPr>
                <w:rFonts w:hint="default" w:ascii="Arial" w:hAnsi="Arial" w:cs="Arial"/>
                <w:sz w:val="19"/>
                <w:szCs w:val="19"/>
              </w:rPr>
            </w:pPr>
          </w:p>
        </w:tc>
        <w:tc>
          <w:tcPr>
            <w:tcW w:w="0" w:type="auto"/>
            <w:tcBorders>
              <w:top w:val="nil"/>
              <w:left w:val="nil"/>
              <w:bottom w:val="nil"/>
              <w:right w:val="nil"/>
            </w:tcBorders>
            <w:shd w:val="clear" w:color="auto" w:fill="auto"/>
            <w:tcMar>
              <w:top w:w="15" w:type="dxa"/>
              <w:left w:w="15" w:type="dxa"/>
              <w:right w:w="15" w:type="dxa"/>
            </w:tcMar>
            <w:vAlign w:val="center"/>
          </w:tcPr>
          <w:p w14:paraId="0A044FA4">
            <w:pPr>
              <w:keepNext w:val="0"/>
              <w:keepLines w:val="0"/>
              <w:widowControl/>
              <w:suppressLineNumbers w:val="0"/>
              <w:spacing w:before="0" w:beforeAutospacing="0" w:after="0" w:afterAutospacing="0"/>
              <w:ind w:left="0" w:right="0"/>
              <w:jc w:val="left"/>
              <w:textAlignment w:val="center"/>
              <w:rPr>
                <w:rFonts w:hint="default" w:ascii="Arial" w:hAnsi="Arial" w:cs="Arial"/>
                <w:sz w:val="19"/>
                <w:szCs w:val="19"/>
              </w:rPr>
            </w:pPr>
          </w:p>
        </w:tc>
        <w:tc>
          <w:tcPr>
            <w:tcW w:w="0" w:type="auto"/>
            <w:tcBorders>
              <w:top w:val="nil"/>
              <w:left w:val="nil"/>
              <w:bottom w:val="nil"/>
              <w:right w:val="nil"/>
            </w:tcBorders>
            <w:shd w:val="clear" w:color="auto" w:fill="auto"/>
            <w:tcMar>
              <w:top w:w="15" w:type="dxa"/>
              <w:left w:w="15" w:type="dxa"/>
              <w:right w:w="15" w:type="dxa"/>
            </w:tcMar>
            <w:vAlign w:val="center"/>
          </w:tcPr>
          <w:p w14:paraId="4B8A0E0E">
            <w:pPr>
              <w:keepNext w:val="0"/>
              <w:keepLines w:val="0"/>
              <w:widowControl/>
              <w:suppressLineNumbers w:val="0"/>
              <w:spacing w:before="0" w:beforeAutospacing="0" w:after="0" w:afterAutospacing="0"/>
              <w:ind w:left="0" w:right="0"/>
              <w:jc w:val="center"/>
              <w:textAlignment w:val="center"/>
              <w:rPr>
                <w:rFonts w:hint="default" w:ascii="Arial" w:hAnsi="Arial" w:cs="Arial"/>
                <w:sz w:val="19"/>
                <w:szCs w:val="19"/>
              </w:rPr>
            </w:pPr>
          </w:p>
        </w:tc>
        <w:tc>
          <w:tcPr>
            <w:tcW w:w="0" w:type="auto"/>
            <w:tcBorders>
              <w:top w:val="nil"/>
              <w:left w:val="nil"/>
              <w:bottom w:val="nil"/>
              <w:right w:val="nil"/>
            </w:tcBorders>
            <w:shd w:val="clear" w:color="auto" w:fill="auto"/>
            <w:tcMar>
              <w:top w:w="15" w:type="dxa"/>
              <w:left w:w="15" w:type="dxa"/>
              <w:right w:w="15" w:type="dxa"/>
            </w:tcMar>
            <w:vAlign w:val="center"/>
          </w:tcPr>
          <w:p w14:paraId="335B1F8D">
            <w:pPr>
              <w:keepNext w:val="0"/>
              <w:keepLines w:val="0"/>
              <w:widowControl/>
              <w:suppressLineNumbers w:val="0"/>
              <w:spacing w:before="0" w:beforeAutospacing="0" w:after="0" w:afterAutospacing="0"/>
              <w:ind w:left="0" w:right="0"/>
              <w:jc w:val="left"/>
              <w:textAlignment w:val="center"/>
              <w:rPr>
                <w:rFonts w:hint="default" w:ascii="Arial" w:hAnsi="Arial" w:cs="Arial"/>
                <w:sz w:val="19"/>
                <w:szCs w:val="19"/>
              </w:rPr>
            </w:pPr>
          </w:p>
        </w:tc>
        <w:tc>
          <w:tcPr>
            <w:tcW w:w="0" w:type="auto"/>
            <w:tcBorders>
              <w:top w:val="nil"/>
              <w:left w:val="nil"/>
              <w:bottom w:val="nil"/>
              <w:right w:val="nil"/>
            </w:tcBorders>
            <w:shd w:val="clear" w:color="auto" w:fill="auto"/>
            <w:tcMar>
              <w:top w:w="15" w:type="dxa"/>
              <w:left w:w="15" w:type="dxa"/>
              <w:right w:w="15" w:type="dxa"/>
            </w:tcMar>
            <w:vAlign w:val="center"/>
          </w:tcPr>
          <w:p w14:paraId="1BF7AB36">
            <w:pPr>
              <w:keepNext w:val="0"/>
              <w:keepLines w:val="0"/>
              <w:widowControl/>
              <w:suppressLineNumbers w:val="0"/>
              <w:spacing w:before="0" w:beforeAutospacing="0" w:after="0" w:afterAutospacing="0"/>
              <w:ind w:left="0" w:right="0"/>
              <w:jc w:val="center"/>
              <w:textAlignment w:val="center"/>
              <w:rPr>
                <w:rFonts w:hint="default" w:ascii="Arial" w:hAnsi="Arial" w:cs="Arial"/>
                <w:sz w:val="19"/>
                <w:szCs w:val="19"/>
              </w:rPr>
            </w:pPr>
          </w:p>
        </w:tc>
        <w:tc>
          <w:tcPr>
            <w:tcW w:w="0" w:type="auto"/>
            <w:tcBorders>
              <w:top w:val="nil"/>
              <w:left w:val="nil"/>
              <w:bottom w:val="nil"/>
              <w:right w:val="nil"/>
            </w:tcBorders>
            <w:shd w:val="clear" w:color="auto" w:fill="auto"/>
            <w:tcMar>
              <w:top w:w="15" w:type="dxa"/>
              <w:left w:w="15" w:type="dxa"/>
              <w:right w:w="15" w:type="dxa"/>
            </w:tcMar>
            <w:vAlign w:val="center"/>
          </w:tcPr>
          <w:p w14:paraId="03F07AED">
            <w:pPr>
              <w:keepNext w:val="0"/>
              <w:keepLines w:val="0"/>
              <w:widowControl/>
              <w:suppressLineNumbers w:val="0"/>
              <w:spacing w:before="0" w:beforeAutospacing="0" w:after="0" w:afterAutospacing="0"/>
              <w:ind w:left="0" w:right="0"/>
              <w:jc w:val="center"/>
              <w:textAlignment w:val="center"/>
              <w:rPr>
                <w:rFonts w:hint="default" w:ascii="Arial" w:hAnsi="Arial" w:cs="Arial"/>
                <w:sz w:val="19"/>
                <w:szCs w:val="19"/>
              </w:rPr>
            </w:pPr>
          </w:p>
        </w:tc>
        <w:tc>
          <w:tcPr>
            <w:tcW w:w="0" w:type="auto"/>
            <w:tcBorders>
              <w:top w:val="nil"/>
              <w:left w:val="nil"/>
              <w:bottom w:val="nil"/>
              <w:right w:val="nil"/>
            </w:tcBorders>
            <w:shd w:val="clear" w:color="auto" w:fill="auto"/>
            <w:tcMar>
              <w:top w:w="15" w:type="dxa"/>
              <w:left w:w="15" w:type="dxa"/>
              <w:right w:w="15" w:type="dxa"/>
            </w:tcMar>
            <w:vAlign w:val="center"/>
          </w:tcPr>
          <w:p w14:paraId="04106EC6">
            <w:pPr>
              <w:keepNext w:val="0"/>
              <w:keepLines w:val="0"/>
              <w:widowControl/>
              <w:suppressLineNumbers w:val="0"/>
              <w:spacing w:before="0" w:beforeAutospacing="0" w:after="0" w:afterAutospacing="0"/>
              <w:ind w:left="0" w:right="0"/>
              <w:jc w:val="center"/>
              <w:textAlignment w:val="center"/>
              <w:rPr>
                <w:rFonts w:hint="default" w:ascii="Arial" w:hAnsi="Arial" w:cs="Arial"/>
                <w:sz w:val="19"/>
                <w:szCs w:val="19"/>
              </w:rPr>
            </w:pPr>
          </w:p>
        </w:tc>
        <w:tc>
          <w:tcPr>
            <w:tcW w:w="0" w:type="auto"/>
            <w:tcBorders>
              <w:top w:val="nil"/>
              <w:left w:val="nil"/>
              <w:bottom w:val="nil"/>
              <w:right w:val="nil"/>
            </w:tcBorders>
            <w:shd w:val="clear" w:color="auto" w:fill="auto"/>
            <w:tcMar>
              <w:top w:w="15" w:type="dxa"/>
              <w:left w:w="15" w:type="dxa"/>
              <w:right w:w="15" w:type="dxa"/>
            </w:tcMar>
            <w:vAlign w:val="center"/>
          </w:tcPr>
          <w:p w14:paraId="7B71C717">
            <w:pPr>
              <w:keepNext w:val="0"/>
              <w:keepLines w:val="0"/>
              <w:widowControl/>
              <w:suppressLineNumbers w:val="0"/>
              <w:spacing w:before="0" w:beforeAutospacing="0" w:after="0" w:afterAutospacing="0"/>
              <w:ind w:left="0" w:right="0"/>
              <w:jc w:val="center"/>
              <w:textAlignment w:val="center"/>
              <w:rPr>
                <w:rFonts w:hint="default" w:ascii="Arial" w:hAnsi="Arial" w:cs="Arial"/>
                <w:sz w:val="19"/>
                <w:szCs w:val="19"/>
              </w:rPr>
            </w:pPr>
          </w:p>
        </w:tc>
        <w:tc>
          <w:tcPr>
            <w:tcW w:w="0" w:type="auto"/>
            <w:tcBorders>
              <w:top w:val="nil"/>
              <w:left w:val="nil"/>
              <w:bottom w:val="nil"/>
              <w:right w:val="nil"/>
            </w:tcBorders>
            <w:shd w:val="clear" w:color="auto" w:fill="auto"/>
            <w:tcMar>
              <w:top w:w="15" w:type="dxa"/>
              <w:left w:w="15" w:type="dxa"/>
              <w:right w:w="15" w:type="dxa"/>
            </w:tcMar>
            <w:vAlign w:val="center"/>
          </w:tcPr>
          <w:p w14:paraId="6491A442">
            <w:pPr>
              <w:keepNext w:val="0"/>
              <w:keepLines w:val="0"/>
              <w:widowControl/>
              <w:suppressLineNumbers w:val="0"/>
              <w:spacing w:before="0" w:beforeAutospacing="0" w:after="0" w:afterAutospacing="0"/>
              <w:ind w:left="0" w:right="0"/>
              <w:jc w:val="center"/>
              <w:textAlignment w:val="center"/>
              <w:rPr>
                <w:rFonts w:hint="default" w:ascii="Arial" w:hAnsi="Arial" w:cs="Arial"/>
                <w:sz w:val="19"/>
                <w:szCs w:val="19"/>
              </w:rPr>
            </w:pPr>
          </w:p>
        </w:tc>
        <w:tc>
          <w:tcPr>
            <w:tcW w:w="0" w:type="auto"/>
            <w:tcBorders>
              <w:top w:val="nil"/>
              <w:left w:val="nil"/>
              <w:bottom w:val="nil"/>
              <w:right w:val="nil"/>
            </w:tcBorders>
            <w:shd w:val="clear" w:color="auto" w:fill="auto"/>
            <w:tcMar>
              <w:top w:w="15" w:type="dxa"/>
              <w:left w:w="15" w:type="dxa"/>
              <w:right w:w="15" w:type="dxa"/>
            </w:tcMar>
            <w:vAlign w:val="center"/>
          </w:tcPr>
          <w:p w14:paraId="2D1CDA0E">
            <w:pPr>
              <w:keepNext w:val="0"/>
              <w:keepLines w:val="0"/>
              <w:widowControl/>
              <w:suppressLineNumbers w:val="0"/>
              <w:spacing w:before="0" w:beforeAutospacing="0" w:after="0" w:afterAutospacing="0"/>
              <w:ind w:left="0" w:right="0"/>
              <w:jc w:val="center"/>
              <w:textAlignment w:val="center"/>
              <w:rPr>
                <w:rFonts w:hint="default" w:ascii="Arial" w:hAnsi="Arial" w:cs="Arial"/>
                <w:sz w:val="19"/>
                <w:szCs w:val="19"/>
              </w:rPr>
            </w:pPr>
          </w:p>
        </w:tc>
      </w:tr>
      <w:tr w14:paraId="2019535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55"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39C95AF">
            <w:pPr>
              <w:keepNext w:val="0"/>
              <w:keepLines w:val="0"/>
              <w:widowControl/>
              <w:suppressLineNumbers w:val="0"/>
              <w:spacing w:before="0" w:beforeAutospacing="0" w:after="0" w:afterAutospacing="0"/>
              <w:ind w:left="0" w:right="0"/>
              <w:jc w:val="left"/>
              <w:textAlignment w:val="center"/>
              <w:rPr>
                <w:rFonts w:ascii="黑体" w:hAnsi="宋体" w:eastAsia="黑体" w:cs="黑体"/>
                <w:sz w:val="19"/>
                <w:szCs w:val="19"/>
              </w:rPr>
            </w:pPr>
            <w:r>
              <w:rPr>
                <w:rFonts w:hint="eastAsia" w:ascii="黑体" w:hAnsi="宋体" w:eastAsia="黑体" w:cs="黑体"/>
                <w:kern w:val="0"/>
                <w:sz w:val="19"/>
                <w:szCs w:val="19"/>
                <w:lang w:val="en-US" w:eastAsia="zh-CN" w:bidi="ar"/>
              </w:rPr>
              <w:t>序号</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bottom"/>
          </w:tcPr>
          <w:p w14:paraId="771BE1B1">
            <w:pPr>
              <w:keepNext w:val="0"/>
              <w:keepLines w:val="0"/>
              <w:widowControl/>
              <w:suppressLineNumbers w:val="0"/>
              <w:spacing w:before="0" w:beforeAutospacing="0" w:after="0" w:afterAutospacing="0"/>
              <w:ind w:left="0" w:right="0"/>
              <w:jc w:val="center"/>
              <w:textAlignment w:val="bottom"/>
              <w:rPr>
                <w:rFonts w:hint="eastAsia" w:ascii="黑体" w:hAnsi="宋体" w:eastAsia="黑体" w:cs="黑体"/>
                <w:b/>
                <w:bCs/>
                <w:sz w:val="19"/>
                <w:szCs w:val="19"/>
              </w:rPr>
            </w:pPr>
            <w:r>
              <w:rPr>
                <w:rFonts w:hint="eastAsia" w:ascii="黑体" w:hAnsi="宋体" w:eastAsia="黑体" w:cs="黑体"/>
                <w:b/>
                <w:bCs/>
                <w:kern w:val="0"/>
                <w:sz w:val="19"/>
                <w:szCs w:val="19"/>
                <w:lang w:val="en-US" w:eastAsia="zh-CN" w:bidi="ar"/>
              </w:rPr>
              <w:t>公开事项</w:t>
            </w:r>
          </w:p>
        </w:tc>
        <w:tc>
          <w:tcPr>
            <w:tcW w:w="2790" w:type="dxa"/>
            <w:vMerge w:val="restar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2FCA388">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sz w:val="19"/>
                <w:szCs w:val="19"/>
              </w:rPr>
            </w:pPr>
            <w:r>
              <w:rPr>
                <w:rFonts w:hint="eastAsia" w:ascii="黑体" w:hAnsi="宋体" w:eastAsia="黑体" w:cs="黑体"/>
                <w:b/>
                <w:bCs/>
                <w:kern w:val="0"/>
                <w:sz w:val="19"/>
                <w:szCs w:val="19"/>
                <w:lang w:val="en-US" w:eastAsia="zh-CN" w:bidi="ar"/>
              </w:rPr>
              <w:t>公开内容 （要素）</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51501DC">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sz w:val="19"/>
                <w:szCs w:val="19"/>
              </w:rPr>
            </w:pPr>
            <w:r>
              <w:rPr>
                <w:rFonts w:hint="eastAsia" w:ascii="黑体" w:hAnsi="宋体" w:eastAsia="黑体" w:cs="黑体"/>
                <w:b/>
                <w:bCs/>
                <w:kern w:val="0"/>
                <w:sz w:val="19"/>
                <w:szCs w:val="19"/>
                <w:lang w:val="en-US" w:eastAsia="zh-CN" w:bidi="ar"/>
              </w:rPr>
              <w:t>公开依据</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18C4FA2">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sz w:val="19"/>
                <w:szCs w:val="19"/>
              </w:rPr>
            </w:pPr>
            <w:r>
              <w:rPr>
                <w:rFonts w:hint="eastAsia" w:ascii="黑体" w:hAnsi="宋体" w:eastAsia="黑体" w:cs="黑体"/>
                <w:b/>
                <w:bCs/>
                <w:kern w:val="0"/>
                <w:sz w:val="19"/>
                <w:szCs w:val="19"/>
                <w:lang w:val="en-US" w:eastAsia="zh-CN" w:bidi="ar"/>
              </w:rPr>
              <w:t>公开时限</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43CEFB1">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sz w:val="19"/>
                <w:szCs w:val="19"/>
              </w:rPr>
            </w:pPr>
            <w:r>
              <w:rPr>
                <w:rFonts w:hint="eastAsia" w:ascii="黑体" w:hAnsi="宋体" w:eastAsia="黑体" w:cs="黑体"/>
                <w:b/>
                <w:bCs/>
                <w:kern w:val="0"/>
                <w:sz w:val="19"/>
                <w:szCs w:val="19"/>
                <w:lang w:val="en-US" w:eastAsia="zh-CN" w:bidi="ar"/>
              </w:rPr>
              <w:t>公开主体</w:t>
            </w:r>
          </w:p>
        </w:tc>
        <w:tc>
          <w:tcPr>
            <w:tcW w:w="1395" w:type="dxa"/>
            <w:vMerge w:val="restar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3B08675">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sz w:val="19"/>
                <w:szCs w:val="19"/>
              </w:rPr>
            </w:pPr>
            <w:r>
              <w:rPr>
                <w:rFonts w:hint="eastAsia" w:ascii="黑体" w:hAnsi="宋体" w:eastAsia="黑体" w:cs="黑体"/>
                <w:kern w:val="0"/>
                <w:sz w:val="19"/>
                <w:szCs w:val="19"/>
                <w:lang w:val="en-US" w:eastAsia="zh-CN" w:bidi="ar"/>
              </w:rPr>
              <w:t>公开渠道和 载体</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bottom"/>
          </w:tcPr>
          <w:p w14:paraId="6041F483">
            <w:pPr>
              <w:keepNext w:val="0"/>
              <w:keepLines w:val="0"/>
              <w:widowControl/>
              <w:suppressLineNumbers w:val="0"/>
              <w:spacing w:before="0" w:beforeAutospacing="0" w:after="0" w:afterAutospacing="0"/>
              <w:ind w:left="0" w:right="0"/>
              <w:jc w:val="center"/>
              <w:textAlignment w:val="bottom"/>
              <w:rPr>
                <w:rFonts w:hint="eastAsia" w:ascii="黑体" w:hAnsi="宋体" w:eastAsia="黑体" w:cs="黑体"/>
                <w:sz w:val="19"/>
                <w:szCs w:val="19"/>
              </w:rPr>
            </w:pPr>
            <w:r>
              <w:rPr>
                <w:rFonts w:hint="eastAsia" w:ascii="黑体" w:hAnsi="宋体" w:eastAsia="黑体" w:cs="黑体"/>
                <w:kern w:val="0"/>
                <w:sz w:val="19"/>
                <w:szCs w:val="19"/>
                <w:lang w:val="en-US" w:eastAsia="zh-CN" w:bidi="ar"/>
              </w:rPr>
              <w:t>公开对象</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bottom"/>
          </w:tcPr>
          <w:p w14:paraId="16F36F75">
            <w:pPr>
              <w:keepNext w:val="0"/>
              <w:keepLines w:val="0"/>
              <w:widowControl/>
              <w:suppressLineNumbers w:val="0"/>
              <w:spacing w:before="0" w:beforeAutospacing="0" w:after="0" w:afterAutospacing="0"/>
              <w:ind w:left="0" w:right="0"/>
              <w:jc w:val="center"/>
              <w:textAlignment w:val="bottom"/>
              <w:rPr>
                <w:rFonts w:hint="eastAsia" w:ascii="黑体" w:hAnsi="宋体" w:eastAsia="黑体" w:cs="黑体"/>
                <w:sz w:val="19"/>
                <w:szCs w:val="19"/>
              </w:rPr>
            </w:pPr>
            <w:r>
              <w:rPr>
                <w:rFonts w:hint="eastAsia" w:ascii="黑体" w:hAnsi="宋体" w:eastAsia="黑体" w:cs="黑体"/>
                <w:kern w:val="0"/>
                <w:sz w:val="19"/>
                <w:szCs w:val="19"/>
                <w:lang w:val="en-US" w:eastAsia="zh-CN" w:bidi="ar"/>
              </w:rPr>
              <w:t>公开方式</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bottom"/>
          </w:tcPr>
          <w:p w14:paraId="2EC4F3A5">
            <w:pPr>
              <w:keepNext w:val="0"/>
              <w:keepLines w:val="0"/>
              <w:widowControl/>
              <w:suppressLineNumbers w:val="0"/>
              <w:spacing w:before="0" w:beforeAutospacing="0" w:after="0" w:afterAutospacing="0"/>
              <w:ind w:left="0" w:right="0"/>
              <w:jc w:val="center"/>
              <w:textAlignment w:val="bottom"/>
              <w:rPr>
                <w:rFonts w:hint="eastAsia" w:ascii="黑体" w:hAnsi="宋体" w:eastAsia="黑体" w:cs="黑体"/>
                <w:sz w:val="19"/>
                <w:szCs w:val="19"/>
              </w:rPr>
            </w:pPr>
            <w:r>
              <w:rPr>
                <w:rFonts w:hint="eastAsia" w:ascii="黑体" w:hAnsi="宋体" w:eastAsia="黑体" w:cs="黑体"/>
                <w:kern w:val="0"/>
                <w:sz w:val="19"/>
                <w:szCs w:val="19"/>
                <w:lang w:val="en-US" w:eastAsia="zh-CN" w:bidi="ar"/>
              </w:rPr>
              <w:t>公开层级</w:t>
            </w:r>
          </w:p>
        </w:tc>
      </w:tr>
      <w:tr w14:paraId="221F5DC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DBC2771">
            <w:pPr>
              <w:rPr>
                <w:rFonts w:hint="eastAsia" w:ascii="黑体" w:hAnsi="宋体" w:eastAsia="黑体" w:cs="黑体"/>
                <w:sz w:val="19"/>
                <w:szCs w:val="19"/>
              </w:rPr>
            </w:pP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bottom"/>
          </w:tcPr>
          <w:p w14:paraId="37475906">
            <w:pPr>
              <w:keepNext w:val="0"/>
              <w:keepLines w:val="0"/>
              <w:widowControl/>
              <w:suppressLineNumbers w:val="0"/>
              <w:spacing w:before="0" w:beforeAutospacing="0" w:after="0" w:afterAutospacing="0"/>
              <w:ind w:left="0" w:right="0"/>
              <w:jc w:val="left"/>
              <w:textAlignment w:val="bottom"/>
              <w:rPr>
                <w:rFonts w:hint="eastAsia" w:ascii="黑体" w:hAnsi="宋体" w:eastAsia="黑体" w:cs="黑体"/>
                <w:sz w:val="19"/>
                <w:szCs w:val="19"/>
              </w:rPr>
            </w:pPr>
            <w:r>
              <w:rPr>
                <w:rFonts w:hint="eastAsia" w:ascii="黑体" w:hAnsi="宋体" w:eastAsia="黑体" w:cs="黑体"/>
                <w:kern w:val="0"/>
                <w:sz w:val="19"/>
                <w:szCs w:val="19"/>
                <w:lang w:val="en-US" w:eastAsia="zh-CN" w:bidi="ar"/>
              </w:rPr>
              <w:t>一级 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0CBD0D0">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sz w:val="19"/>
                <w:szCs w:val="19"/>
              </w:rPr>
            </w:pPr>
            <w:r>
              <w:rPr>
                <w:rFonts w:hint="eastAsia" w:ascii="黑体" w:hAnsi="宋体" w:eastAsia="黑体" w:cs="黑体"/>
                <w:b/>
                <w:bCs/>
                <w:kern w:val="0"/>
                <w:sz w:val="19"/>
                <w:szCs w:val="19"/>
                <w:lang w:val="en-US" w:eastAsia="zh-CN" w:bidi="ar"/>
              </w:rPr>
              <w:t>二级事项</w:t>
            </w:r>
          </w:p>
        </w:tc>
        <w:tc>
          <w:tcPr>
            <w:tcW w:w="2790" w:type="dxa"/>
            <w:vMerge w:val="continue"/>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EE880E7">
            <w:pPr>
              <w:jc w:val="center"/>
              <w:rPr>
                <w:rFonts w:hint="eastAsia" w:ascii="黑体" w:hAnsi="宋体" w:eastAsia="黑体" w:cs="黑体"/>
                <w:b/>
                <w:bCs/>
                <w:sz w:val="19"/>
                <w:szCs w:val="19"/>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EBEE867">
            <w:pPr>
              <w:jc w:val="center"/>
              <w:rPr>
                <w:rFonts w:hint="eastAsia" w:ascii="黑体" w:hAnsi="宋体" w:eastAsia="黑体" w:cs="黑体"/>
                <w:b/>
                <w:bCs/>
                <w:sz w:val="19"/>
                <w:szCs w:val="19"/>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4D5C6EC">
            <w:pPr>
              <w:jc w:val="center"/>
              <w:rPr>
                <w:rFonts w:hint="eastAsia" w:ascii="黑体" w:hAnsi="宋体" w:eastAsia="黑体" w:cs="黑体"/>
                <w:b/>
                <w:bCs/>
                <w:sz w:val="19"/>
                <w:szCs w:val="19"/>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6AA7F4B">
            <w:pPr>
              <w:jc w:val="center"/>
              <w:rPr>
                <w:rFonts w:hint="eastAsia" w:ascii="黑体" w:hAnsi="宋体" w:eastAsia="黑体" w:cs="黑体"/>
                <w:b/>
                <w:bCs/>
                <w:sz w:val="19"/>
                <w:szCs w:val="19"/>
              </w:rPr>
            </w:pPr>
          </w:p>
        </w:tc>
        <w:tc>
          <w:tcPr>
            <w:tcW w:w="1395" w:type="dxa"/>
            <w:vMerge w:val="continue"/>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DD38B47">
            <w:pPr>
              <w:jc w:val="center"/>
              <w:rPr>
                <w:rFonts w:hint="eastAsia" w:ascii="黑体" w:hAnsi="宋体" w:eastAsia="黑体" w:cs="黑体"/>
                <w:sz w:val="19"/>
                <w:szCs w:val="19"/>
              </w:rPr>
            </w:pP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bottom"/>
          </w:tcPr>
          <w:p w14:paraId="729E8A22">
            <w:pPr>
              <w:keepNext w:val="0"/>
              <w:keepLines w:val="0"/>
              <w:widowControl/>
              <w:suppressLineNumbers w:val="0"/>
              <w:spacing w:before="0" w:beforeAutospacing="0" w:after="0" w:afterAutospacing="0"/>
              <w:ind w:left="0" w:right="0"/>
              <w:jc w:val="center"/>
              <w:textAlignment w:val="bottom"/>
              <w:rPr>
                <w:rFonts w:hint="eastAsia" w:ascii="黑体" w:hAnsi="宋体" w:eastAsia="黑体" w:cs="黑体"/>
                <w:b/>
                <w:bCs/>
                <w:sz w:val="19"/>
                <w:szCs w:val="19"/>
              </w:rPr>
            </w:pPr>
            <w:r>
              <w:rPr>
                <w:rFonts w:hint="eastAsia" w:ascii="黑体" w:hAnsi="宋体" w:eastAsia="黑体" w:cs="黑体"/>
                <w:b/>
                <w:bCs/>
                <w:kern w:val="0"/>
                <w:sz w:val="19"/>
                <w:szCs w:val="19"/>
                <w:lang w:val="en-US" w:eastAsia="zh-CN" w:bidi="ar"/>
              </w:rPr>
              <w:t>全</w:t>
            </w:r>
            <w:r>
              <w:rPr>
                <w:rFonts w:hint="eastAsia" w:ascii="黑体" w:hAnsi="宋体" w:eastAsia="黑体" w:cs="黑体"/>
                <w:b/>
                <w:bCs/>
                <w:kern w:val="0"/>
                <w:sz w:val="19"/>
                <w:szCs w:val="19"/>
                <w:lang w:val="en-US" w:eastAsia="zh-CN" w:bidi="ar"/>
              </w:rPr>
              <w:br w:type="textWrapping"/>
            </w:r>
            <w:r>
              <w:rPr>
                <w:rFonts w:hint="eastAsia" w:ascii="黑体" w:hAnsi="宋体" w:eastAsia="黑体" w:cs="黑体"/>
                <w:b/>
                <w:bCs/>
                <w:kern w:val="0"/>
                <w:sz w:val="19"/>
                <w:szCs w:val="19"/>
                <w:lang w:val="en-US" w:eastAsia="zh-CN" w:bidi="ar"/>
              </w:rPr>
              <w:t>社会</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bottom"/>
          </w:tcPr>
          <w:p w14:paraId="35F7380B">
            <w:pPr>
              <w:keepNext w:val="0"/>
              <w:keepLines w:val="0"/>
              <w:widowControl/>
              <w:suppressLineNumbers w:val="0"/>
              <w:spacing w:before="0" w:beforeAutospacing="0" w:after="0" w:afterAutospacing="0"/>
              <w:ind w:left="0" w:right="0"/>
              <w:jc w:val="center"/>
              <w:textAlignment w:val="bottom"/>
              <w:rPr>
                <w:rFonts w:hint="eastAsia" w:ascii="黑体" w:hAnsi="宋体" w:eastAsia="黑体" w:cs="黑体"/>
                <w:sz w:val="19"/>
                <w:szCs w:val="19"/>
              </w:rPr>
            </w:pPr>
            <w:r>
              <w:rPr>
                <w:rFonts w:hint="eastAsia" w:ascii="黑体" w:hAnsi="宋体" w:eastAsia="黑体" w:cs="黑体"/>
                <w:kern w:val="0"/>
                <w:sz w:val="19"/>
                <w:szCs w:val="19"/>
                <w:lang w:val="en-US" w:eastAsia="zh-CN" w:bidi="ar"/>
              </w:rPr>
              <w:t>特定 群体</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0DE8020">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sz w:val="19"/>
                <w:szCs w:val="19"/>
              </w:rPr>
            </w:pPr>
            <w:r>
              <w:rPr>
                <w:rFonts w:hint="eastAsia" w:ascii="黑体" w:hAnsi="宋体" w:eastAsia="黑体" w:cs="黑体"/>
                <w:kern w:val="0"/>
                <w:sz w:val="19"/>
                <w:szCs w:val="19"/>
                <w:lang w:val="en-US" w:eastAsia="zh-CN" w:bidi="ar"/>
              </w:rPr>
              <w:t>主动</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bottom"/>
          </w:tcPr>
          <w:p w14:paraId="275D676E">
            <w:pPr>
              <w:keepNext w:val="0"/>
              <w:keepLines w:val="0"/>
              <w:widowControl/>
              <w:suppressLineNumbers w:val="0"/>
              <w:spacing w:before="0" w:beforeAutospacing="0" w:after="0" w:afterAutospacing="0"/>
              <w:ind w:left="0" w:right="0"/>
              <w:jc w:val="center"/>
              <w:textAlignment w:val="bottom"/>
              <w:rPr>
                <w:rFonts w:hint="eastAsia" w:ascii="黑体" w:hAnsi="宋体" w:eastAsia="黑体" w:cs="黑体"/>
                <w:b/>
                <w:bCs/>
                <w:sz w:val="19"/>
                <w:szCs w:val="19"/>
              </w:rPr>
            </w:pPr>
            <w:r>
              <w:rPr>
                <w:rFonts w:hint="eastAsia" w:ascii="黑体" w:hAnsi="宋体" w:eastAsia="黑体" w:cs="黑体"/>
                <w:b/>
                <w:bCs/>
                <w:kern w:val="0"/>
                <w:sz w:val="19"/>
                <w:szCs w:val="19"/>
                <w:lang w:val="en-US" w:eastAsia="zh-CN" w:bidi="ar"/>
              </w:rPr>
              <w:t>依</w:t>
            </w:r>
            <w:r>
              <w:rPr>
                <w:rFonts w:hint="eastAsia" w:ascii="黑体" w:hAnsi="宋体" w:eastAsia="黑体" w:cs="黑体"/>
                <w:b/>
                <w:bCs/>
                <w:kern w:val="0"/>
                <w:sz w:val="19"/>
                <w:szCs w:val="19"/>
                <w:lang w:val="en-US" w:eastAsia="zh-CN" w:bidi="ar"/>
              </w:rPr>
              <w:br w:type="textWrapping"/>
            </w:r>
            <w:r>
              <w:rPr>
                <w:rFonts w:hint="eastAsia" w:ascii="黑体" w:hAnsi="宋体" w:eastAsia="黑体" w:cs="黑体"/>
                <w:b/>
                <w:bCs/>
                <w:kern w:val="0"/>
                <w:sz w:val="19"/>
                <w:szCs w:val="19"/>
                <w:lang w:val="en-US" w:eastAsia="zh-CN" w:bidi="ar"/>
              </w:rPr>
              <w:t>申请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4BB70AB">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sz w:val="19"/>
                <w:szCs w:val="19"/>
              </w:rPr>
            </w:pPr>
            <w:r>
              <w:rPr>
                <w:rFonts w:hint="eastAsia" w:ascii="黑体" w:hAnsi="宋体" w:eastAsia="黑体" w:cs="黑体"/>
                <w:b/>
                <w:bCs/>
                <w:kern w:val="0"/>
                <w:sz w:val="19"/>
                <w:szCs w:val="19"/>
                <w:lang w:val="en-US" w:eastAsia="zh-CN" w:bidi="ar"/>
              </w:rPr>
              <w:t>市级</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B13F2F5">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sz w:val="19"/>
                <w:szCs w:val="19"/>
              </w:rPr>
            </w:pPr>
            <w:r>
              <w:rPr>
                <w:rFonts w:hint="eastAsia" w:ascii="黑体" w:hAnsi="宋体" w:eastAsia="黑体" w:cs="黑体"/>
                <w:b/>
                <w:bCs/>
                <w:kern w:val="0"/>
                <w:sz w:val="19"/>
                <w:szCs w:val="19"/>
                <w:lang w:val="en-US" w:eastAsia="zh-CN" w:bidi="ar"/>
              </w:rPr>
              <w:t>镇、村级</w:t>
            </w:r>
          </w:p>
        </w:tc>
      </w:tr>
      <w:tr w14:paraId="23F51B9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6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EE85F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1</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E7FA4A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养老服 务通用 政策</w:t>
            </w: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E6BADE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国家和地方层面养老服务相关法律法规、政策文件</w:t>
            </w:r>
          </w:p>
        </w:tc>
        <w:tc>
          <w:tcPr>
            <w:tcW w:w="27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ADDC9E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•文件名称•文号•发文部门</w:t>
            </w:r>
          </w:p>
        </w:tc>
        <w:tc>
          <w:tcPr>
            <w:tcW w:w="190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EC9B6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信息公开规定</w:t>
            </w: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E6A9F0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制定或获取文件之日起10个工作日内</w:t>
            </w:r>
          </w:p>
        </w:tc>
        <w:tc>
          <w:tcPr>
            <w:tcW w:w="151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6525F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广水市民政局</w:t>
            </w:r>
          </w:p>
        </w:tc>
        <w:tc>
          <w:tcPr>
            <w:tcW w:w="139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7E3F80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 广水市人民政府门户网站</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96C42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D34FB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9"/>
                <w:szCs w:val="19"/>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C872E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051E7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9"/>
                <w:szCs w:val="19"/>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E738C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top"/>
          </w:tcPr>
          <w:p w14:paraId="36136EA9">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sz w:val="19"/>
                <w:szCs w:val="19"/>
              </w:rPr>
            </w:pPr>
          </w:p>
        </w:tc>
      </w:tr>
      <w:tr w14:paraId="2095A13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6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AF2E8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2</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C5E397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养老服 务通用 政策</w:t>
            </w: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EBD833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养老服务扶持政策措施清单</w:t>
            </w:r>
          </w:p>
        </w:tc>
        <w:tc>
          <w:tcPr>
            <w:tcW w:w="27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BE598E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•扶持政策 措施名称 •扶持对象 •实施部门 •扶持政策 措施内容和标准</w:t>
            </w:r>
          </w:p>
        </w:tc>
        <w:tc>
          <w:tcPr>
            <w:tcW w:w="190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DED67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信息公开规定</w:t>
            </w: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D36B73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制定或获取文件之日起10个工作日内</w:t>
            </w:r>
          </w:p>
        </w:tc>
        <w:tc>
          <w:tcPr>
            <w:tcW w:w="151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84761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广水市民政局</w:t>
            </w:r>
          </w:p>
        </w:tc>
        <w:tc>
          <w:tcPr>
            <w:tcW w:w="139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32D661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 广水市人民政府门户网站</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F357F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5FCB0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9"/>
                <w:szCs w:val="19"/>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E1233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66997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9"/>
                <w:szCs w:val="19"/>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13586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top"/>
          </w:tcPr>
          <w:p w14:paraId="21347ACC">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sz w:val="19"/>
                <w:szCs w:val="19"/>
              </w:rPr>
            </w:pPr>
          </w:p>
        </w:tc>
      </w:tr>
      <w:tr w14:paraId="5A98D35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0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0D599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3</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04BEFD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养老服 务通用 政策</w:t>
            </w: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BDA90B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养老机构投资指南</w:t>
            </w:r>
          </w:p>
        </w:tc>
        <w:tc>
          <w:tcPr>
            <w:tcW w:w="27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3E1919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•本区域养老机构投资环境简介 •养老机构投资审批条件及依据 •养老机构投资审批流程 •养老机构投资审批涉及部门和联系方式</w:t>
            </w:r>
          </w:p>
        </w:tc>
        <w:tc>
          <w:tcPr>
            <w:tcW w:w="190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956F5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信息公开规定</w:t>
            </w: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BDB898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制定或获取指南之日起10个工作日内</w:t>
            </w:r>
          </w:p>
        </w:tc>
        <w:tc>
          <w:tcPr>
            <w:tcW w:w="151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390D8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广水市民政局</w:t>
            </w:r>
          </w:p>
        </w:tc>
        <w:tc>
          <w:tcPr>
            <w:tcW w:w="139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18B211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■广水市人民政府门户网站</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772E0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763D5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9"/>
                <w:szCs w:val="19"/>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E19E6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67A0D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9"/>
                <w:szCs w:val="19"/>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B0734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top"/>
          </w:tcPr>
          <w:p w14:paraId="235A31CB">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sz w:val="19"/>
                <w:szCs w:val="19"/>
              </w:rPr>
            </w:pPr>
          </w:p>
        </w:tc>
      </w:tr>
      <w:tr w14:paraId="241E65F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6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A94FD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4</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618926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养老服 务业务 办理</w:t>
            </w: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641CB9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养老机构备案</w:t>
            </w:r>
          </w:p>
        </w:tc>
        <w:tc>
          <w:tcPr>
            <w:tcW w:w="27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0D80C7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•备案申请材料清单及样式 •备案流程 •办理部门 •办理时限 •办理时间、地点 •咨询电话</w:t>
            </w:r>
          </w:p>
        </w:tc>
        <w:tc>
          <w:tcPr>
            <w:tcW w:w="190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E9B14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信息公开规定</w:t>
            </w: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3E6915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制定或获取备案政策之日起10个工作日内</w:t>
            </w:r>
          </w:p>
        </w:tc>
        <w:tc>
          <w:tcPr>
            <w:tcW w:w="151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AFA7A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广水市民政局</w:t>
            </w:r>
          </w:p>
        </w:tc>
        <w:tc>
          <w:tcPr>
            <w:tcW w:w="139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6FC75C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 广水市人民政府门户网站</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BF802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80662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9"/>
                <w:szCs w:val="19"/>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90EA7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3D161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9"/>
                <w:szCs w:val="19"/>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58D4F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top"/>
          </w:tcPr>
          <w:p w14:paraId="59170B5B">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sz w:val="19"/>
                <w:szCs w:val="19"/>
              </w:rPr>
            </w:pPr>
          </w:p>
        </w:tc>
      </w:tr>
      <w:tr w14:paraId="6D8D65D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01"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52556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5</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918F68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养老服 务业务 办理</w:t>
            </w: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310A6A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养老服务扶持补贴</w:t>
            </w:r>
          </w:p>
        </w:tc>
        <w:tc>
          <w:tcPr>
            <w:tcW w:w="27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4DACC9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•养老服务扶持补贴名称（建设补贴、运营补贴等）•各项养老服务扶持补贴依据 •各项养老服务扶持补贴对象 •各项养老服务扶持补贴申请条件 •各项养老服务扶持补贴内容和标准 •各项养老服务扶持补贴方式 •补贴申请材料清单及样式 •办理流程 •办理部门 •办理时限 •办理时间、地点 •咨询电话</w:t>
            </w:r>
          </w:p>
        </w:tc>
        <w:tc>
          <w:tcPr>
            <w:tcW w:w="190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77191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信息公开规定</w:t>
            </w: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2B72EB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制定或获取备案政策之日起10个工作日内</w:t>
            </w:r>
          </w:p>
        </w:tc>
        <w:tc>
          <w:tcPr>
            <w:tcW w:w="151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D3CC8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广水市民政局</w:t>
            </w:r>
          </w:p>
        </w:tc>
        <w:tc>
          <w:tcPr>
            <w:tcW w:w="139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923ECE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■广水市人民政府门户网站</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45BDD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CD622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9"/>
                <w:szCs w:val="19"/>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A8AE4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E2028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9"/>
                <w:szCs w:val="19"/>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4BD53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top"/>
          </w:tcPr>
          <w:p w14:paraId="732FBDF4">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sz w:val="19"/>
                <w:szCs w:val="19"/>
              </w:rPr>
            </w:pPr>
          </w:p>
        </w:tc>
      </w:tr>
      <w:tr w14:paraId="46ABA3F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161"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36345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6</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591D9A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养老服 务业务 办理</w:t>
            </w: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C355DC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老年人补贴</w:t>
            </w:r>
          </w:p>
        </w:tc>
        <w:tc>
          <w:tcPr>
            <w:tcW w:w="27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bottom"/>
          </w:tcPr>
          <w:p w14:paraId="002BDD6A">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sz w:val="19"/>
                <w:szCs w:val="19"/>
              </w:rPr>
            </w:pPr>
            <w:r>
              <w:rPr>
                <w:rFonts w:hint="eastAsia" w:ascii="宋体" w:hAnsi="宋体" w:eastAsia="宋体" w:cs="宋体"/>
                <w:kern w:val="0"/>
                <w:sz w:val="19"/>
                <w:szCs w:val="19"/>
                <w:lang w:val="en-US" w:eastAsia="zh-CN" w:bidi="ar"/>
              </w:rPr>
              <w:t>•老年人补贴名称（高龄津贴、养老服务补贴 、护理补贴等） •各项老年人补贴依据 •各项老年人补贴对象 •各项老年人补贴内容和标准 •各项老年人补贴方式 •补贴申请材料清单及格式 •办理流程 •办理部门</w:t>
            </w:r>
            <w:r>
              <w:rPr>
                <w:rFonts w:hint="eastAsia" w:ascii="宋体" w:hAnsi="宋体" w:eastAsia="宋体" w:cs="宋体"/>
                <w:kern w:val="0"/>
                <w:sz w:val="19"/>
                <w:szCs w:val="19"/>
                <w:lang w:val="en-US" w:eastAsia="zh-CN" w:bidi="ar"/>
              </w:rPr>
              <w:br w:type="textWrapping"/>
            </w:r>
            <w:r>
              <w:rPr>
                <w:rFonts w:hint="eastAsia" w:ascii="宋体" w:hAnsi="宋体" w:eastAsia="宋体" w:cs="宋体"/>
                <w:kern w:val="0"/>
                <w:sz w:val="19"/>
                <w:szCs w:val="19"/>
                <w:lang w:val="en-US" w:eastAsia="zh-CN" w:bidi="ar"/>
              </w:rPr>
              <w:t>•办理时限 •办理时间 、地点 •咨询电话</w:t>
            </w:r>
          </w:p>
        </w:tc>
        <w:tc>
          <w:tcPr>
            <w:tcW w:w="190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6D068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信息公开规定</w:t>
            </w: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030497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制定或获取补贴政策之日起10个工作日内</w:t>
            </w:r>
          </w:p>
        </w:tc>
        <w:tc>
          <w:tcPr>
            <w:tcW w:w="151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F845D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广水市民政局、镇政府（街道办事处）</w:t>
            </w:r>
          </w:p>
        </w:tc>
        <w:tc>
          <w:tcPr>
            <w:tcW w:w="139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F77A35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■广水市民政局、镇政府（街道办事处）</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8CDDF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9B399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9"/>
                <w:szCs w:val="19"/>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B1A55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BA9CC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9"/>
                <w:szCs w:val="19"/>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A750D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top"/>
          </w:tcPr>
          <w:p w14:paraId="5C64B31C">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sz w:val="19"/>
                <w:szCs w:val="19"/>
              </w:rPr>
            </w:pPr>
          </w:p>
        </w:tc>
      </w:tr>
      <w:tr w14:paraId="344C936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6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D7619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7</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04776A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养老服 务行业 管理信 息</w:t>
            </w: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13195E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养老机构备案信息</w:t>
            </w:r>
          </w:p>
        </w:tc>
        <w:tc>
          <w:tcPr>
            <w:tcW w:w="27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639BE1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•本行政区域已备案养老机构案数量 •本行政区域已备案养老机构名称 、机构地址 、床位数量等基本信息</w:t>
            </w:r>
          </w:p>
        </w:tc>
        <w:tc>
          <w:tcPr>
            <w:tcW w:w="190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8ED927A">
            <w:pPr>
              <w:keepNext w:val="0"/>
              <w:keepLines w:val="0"/>
              <w:widowControl/>
              <w:suppressLineNumbers w:val="0"/>
              <w:wordWrap w:val="0"/>
              <w:spacing w:before="0" w:beforeAutospacing="0" w:after="0" w:afterAutospacing="0"/>
              <w:ind w:left="0" w:right="0"/>
              <w:jc w:val="left"/>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•《中华人民共和国老年人权益保障法》《养老机构管理办法》•信息公开规定</w:t>
            </w: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FCA45F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每20个工作日更新</w:t>
            </w:r>
          </w:p>
        </w:tc>
        <w:tc>
          <w:tcPr>
            <w:tcW w:w="151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69D9F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广水市民政局</w:t>
            </w:r>
          </w:p>
        </w:tc>
        <w:tc>
          <w:tcPr>
            <w:tcW w:w="139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7CF2BC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 广水市人民政府门户网站</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8B881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3A3B2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9"/>
                <w:szCs w:val="19"/>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71483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6AC9D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9"/>
                <w:szCs w:val="19"/>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2CD24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top"/>
          </w:tcPr>
          <w:p w14:paraId="0829A761">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sz w:val="19"/>
                <w:szCs w:val="19"/>
              </w:rPr>
            </w:pPr>
          </w:p>
        </w:tc>
      </w:tr>
      <w:tr w14:paraId="24A1D0D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921"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9D7B3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8</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4D8E50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养老服 务行业 管理信 息</w:t>
            </w: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BE7FB7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养老服务扶持补贴信息</w:t>
            </w:r>
          </w:p>
        </w:tc>
        <w:tc>
          <w:tcPr>
            <w:tcW w:w="27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bottom"/>
          </w:tcPr>
          <w:p w14:paraId="4AC9F0EF">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sz w:val="19"/>
                <w:szCs w:val="19"/>
              </w:rPr>
            </w:pPr>
            <w:r>
              <w:rPr>
                <w:rFonts w:hint="eastAsia" w:ascii="宋体" w:hAnsi="宋体" w:eastAsia="宋体" w:cs="宋体"/>
                <w:kern w:val="0"/>
                <w:sz w:val="19"/>
                <w:szCs w:val="19"/>
                <w:lang w:val="en-US" w:eastAsia="zh-CN" w:bidi="ar"/>
              </w:rPr>
              <w:t>•本行政区域各项养老服务扶持补贴申请数量 •本行政区域各项养老服务扶持补贴申请审核通过数量 •本行政区域各项养老服务扶持补贴申请审核通过名单及补贴金额 •本行政区 域各项养老服务扶持补贴发放总金额</w:t>
            </w:r>
          </w:p>
        </w:tc>
        <w:tc>
          <w:tcPr>
            <w:tcW w:w="190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EBFC8C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•养老服务扶持补贴政策 •信息公开规定</w:t>
            </w: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B35270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每20个工作日更新</w:t>
            </w:r>
          </w:p>
        </w:tc>
        <w:tc>
          <w:tcPr>
            <w:tcW w:w="151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599EF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广水市民政局</w:t>
            </w:r>
          </w:p>
        </w:tc>
        <w:tc>
          <w:tcPr>
            <w:tcW w:w="139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3D50FC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■广水市人民政府门户网站</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EB487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8A762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9"/>
                <w:szCs w:val="19"/>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E664E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0E313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9"/>
                <w:szCs w:val="19"/>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FB5CE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top"/>
          </w:tcPr>
          <w:p w14:paraId="0923E73A">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sz w:val="19"/>
                <w:szCs w:val="19"/>
              </w:rPr>
            </w:pPr>
          </w:p>
        </w:tc>
      </w:tr>
      <w:tr w14:paraId="15D4D43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921"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5C04F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9</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629F48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养老服务行业管理信息</w:t>
            </w: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CCD704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老年人补贴申领和发放信息</w:t>
            </w:r>
          </w:p>
        </w:tc>
        <w:tc>
          <w:tcPr>
            <w:tcW w:w="27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9D0DAF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本行政区域各项老年人补贴申领数量、本行政区域各项老年人补贴申领审核通过数量、本行政区域各项老年人补贴申领审核通过名单、本行政区域各项老年人补贴发放总金额</w:t>
            </w:r>
          </w:p>
        </w:tc>
        <w:tc>
          <w:tcPr>
            <w:tcW w:w="190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1A93CF8">
            <w:pPr>
              <w:pStyle w:val="2"/>
              <w:keepNext w:val="0"/>
              <w:keepLines w:val="0"/>
              <w:widowControl/>
              <w:suppressLineNumbers w:val="0"/>
              <w:spacing w:before="0" w:beforeAutospacing="0" w:after="0" w:afterAutospacing="0"/>
              <w:ind w:left="0" w:right="0" w:firstLine="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《财政部民政部全国老龄办关于建立健全经济困难的高龄失能等老年人补贴制度的通知》《</w:t>
            </w:r>
            <w:bookmarkStart w:id="0" w:name="_GoBack"/>
            <w:bookmarkEnd w:id="0"/>
            <w:r>
              <w:rPr>
                <w:rFonts w:hint="eastAsia" w:ascii="宋体" w:hAnsi="宋体" w:eastAsia="宋体" w:cs="宋体"/>
                <w:kern w:val="0"/>
                <w:sz w:val="19"/>
                <w:szCs w:val="19"/>
                <w:lang w:val="en-US" w:eastAsia="zh-CN" w:bidi="ar"/>
              </w:rPr>
              <w:t>湖北省财政厅 湖北省民政厅 湖北省老龄办 关于全面建立经济困难的高龄、失能等老年人补贴制度的通知</w:t>
            </w:r>
          </w:p>
          <w:p w14:paraId="5EF36B8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》各地相关政策法规文件、《信息公开条例》及相关规定</w:t>
            </w: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825A7D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每20个工作日更新</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C68FE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广水市民政局</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B95498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 广水市人民政府门户网站</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BA045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9D3C0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9"/>
                <w:szCs w:val="19"/>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F76FC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00189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9"/>
                <w:szCs w:val="19"/>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2D151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top"/>
          </w:tcPr>
          <w:p w14:paraId="6B1DA02D">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sz w:val="19"/>
                <w:szCs w:val="19"/>
              </w:rPr>
            </w:pPr>
          </w:p>
        </w:tc>
      </w:tr>
      <w:tr w14:paraId="477F6CC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81"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65FD3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10</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E4A21D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养老服 务行业 管理信 息</w:t>
            </w: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C246C7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养老机构评估信息</w:t>
            </w:r>
          </w:p>
        </w:tc>
        <w:tc>
          <w:tcPr>
            <w:tcW w:w="27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E4151CE">
            <w:pPr>
              <w:keepNext w:val="0"/>
              <w:keepLines w:val="0"/>
              <w:widowControl/>
              <w:suppressLineNumbers w:val="0"/>
              <w:wordWrap w:val="0"/>
              <w:spacing w:before="0" w:beforeAutospacing="0" w:after="0" w:afterAutospacing="0"/>
              <w:ind w:left="0" w:right="0"/>
              <w:jc w:val="left"/>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本行政区域养老机构评估事项（综合评估 、标准评定等）申请数量 、本行政区域养老机构评估总体结果（综合评估、标准评估等）、本行政区域养老机构评估机构清单（综合评估、标准评估等）</w:t>
            </w:r>
          </w:p>
        </w:tc>
        <w:tc>
          <w:tcPr>
            <w:tcW w:w="190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24DD226">
            <w:pPr>
              <w:keepNext w:val="0"/>
              <w:keepLines w:val="0"/>
              <w:widowControl/>
              <w:suppressLineNumbers w:val="0"/>
              <w:wordWrap w:val="0"/>
              <w:spacing w:before="0" w:beforeAutospacing="0" w:after="0" w:afterAutospacing="0"/>
              <w:ind w:left="0" w:right="0"/>
              <w:jc w:val="left"/>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•《养老机构管理办法》《养老机构等级划分与评定》 （GB/T37276 -2018） •各地相关评估政策 •信息公开规定</w:t>
            </w: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5B04CA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制定或获取评估结果之日起10个工作日内</w:t>
            </w:r>
          </w:p>
        </w:tc>
        <w:tc>
          <w:tcPr>
            <w:tcW w:w="151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0E7C4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广水市民政局</w:t>
            </w:r>
          </w:p>
        </w:tc>
        <w:tc>
          <w:tcPr>
            <w:tcW w:w="139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E4236F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 广水市人民政府门户网站</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99094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91DF3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9"/>
                <w:szCs w:val="19"/>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B3905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C231F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9"/>
                <w:szCs w:val="19"/>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70835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top"/>
          </w:tcPr>
          <w:p w14:paraId="724DA151">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sz w:val="19"/>
                <w:szCs w:val="19"/>
              </w:rPr>
            </w:pPr>
          </w:p>
        </w:tc>
      </w:tr>
      <w:tr w14:paraId="739922F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01"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BEF24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11</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D2160C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养老服 务行业 管理信 息</w:t>
            </w: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7D9A7A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民政部门负责的养老机构行政处罚信息</w:t>
            </w:r>
          </w:p>
        </w:tc>
        <w:tc>
          <w:tcPr>
            <w:tcW w:w="27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D4EA050">
            <w:pPr>
              <w:keepNext w:val="0"/>
              <w:keepLines w:val="0"/>
              <w:widowControl/>
              <w:suppressLineNumbers w:val="0"/>
              <w:wordWrap w:val="0"/>
              <w:spacing w:before="0" w:beforeAutospacing="0" w:after="0" w:afterAutospacing="0"/>
              <w:ind w:left="0" w:right="0"/>
              <w:jc w:val="left"/>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行政处罚事项及标准 、行政处罚结果 、行政复议、行政诉讼、监督方式及电话</w:t>
            </w:r>
          </w:p>
        </w:tc>
        <w:tc>
          <w:tcPr>
            <w:tcW w:w="190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bottom"/>
          </w:tcPr>
          <w:p w14:paraId="1F3C5B76">
            <w:pPr>
              <w:keepNext w:val="0"/>
              <w:keepLines w:val="0"/>
              <w:widowControl/>
              <w:suppressLineNumbers w:val="0"/>
              <w:wordWrap w:val="0"/>
              <w:spacing w:before="0" w:beforeAutospacing="0" w:after="0" w:afterAutospacing="0"/>
              <w:ind w:left="0" w:right="0"/>
              <w:jc w:val="left"/>
              <w:textAlignment w:val="bottom"/>
              <w:rPr>
                <w:rFonts w:hint="eastAsia" w:ascii="宋体" w:hAnsi="宋体" w:eastAsia="宋体" w:cs="宋体"/>
                <w:sz w:val="19"/>
                <w:szCs w:val="19"/>
              </w:rPr>
            </w:pPr>
            <w:r>
              <w:rPr>
                <w:rFonts w:hint="eastAsia" w:ascii="宋体" w:hAnsi="宋体" w:eastAsia="宋体" w:cs="宋体"/>
                <w:kern w:val="0"/>
                <w:sz w:val="19"/>
                <w:szCs w:val="19"/>
                <w:lang w:val="en-US" w:eastAsia="zh-CN" w:bidi="ar"/>
              </w:rPr>
              <w:t>•《中华人民共和国老年人权益保障法》《中华人民共和国行政强制法》《中华人民共和国行政处罚法》 及其他有关法律、行政法规、《养老机构管理办法》 、各地相关法规 、信息公开规定</w:t>
            </w: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A93E04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行政处罚决定做出之日起5个工作日内</w:t>
            </w:r>
          </w:p>
        </w:tc>
        <w:tc>
          <w:tcPr>
            <w:tcW w:w="151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A9D24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广水市民政局</w:t>
            </w:r>
          </w:p>
        </w:tc>
        <w:tc>
          <w:tcPr>
            <w:tcW w:w="139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E299F3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 广水市人民政府门户网站</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D7FE9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E867F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9"/>
                <w:szCs w:val="19"/>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C1D25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B9034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9"/>
                <w:szCs w:val="19"/>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9F369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top"/>
          </w:tcPr>
          <w:p w14:paraId="41FA01CC">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sz w:val="19"/>
                <w:szCs w:val="19"/>
              </w:rPr>
            </w:pPr>
          </w:p>
        </w:tc>
      </w:tr>
    </w:tbl>
    <w:p w14:paraId="339F1CDD"/>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3MzdiNjNjMWRjZTcwZGM2N2U5ODU1ODY2ZmRhMDgifQ=="/>
  </w:docVars>
  <w:rsids>
    <w:rsidRoot w:val="00000000"/>
    <w:rsid w:val="1C6F33EC"/>
    <w:rsid w:val="2B495065"/>
    <w:rsid w:val="36D04464"/>
    <w:rsid w:val="7BDD2E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1771</Words>
  <Characters>1795</Characters>
  <Lines>0</Lines>
  <Paragraphs>0</Paragraphs>
  <TotalTime>0</TotalTime>
  <ScaleCrop>false</ScaleCrop>
  <LinksUpToDate>false</LinksUpToDate>
  <CharactersWithSpaces>1887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2024-11-13T08:53:00Z</dcterms:created>
  <dc:creator>Administrator</dc:creator>
  <cp:lastModifiedBy>jenney</cp:lastModifiedBy>
  <dcterms:modified xsi:type="dcterms:W3CDTF">2024-11-15T06:44:18Z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CCB5E98CDE764DD497055289CA89BC7A_12</vt:lpwstr>
  </property>
</Properties>
</file>