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color w:val="000000" w:themeColor="text1"/>
          <w:sz w:val="32"/>
          <w:szCs w:val="32"/>
          <w:highlight w:val="none"/>
          <w14:textFill>
            <w14:solidFill>
              <w14:schemeClr w14:val="tx1"/>
            </w14:solidFill>
          </w14:textFill>
        </w:rPr>
      </w:pPr>
    </w:p>
    <w:p>
      <w:pPr>
        <w:jc w:val="center"/>
        <w:rPr>
          <w:rFonts w:ascii="微软雅黑" w:hAnsi="微软雅黑" w:eastAsia="微软雅黑"/>
          <w:b/>
          <w:bCs/>
          <w:color w:val="000000" w:themeColor="text1"/>
          <w:sz w:val="32"/>
          <w:szCs w:val="32"/>
          <w:highlight w:val="none"/>
          <w14:textFill>
            <w14:solidFill>
              <w14:schemeClr w14:val="tx1"/>
            </w14:solidFill>
          </w14:textFill>
        </w:rPr>
      </w:pPr>
    </w:p>
    <w:p>
      <w:pPr>
        <w:jc w:val="center"/>
        <w:rPr>
          <w:rFonts w:ascii="微软雅黑" w:hAnsi="微软雅黑" w:eastAsia="微软雅黑"/>
          <w:b/>
          <w:bCs/>
          <w:color w:val="000000" w:themeColor="text1"/>
          <w:sz w:val="32"/>
          <w:szCs w:val="32"/>
          <w:highlight w:val="none"/>
          <w14:textFill>
            <w14:solidFill>
              <w14:schemeClr w14:val="tx1"/>
            </w14:solidFill>
          </w14:textFill>
        </w:rPr>
      </w:pPr>
    </w:p>
    <w:p>
      <w:pPr>
        <w:jc w:val="center"/>
        <w:rPr>
          <w:rFonts w:ascii="微软雅黑" w:hAnsi="微软雅黑" w:eastAsia="微软雅黑"/>
          <w:b/>
          <w:bCs/>
          <w:color w:val="000000" w:themeColor="text1"/>
          <w:sz w:val="32"/>
          <w:szCs w:val="32"/>
          <w:highlight w:val="none"/>
          <w14:textFill>
            <w14:solidFill>
              <w14:schemeClr w14:val="tx1"/>
            </w14:solidFill>
          </w14:textFill>
        </w:rPr>
      </w:pPr>
    </w:p>
    <w:p>
      <w:pPr>
        <w:jc w:val="center"/>
        <w:rPr>
          <w:rFonts w:ascii="黑体" w:hAnsi="黑体" w:eastAsia="黑体"/>
          <w:b/>
          <w:bCs/>
          <w:color w:val="000000" w:themeColor="text1"/>
          <w:sz w:val="44"/>
          <w:szCs w:val="44"/>
          <w:highlight w:val="none"/>
          <w14:textFill>
            <w14:solidFill>
              <w14:schemeClr w14:val="tx1"/>
            </w14:solidFill>
          </w14:textFill>
        </w:rPr>
      </w:pPr>
      <w:r>
        <w:rPr>
          <w:rFonts w:hint="eastAsia" w:ascii="黑体" w:hAnsi="黑体" w:eastAsia="黑体"/>
          <w:b/>
          <w:bCs/>
          <w:color w:val="000000" w:themeColor="text1"/>
          <w:sz w:val="44"/>
          <w:szCs w:val="44"/>
          <w:highlight w:val="none"/>
          <w14:textFill>
            <w14:solidFill>
              <w14:schemeClr w14:val="tx1"/>
            </w14:solidFill>
          </w14:textFill>
        </w:rPr>
        <w:t>广水市国土空间总体规划</w:t>
      </w:r>
    </w:p>
    <w:p>
      <w:pPr>
        <w:jc w:val="center"/>
        <w:rPr>
          <w:rFonts w:ascii="Times New Roman" w:hAnsi="Times New Roman" w:eastAsia="黑体" w:cs="Times New Roman"/>
          <w:b/>
          <w:bCs/>
          <w:color w:val="000000" w:themeColor="text1"/>
          <w:sz w:val="36"/>
          <w:szCs w:val="36"/>
          <w:highlight w:val="none"/>
          <w14:textFill>
            <w14:solidFill>
              <w14:schemeClr w14:val="tx1"/>
            </w14:solidFill>
          </w14:textFill>
        </w:rPr>
      </w:pPr>
      <w:r>
        <w:rPr>
          <w:rFonts w:ascii="Times New Roman" w:hAnsi="Times New Roman" w:eastAsia="黑体" w:cs="Times New Roman"/>
          <w:b/>
          <w:bCs/>
          <w:color w:val="000000" w:themeColor="text1"/>
          <w:sz w:val="36"/>
          <w:szCs w:val="36"/>
          <w:highlight w:val="none"/>
          <w14:textFill>
            <w14:solidFill>
              <w14:schemeClr w14:val="tx1"/>
            </w14:solidFill>
          </w14:textFill>
        </w:rPr>
        <w:t>（202</w:t>
      </w:r>
      <w:r>
        <w:rPr>
          <w:rFonts w:hint="eastAsia" w:ascii="Times New Roman" w:hAnsi="Times New Roman" w:eastAsia="黑体" w:cs="Times New Roman"/>
          <w:b/>
          <w:bCs/>
          <w:color w:val="000000" w:themeColor="text1"/>
          <w:sz w:val="36"/>
          <w:szCs w:val="36"/>
          <w:highlight w:val="none"/>
          <w14:textFill>
            <w14:solidFill>
              <w14:schemeClr w14:val="tx1"/>
            </w14:solidFill>
          </w14:textFill>
        </w:rPr>
        <w:t>1</w:t>
      </w:r>
      <w:r>
        <w:rPr>
          <w:rFonts w:ascii="Times New Roman" w:hAnsi="Times New Roman" w:eastAsia="黑体" w:cs="Times New Roman"/>
          <w:b/>
          <w:bCs/>
          <w:color w:val="000000" w:themeColor="text1"/>
          <w:sz w:val="36"/>
          <w:szCs w:val="36"/>
          <w:highlight w:val="none"/>
          <w14:textFill>
            <w14:solidFill>
              <w14:schemeClr w14:val="tx1"/>
            </w14:solidFill>
          </w14:textFill>
        </w:rPr>
        <w:t>—2035</w:t>
      </w:r>
      <w:r>
        <w:rPr>
          <w:rFonts w:hint="eastAsia" w:ascii="Times New Roman" w:hAnsi="Times New Roman" w:eastAsia="黑体" w:cs="Times New Roman"/>
          <w:b/>
          <w:bCs/>
          <w:color w:val="000000" w:themeColor="text1"/>
          <w:sz w:val="36"/>
          <w:szCs w:val="36"/>
          <w:highlight w:val="none"/>
          <w14:textFill>
            <w14:solidFill>
              <w14:schemeClr w14:val="tx1"/>
            </w14:solidFill>
          </w14:textFill>
        </w:rPr>
        <w:t>年</w:t>
      </w:r>
      <w:r>
        <w:rPr>
          <w:rFonts w:ascii="Times New Roman" w:hAnsi="Times New Roman" w:eastAsia="黑体" w:cs="Times New Roman"/>
          <w:b/>
          <w:bCs/>
          <w:color w:val="000000" w:themeColor="text1"/>
          <w:sz w:val="36"/>
          <w:szCs w:val="36"/>
          <w:highlight w:val="none"/>
          <w14:textFill>
            <w14:solidFill>
              <w14:schemeClr w14:val="tx1"/>
            </w14:solidFill>
          </w14:textFill>
        </w:rPr>
        <w:t>）</w:t>
      </w:r>
    </w:p>
    <w:p>
      <w:pPr>
        <w:jc w:val="center"/>
        <w:rPr>
          <w:rFonts w:ascii="Times New Roman" w:hAnsi="Times New Roman" w:eastAsia="黑体" w:cs="Times New Roman"/>
          <w:b/>
          <w:bCs/>
          <w:color w:val="000000" w:themeColor="text1"/>
          <w:sz w:val="36"/>
          <w:szCs w:val="36"/>
          <w:highlight w:val="none"/>
          <w14:textFill>
            <w14:solidFill>
              <w14:schemeClr w14:val="tx1"/>
            </w14:solidFill>
          </w14:textFill>
        </w:rPr>
      </w:pPr>
    </w:p>
    <w:p>
      <w:pPr>
        <w:jc w:val="center"/>
        <w:rPr>
          <w:rFonts w:ascii="楷体" w:hAnsi="楷体" w:eastAsia="楷体" w:cs="Times New Roman"/>
          <w:b/>
          <w:bCs/>
          <w:color w:val="000000" w:themeColor="text1"/>
          <w:sz w:val="36"/>
          <w:szCs w:val="36"/>
          <w:highlight w:val="none"/>
          <w14:textFill>
            <w14:solidFill>
              <w14:schemeClr w14:val="tx1"/>
            </w14:solidFill>
          </w14:textFill>
        </w:rPr>
      </w:pPr>
      <w:r>
        <w:rPr>
          <w:rFonts w:hint="eastAsia" w:ascii="楷体" w:hAnsi="楷体" w:eastAsia="楷体" w:cs="Times New Roman"/>
          <w:b/>
          <w:bCs/>
          <w:color w:val="000000" w:themeColor="text1"/>
          <w:sz w:val="36"/>
          <w:szCs w:val="36"/>
          <w:highlight w:val="none"/>
          <w14:textFill>
            <w14:solidFill>
              <w14:schemeClr w14:val="tx1"/>
            </w14:solidFill>
          </w14:textFill>
        </w:rPr>
        <w:t>（</w:t>
      </w:r>
      <w:r>
        <w:rPr>
          <w:rFonts w:hint="eastAsia" w:ascii="楷体" w:hAnsi="楷体" w:eastAsia="楷体" w:cs="Times New Roman"/>
          <w:b/>
          <w:bCs/>
          <w:color w:val="000000" w:themeColor="text1"/>
          <w:sz w:val="36"/>
          <w:szCs w:val="36"/>
          <w:highlight w:val="none"/>
          <w:lang w:val="en-US" w:eastAsia="zh-CN"/>
          <w14:textFill>
            <w14:solidFill>
              <w14:schemeClr w14:val="tx1"/>
            </w14:solidFill>
          </w14:textFill>
        </w:rPr>
        <w:t>草案征求</w:t>
      </w:r>
      <w:r>
        <w:rPr>
          <w:rFonts w:hint="eastAsia" w:ascii="楷体" w:hAnsi="楷体" w:eastAsia="楷体" w:cs="Times New Roman"/>
          <w:b/>
          <w:bCs/>
          <w:color w:val="000000" w:themeColor="text1"/>
          <w:sz w:val="36"/>
          <w:szCs w:val="36"/>
          <w:highlight w:val="none"/>
          <w14:textFill>
            <w14:solidFill>
              <w14:schemeClr w14:val="tx1"/>
            </w14:solidFill>
          </w14:textFill>
        </w:rPr>
        <w:t>意见稿）</w:t>
      </w:r>
    </w:p>
    <w:p>
      <w:pPr>
        <w:rPr>
          <w:color w:val="000000" w:themeColor="text1"/>
          <w:szCs w:val="28"/>
          <w:highlight w:val="none"/>
          <w14:textFill>
            <w14:solidFill>
              <w14:schemeClr w14:val="tx1"/>
            </w14:solidFill>
          </w14:textFill>
        </w:rPr>
      </w:pPr>
      <w:r>
        <w:rPr>
          <w:color w:val="000000" w:themeColor="text1"/>
          <w:szCs w:val="28"/>
          <w:highlight w:val="none"/>
          <w14:textFill>
            <w14:solidFill>
              <w14:schemeClr w14:val="tx1"/>
            </w14:solidFill>
          </w14:textFill>
        </w:rPr>
        <w:t xml:space="preserve"> </w:t>
      </w:r>
    </w:p>
    <w:p>
      <w:pPr>
        <w:rPr>
          <w:color w:val="000000" w:themeColor="text1"/>
          <w:szCs w:val="28"/>
          <w:highlight w:val="none"/>
          <w14:textFill>
            <w14:solidFill>
              <w14:schemeClr w14:val="tx1"/>
            </w14:solidFill>
          </w14:textFill>
        </w:rPr>
      </w:pPr>
      <w:r>
        <w:rPr>
          <w:color w:val="000000" w:themeColor="text1"/>
          <w:szCs w:val="28"/>
          <w:highlight w:val="none"/>
          <w14:textFill>
            <w14:solidFill>
              <w14:schemeClr w14:val="tx1"/>
            </w14:solidFill>
          </w14:textFill>
        </w:rPr>
        <w:t xml:space="preserve"> </w:t>
      </w:r>
    </w:p>
    <w:p>
      <w:pPr>
        <w:rPr>
          <w:color w:val="000000" w:themeColor="text1"/>
          <w:szCs w:val="28"/>
          <w:highlight w:val="none"/>
          <w14:textFill>
            <w14:solidFill>
              <w14:schemeClr w14:val="tx1"/>
            </w14:solidFill>
          </w14:textFill>
        </w:rPr>
      </w:pPr>
    </w:p>
    <w:p>
      <w:pPr>
        <w:rPr>
          <w:color w:val="000000" w:themeColor="text1"/>
          <w:szCs w:val="28"/>
          <w:highlight w:val="none"/>
          <w14:textFill>
            <w14:solidFill>
              <w14:schemeClr w14:val="tx1"/>
            </w14:solidFill>
          </w14:textFill>
        </w:rPr>
      </w:pPr>
    </w:p>
    <w:p>
      <w:pPr>
        <w:rPr>
          <w:color w:val="000000" w:themeColor="text1"/>
          <w:szCs w:val="28"/>
          <w:highlight w:val="none"/>
          <w14:textFill>
            <w14:solidFill>
              <w14:schemeClr w14:val="tx1"/>
            </w14:solidFill>
          </w14:textFill>
        </w:rPr>
      </w:pPr>
      <w:r>
        <w:rPr>
          <w:color w:val="000000" w:themeColor="text1"/>
          <w:szCs w:val="28"/>
          <w:highlight w:val="none"/>
          <w14:textFill>
            <w14:solidFill>
              <w14:schemeClr w14:val="tx1"/>
            </w14:solidFill>
          </w14:textFill>
        </w:rPr>
        <w:t xml:space="preserve"> </w:t>
      </w:r>
    </w:p>
    <w:p>
      <w:pPr>
        <w:rPr>
          <w:color w:val="000000" w:themeColor="text1"/>
          <w:szCs w:val="28"/>
          <w:highlight w:val="none"/>
          <w14:textFill>
            <w14:solidFill>
              <w14:schemeClr w14:val="tx1"/>
            </w14:solidFill>
          </w14:textFill>
        </w:rPr>
      </w:pPr>
    </w:p>
    <w:p>
      <w:pPr>
        <w:rPr>
          <w:color w:val="000000" w:themeColor="text1"/>
          <w:szCs w:val="28"/>
          <w:highlight w:val="none"/>
          <w14:textFill>
            <w14:solidFill>
              <w14:schemeClr w14:val="tx1"/>
            </w14:solidFill>
          </w14:textFill>
        </w:rPr>
      </w:pPr>
    </w:p>
    <w:p>
      <w:pPr>
        <w:jc w:val="center"/>
        <w:rPr>
          <w:rFonts w:ascii="黑体" w:hAnsi="黑体" w:eastAsia="黑体"/>
          <w:b/>
          <w:bCs/>
          <w:color w:val="000000" w:themeColor="text1"/>
          <w:szCs w:val="28"/>
          <w:highlight w:val="none"/>
          <w14:textFill>
            <w14:solidFill>
              <w14:schemeClr w14:val="tx1"/>
            </w14:solidFill>
          </w14:textFill>
        </w:rPr>
      </w:pPr>
      <w:r>
        <w:rPr>
          <w:rFonts w:hint="eastAsia" w:ascii="黑体" w:hAnsi="黑体" w:eastAsia="黑体"/>
          <w:b/>
          <w:bCs/>
          <w:color w:val="000000" w:themeColor="text1"/>
          <w:szCs w:val="28"/>
          <w:highlight w:val="none"/>
          <w14:textFill>
            <w14:solidFill>
              <w14:schemeClr w14:val="tx1"/>
            </w14:solidFill>
          </w14:textFill>
        </w:rPr>
        <w:t xml:space="preserve">广水市人民政府 </w:t>
      </w:r>
    </w:p>
    <w:p>
      <w:pPr>
        <w:jc w:val="center"/>
        <w:rPr>
          <w:rFonts w:ascii="黑体" w:hAnsi="黑体" w:eastAsia="黑体"/>
          <w:b/>
          <w:bCs/>
          <w:color w:val="000000" w:themeColor="text1"/>
          <w:szCs w:val="28"/>
          <w:highlight w:val="none"/>
          <w14:textFill>
            <w14:solidFill>
              <w14:schemeClr w14:val="tx1"/>
            </w14:solidFill>
          </w14:textFill>
        </w:rPr>
      </w:pPr>
      <w:r>
        <w:rPr>
          <w:rFonts w:hint="eastAsia" w:ascii="黑体" w:hAnsi="黑体" w:eastAsia="黑体"/>
          <w:b/>
          <w:bCs/>
          <w:color w:val="000000" w:themeColor="text1"/>
          <w:szCs w:val="28"/>
          <w:highlight w:val="none"/>
          <w14:textFill>
            <w14:solidFill>
              <w14:schemeClr w14:val="tx1"/>
            </w14:solidFill>
          </w14:textFill>
        </w:rPr>
        <w:t>2</w:t>
      </w:r>
      <w:r>
        <w:rPr>
          <w:rFonts w:ascii="黑体" w:hAnsi="黑体" w:eastAsia="黑体"/>
          <w:b/>
          <w:bCs/>
          <w:color w:val="000000" w:themeColor="text1"/>
          <w:szCs w:val="28"/>
          <w:highlight w:val="none"/>
          <w14:textFill>
            <w14:solidFill>
              <w14:schemeClr w14:val="tx1"/>
            </w14:solidFill>
          </w14:textFill>
        </w:rPr>
        <w:t>02</w:t>
      </w:r>
      <w:r>
        <w:rPr>
          <w:rFonts w:hint="eastAsia" w:ascii="黑体" w:hAnsi="黑体" w:eastAsia="黑体"/>
          <w:b/>
          <w:bCs/>
          <w:color w:val="000000" w:themeColor="text1"/>
          <w:szCs w:val="28"/>
          <w:highlight w:val="none"/>
          <w14:textFill>
            <w14:solidFill>
              <w14:schemeClr w14:val="tx1"/>
            </w14:solidFill>
          </w14:textFill>
        </w:rPr>
        <w:t>3年5月</w:t>
      </w:r>
    </w:p>
    <w:p>
      <w:pPr>
        <w:rPr>
          <w:color w:val="000000" w:themeColor="text1"/>
          <w:szCs w:val="28"/>
          <w:highlight w:val="none"/>
          <w14:textFill>
            <w14:solidFill>
              <w14:schemeClr w14:val="tx1"/>
            </w14:solidFill>
          </w14:textFill>
        </w:rPr>
      </w:pPr>
    </w:p>
    <w:sdt>
      <w:sdtPr>
        <w:rPr>
          <w:rFonts w:asciiTheme="minorHAnsi" w:hAnsiTheme="minorHAnsi" w:eastAsiaTheme="minorEastAsia" w:cstheme="minorBidi"/>
          <w:color w:val="000000" w:themeColor="text1"/>
          <w:kern w:val="2"/>
          <w:sz w:val="28"/>
          <w:szCs w:val="22"/>
          <w:highlight w:val="none"/>
          <w:lang w:val="zh-CN"/>
          <w14:textFill>
            <w14:solidFill>
              <w14:schemeClr w14:val="tx1"/>
            </w14:solidFill>
          </w14:textFill>
        </w:rPr>
        <w:id w:val="223652671"/>
        <w:docPartObj>
          <w:docPartGallery w:val="Table of Contents"/>
          <w:docPartUnique/>
        </w:docPartObj>
      </w:sdtPr>
      <w:sdtEndPr>
        <w:rPr>
          <w:rFonts w:asciiTheme="minorHAnsi" w:hAnsiTheme="minorHAnsi" w:eastAsiaTheme="minorEastAsia" w:cstheme="minorBidi"/>
          <w:b/>
          <w:bCs/>
          <w:color w:val="000000" w:themeColor="text1"/>
          <w:kern w:val="2"/>
          <w:sz w:val="28"/>
          <w:szCs w:val="22"/>
          <w:highlight w:val="none"/>
          <w:lang w:val="zh-CN"/>
          <w14:textFill>
            <w14:solidFill>
              <w14:schemeClr w14:val="tx1"/>
            </w14:solidFill>
          </w14:textFill>
        </w:rPr>
      </w:sdtEndPr>
      <w:sdtContent>
        <w:p>
          <w:pPr>
            <w:pStyle w:val="32"/>
            <w:pageBreakBefore w:val="0"/>
            <w:kinsoku/>
            <w:wordWrap/>
            <w:overflowPunct/>
            <w:topLinePunct w:val="0"/>
            <w:autoSpaceDE/>
            <w:autoSpaceDN/>
            <w:bidi w:val="0"/>
            <w:adjustRightInd w:val="0"/>
            <w:snapToGrid w:val="0"/>
            <w:spacing w:line="240" w:lineRule="auto"/>
            <w:textAlignment w:val="auto"/>
            <w:rPr>
              <w:color w:val="000000" w:themeColor="text1"/>
              <w:highlight w:val="none"/>
              <w14:textFill>
                <w14:solidFill>
                  <w14:schemeClr w14:val="tx1"/>
                </w14:solidFill>
              </w14:textFill>
            </w:rPr>
          </w:pPr>
          <w:r>
            <w:rPr>
              <w:color w:val="000000" w:themeColor="text1"/>
              <w:highlight w:val="none"/>
              <w:lang w:val="zh-CN"/>
              <w14:textFill>
                <w14:solidFill>
                  <w14:schemeClr w14:val="tx1"/>
                </w14:solidFill>
              </w14:textFill>
            </w:rPr>
            <w:t>目录</w:t>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TOC \o "1-3" \h \z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highlight w:val="none"/>
            </w:rPr>
            <w:instrText xml:space="preserve"> HYPERLINK \l _Toc2215 </w:instrText>
          </w:r>
          <w:r>
            <w:rPr>
              <w:highlight w:val="none"/>
            </w:rPr>
            <w:fldChar w:fldCharType="separate"/>
          </w:r>
          <w:r>
            <w:rPr>
              <w:rFonts w:hint="eastAsia" w:ascii="仿宋" w:hAnsi="仿宋" w:eastAsia="仿宋"/>
              <w:highlight w:val="none"/>
            </w:rPr>
            <w:t>前言</w:t>
          </w:r>
          <w:r>
            <w:tab/>
          </w:r>
          <w:r>
            <w:fldChar w:fldCharType="begin"/>
          </w:r>
          <w:r>
            <w:instrText xml:space="preserve"> PAGEREF _Toc2215 \h </w:instrText>
          </w:r>
          <w:r>
            <w:fldChar w:fldCharType="separate"/>
          </w:r>
          <w:r>
            <w:t>7</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_Toc7343 </w:instrText>
          </w:r>
          <w:r>
            <w:rPr>
              <w:highlight w:val="none"/>
            </w:rPr>
            <w:fldChar w:fldCharType="separate"/>
          </w:r>
          <w:r>
            <w:rPr>
              <w:rFonts w:hint="eastAsia" w:ascii="仿宋" w:hAnsi="仿宋" w:eastAsia="仿宋"/>
              <w:highlight w:val="none"/>
            </w:rPr>
            <w:t>第一章 总则</w:t>
          </w:r>
          <w:r>
            <w:tab/>
          </w:r>
          <w:r>
            <w:fldChar w:fldCharType="begin"/>
          </w:r>
          <w:r>
            <w:instrText xml:space="preserve"> PAGEREF _Toc7343 \h </w:instrText>
          </w:r>
          <w:r>
            <w:fldChar w:fldCharType="separate"/>
          </w:r>
          <w:r>
            <w:t>8</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_Toc15473 </w:instrText>
          </w:r>
          <w:r>
            <w:rPr>
              <w:highlight w:val="none"/>
            </w:rPr>
            <w:fldChar w:fldCharType="separate"/>
          </w:r>
          <w:r>
            <w:rPr>
              <w:rFonts w:hint="eastAsia" w:ascii="仿宋" w:hAnsi="仿宋" w:eastAsia="仿宋"/>
              <w:highlight w:val="none"/>
            </w:rPr>
            <w:t>第1节 规划目的</w:t>
          </w:r>
          <w:r>
            <w:tab/>
          </w:r>
          <w:r>
            <w:fldChar w:fldCharType="begin"/>
          </w:r>
          <w:r>
            <w:instrText xml:space="preserve"> PAGEREF _Toc15473 \h </w:instrText>
          </w:r>
          <w:r>
            <w:fldChar w:fldCharType="separate"/>
          </w:r>
          <w:r>
            <w:t>8</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_Toc22089 </w:instrText>
          </w:r>
          <w:r>
            <w:rPr>
              <w:highlight w:val="none"/>
            </w:rPr>
            <w:fldChar w:fldCharType="separate"/>
          </w:r>
          <w:r>
            <w:rPr>
              <w:rFonts w:ascii="仿宋" w:hAnsi="仿宋" w:eastAsia="仿宋"/>
            </w:rPr>
            <w:t xml:space="preserve">第2节 </w:t>
          </w:r>
          <w:r>
            <w:rPr>
              <w:rFonts w:hint="eastAsia" w:ascii="仿宋" w:hAnsi="仿宋" w:eastAsia="仿宋"/>
              <w:highlight w:val="none"/>
            </w:rPr>
            <w:t>规划依据</w:t>
          </w:r>
          <w:r>
            <w:tab/>
          </w:r>
          <w:r>
            <w:fldChar w:fldCharType="begin"/>
          </w:r>
          <w:r>
            <w:instrText xml:space="preserve"> PAGEREF _Toc22089 \h </w:instrText>
          </w:r>
          <w:r>
            <w:fldChar w:fldCharType="separate"/>
          </w:r>
          <w:r>
            <w:t>8</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_Toc14167 </w:instrText>
          </w:r>
          <w:r>
            <w:rPr>
              <w:highlight w:val="none"/>
            </w:rPr>
            <w:fldChar w:fldCharType="separate"/>
          </w:r>
          <w:r>
            <w:rPr>
              <w:rFonts w:hint="eastAsia" w:ascii="仿宋" w:hAnsi="仿宋" w:eastAsia="仿宋"/>
              <w:highlight w:val="none"/>
            </w:rPr>
            <w:t>第3节 规划</w:t>
          </w:r>
          <w:r>
            <w:rPr>
              <w:rFonts w:ascii="仿宋" w:hAnsi="仿宋" w:eastAsia="仿宋"/>
              <w:highlight w:val="none"/>
            </w:rPr>
            <w:t>期限</w:t>
          </w:r>
          <w:r>
            <w:rPr>
              <w:rFonts w:hint="eastAsia" w:ascii="仿宋" w:hAnsi="仿宋" w:eastAsia="仿宋"/>
              <w:highlight w:val="none"/>
            </w:rPr>
            <w:t>和范围</w:t>
          </w:r>
          <w:r>
            <w:tab/>
          </w:r>
          <w:r>
            <w:fldChar w:fldCharType="begin"/>
          </w:r>
          <w:r>
            <w:instrText xml:space="preserve"> PAGEREF _Toc14167 \h </w:instrText>
          </w:r>
          <w:r>
            <w:fldChar w:fldCharType="separate"/>
          </w:r>
          <w:r>
            <w:t>9</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_Toc31385 </w:instrText>
          </w:r>
          <w:r>
            <w:rPr>
              <w:highlight w:val="none"/>
            </w:rPr>
            <w:fldChar w:fldCharType="separate"/>
          </w:r>
          <w:r>
            <w:rPr>
              <w:rFonts w:hint="eastAsia" w:ascii="仿宋" w:hAnsi="仿宋" w:eastAsia="仿宋"/>
              <w:highlight w:val="none"/>
            </w:rPr>
            <w:t>第二章 现状特征和面临形势</w:t>
          </w:r>
          <w:r>
            <w:tab/>
          </w:r>
          <w:r>
            <w:fldChar w:fldCharType="begin"/>
          </w:r>
          <w:r>
            <w:instrText xml:space="preserve"> PAGEREF _Toc31385 \h </w:instrText>
          </w:r>
          <w:r>
            <w:fldChar w:fldCharType="separate"/>
          </w:r>
          <w:r>
            <w:t>11</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_Toc26370 </w:instrText>
          </w:r>
          <w:r>
            <w:rPr>
              <w:highlight w:val="none"/>
            </w:rPr>
            <w:fldChar w:fldCharType="separate"/>
          </w:r>
          <w:r>
            <w:rPr>
              <w:rFonts w:hint="eastAsia" w:ascii="仿宋" w:hAnsi="仿宋" w:eastAsia="仿宋"/>
              <w:highlight w:val="none"/>
            </w:rPr>
            <w:t>第1节 现状特征</w:t>
          </w:r>
          <w:r>
            <w:tab/>
          </w:r>
          <w:r>
            <w:fldChar w:fldCharType="begin"/>
          </w:r>
          <w:r>
            <w:instrText xml:space="preserve"> PAGEREF _Toc26370 \h </w:instrText>
          </w:r>
          <w:r>
            <w:fldChar w:fldCharType="separate"/>
          </w:r>
          <w:r>
            <w:t>11</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_Toc752 </w:instrText>
          </w:r>
          <w:r>
            <w:rPr>
              <w:highlight w:val="none"/>
            </w:rPr>
            <w:fldChar w:fldCharType="separate"/>
          </w:r>
          <w:r>
            <w:rPr>
              <w:rFonts w:hint="eastAsia" w:ascii="仿宋" w:hAnsi="仿宋" w:eastAsia="仿宋"/>
              <w:highlight w:val="none"/>
            </w:rPr>
            <w:t>第2节 问题与</w:t>
          </w:r>
          <w:r>
            <w:rPr>
              <w:rFonts w:ascii="仿宋" w:hAnsi="仿宋" w:eastAsia="仿宋"/>
              <w:highlight w:val="none"/>
            </w:rPr>
            <w:t>挑战</w:t>
          </w:r>
          <w:r>
            <w:tab/>
          </w:r>
          <w:r>
            <w:fldChar w:fldCharType="begin"/>
          </w:r>
          <w:r>
            <w:instrText xml:space="preserve"> PAGEREF _Toc752 \h </w:instrText>
          </w:r>
          <w:r>
            <w:fldChar w:fldCharType="separate"/>
          </w:r>
          <w:r>
            <w:t>14</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_Toc16540 </w:instrText>
          </w:r>
          <w:r>
            <w:rPr>
              <w:highlight w:val="none"/>
            </w:rPr>
            <w:fldChar w:fldCharType="separate"/>
          </w:r>
          <w:r>
            <w:rPr>
              <w:rFonts w:ascii="仿宋" w:hAnsi="仿宋" w:eastAsia="仿宋"/>
              <w:highlight w:val="none"/>
            </w:rPr>
            <w:t>第</w:t>
          </w:r>
          <w:r>
            <w:rPr>
              <w:rFonts w:hint="eastAsia" w:ascii="仿宋" w:hAnsi="仿宋" w:eastAsia="仿宋"/>
              <w:highlight w:val="none"/>
            </w:rPr>
            <w:t>3节 约束与潜力</w:t>
          </w:r>
          <w:r>
            <w:tab/>
          </w:r>
          <w:r>
            <w:fldChar w:fldCharType="begin"/>
          </w:r>
          <w:r>
            <w:instrText xml:space="preserve"> PAGEREF _Toc16540 \h </w:instrText>
          </w:r>
          <w:r>
            <w:fldChar w:fldCharType="separate"/>
          </w:r>
          <w:r>
            <w:t>16</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_Toc29795 </w:instrText>
          </w:r>
          <w:r>
            <w:rPr>
              <w:highlight w:val="none"/>
            </w:rPr>
            <w:fldChar w:fldCharType="separate"/>
          </w:r>
          <w:r>
            <w:rPr>
              <w:rFonts w:hint="eastAsia" w:ascii="仿宋" w:hAnsi="仿宋" w:eastAsia="仿宋"/>
              <w:highlight w:val="none"/>
            </w:rPr>
            <w:t>第三章 目标定位</w:t>
          </w:r>
          <w:r>
            <w:rPr>
              <w:rFonts w:ascii="仿宋" w:hAnsi="仿宋" w:eastAsia="仿宋"/>
              <w:highlight w:val="none"/>
            </w:rPr>
            <w:t>与空间战略</w:t>
          </w:r>
          <w:r>
            <w:tab/>
          </w:r>
          <w:r>
            <w:fldChar w:fldCharType="begin"/>
          </w:r>
          <w:r>
            <w:instrText xml:space="preserve"> PAGEREF _Toc29795 \h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_Toc28443 </w:instrText>
          </w:r>
          <w:r>
            <w:rPr>
              <w:highlight w:val="none"/>
            </w:rPr>
            <w:fldChar w:fldCharType="separate"/>
          </w:r>
          <w:r>
            <w:rPr>
              <w:rFonts w:hint="eastAsia" w:ascii="仿宋" w:hAnsi="仿宋" w:eastAsia="仿宋"/>
              <w:highlight w:val="none"/>
            </w:rPr>
            <w:t>第1节 指导</w:t>
          </w:r>
          <w:r>
            <w:rPr>
              <w:rFonts w:ascii="仿宋" w:hAnsi="仿宋" w:eastAsia="仿宋"/>
              <w:highlight w:val="none"/>
            </w:rPr>
            <w:t>思想</w:t>
          </w:r>
          <w:r>
            <w:tab/>
          </w:r>
          <w:r>
            <w:fldChar w:fldCharType="begin"/>
          </w:r>
          <w:r>
            <w:instrText xml:space="preserve"> PAGEREF _Toc28443 \h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_Toc26498 </w:instrText>
          </w:r>
          <w:r>
            <w:rPr>
              <w:highlight w:val="none"/>
            </w:rPr>
            <w:fldChar w:fldCharType="separate"/>
          </w:r>
          <w:r>
            <w:rPr>
              <w:rFonts w:hint="eastAsia" w:ascii="仿宋" w:hAnsi="仿宋" w:eastAsia="仿宋"/>
              <w:highlight w:val="none"/>
            </w:rPr>
            <w:t xml:space="preserve">第2节 </w:t>
          </w:r>
          <w:r>
            <w:rPr>
              <w:rFonts w:ascii="仿宋" w:hAnsi="仿宋" w:eastAsia="仿宋"/>
              <w:highlight w:val="none"/>
            </w:rPr>
            <w:t>总体定位</w:t>
          </w:r>
          <w:r>
            <w:tab/>
          </w:r>
          <w:r>
            <w:fldChar w:fldCharType="begin"/>
          </w:r>
          <w:r>
            <w:instrText xml:space="preserve"> PAGEREF _Toc26498 \h </w:instrText>
          </w:r>
          <w:r>
            <w:fldChar w:fldCharType="separate"/>
          </w:r>
          <w:r>
            <w:t>19</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_Toc1166 </w:instrText>
          </w:r>
          <w:r>
            <w:rPr>
              <w:highlight w:val="none"/>
            </w:rPr>
            <w:fldChar w:fldCharType="separate"/>
          </w:r>
          <w:r>
            <w:rPr>
              <w:rFonts w:hint="eastAsia" w:ascii="仿宋" w:hAnsi="仿宋" w:eastAsia="仿宋"/>
              <w:highlight w:val="none"/>
            </w:rPr>
            <w:t>第</w:t>
          </w:r>
          <w:r>
            <w:rPr>
              <w:rFonts w:ascii="仿宋" w:hAnsi="仿宋" w:eastAsia="仿宋"/>
              <w:highlight w:val="none"/>
            </w:rPr>
            <w:t>3</w:t>
          </w:r>
          <w:r>
            <w:rPr>
              <w:rFonts w:hint="eastAsia" w:ascii="仿宋" w:hAnsi="仿宋" w:eastAsia="仿宋"/>
              <w:highlight w:val="none"/>
            </w:rPr>
            <w:t>节 指标体系</w:t>
          </w:r>
          <w:r>
            <w:tab/>
          </w:r>
          <w:r>
            <w:fldChar w:fldCharType="begin"/>
          </w:r>
          <w:r>
            <w:instrText xml:space="preserve"> PAGEREF _Toc1166 \h </w:instrText>
          </w:r>
          <w:r>
            <w:fldChar w:fldCharType="separate"/>
          </w:r>
          <w:r>
            <w:t>20</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_Toc20285 </w:instrText>
          </w:r>
          <w:r>
            <w:rPr>
              <w:highlight w:val="none"/>
            </w:rPr>
            <w:fldChar w:fldCharType="separate"/>
          </w:r>
          <w:r>
            <w:rPr>
              <w:rFonts w:hint="eastAsia" w:ascii="仿宋" w:hAnsi="仿宋" w:eastAsia="仿宋"/>
              <w:highlight w:val="none"/>
            </w:rPr>
            <w:t>第</w:t>
          </w:r>
          <w:r>
            <w:rPr>
              <w:rFonts w:ascii="仿宋" w:hAnsi="仿宋" w:eastAsia="仿宋"/>
              <w:highlight w:val="none"/>
            </w:rPr>
            <w:t>4</w:t>
          </w:r>
          <w:r>
            <w:rPr>
              <w:rFonts w:hint="eastAsia" w:ascii="仿宋" w:hAnsi="仿宋" w:eastAsia="仿宋"/>
              <w:highlight w:val="none"/>
            </w:rPr>
            <w:t>节 空间战略</w:t>
          </w:r>
          <w:r>
            <w:tab/>
          </w:r>
          <w:r>
            <w:fldChar w:fldCharType="begin"/>
          </w:r>
          <w:r>
            <w:instrText xml:space="preserve"> PAGEREF _Toc20285 \h </w:instrText>
          </w:r>
          <w:r>
            <w:fldChar w:fldCharType="separate"/>
          </w:r>
          <w:r>
            <w:t>21</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_Toc19980 </w:instrText>
          </w:r>
          <w:r>
            <w:rPr>
              <w:highlight w:val="none"/>
            </w:rPr>
            <w:fldChar w:fldCharType="separate"/>
          </w:r>
          <w:r>
            <w:rPr>
              <w:rFonts w:hint="eastAsia" w:ascii="仿宋" w:hAnsi="仿宋" w:eastAsia="仿宋"/>
              <w:highlight w:val="none"/>
            </w:rPr>
            <w:t>第四章 国土空间</w:t>
          </w:r>
          <w:r>
            <w:rPr>
              <w:rFonts w:ascii="仿宋" w:hAnsi="仿宋" w:eastAsia="仿宋"/>
              <w:highlight w:val="none"/>
            </w:rPr>
            <w:t>格局</w:t>
          </w:r>
          <w:r>
            <w:tab/>
          </w:r>
          <w:r>
            <w:fldChar w:fldCharType="begin"/>
          </w:r>
          <w:r>
            <w:instrText xml:space="preserve"> PAGEREF _Toc19980 \h </w:instrText>
          </w:r>
          <w:r>
            <w:fldChar w:fldCharType="separate"/>
          </w:r>
          <w:r>
            <w:t>23</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_Toc14424 </w:instrText>
          </w:r>
          <w:r>
            <w:rPr>
              <w:highlight w:val="none"/>
            </w:rPr>
            <w:fldChar w:fldCharType="separate"/>
          </w:r>
          <w:r>
            <w:rPr>
              <w:rFonts w:hint="eastAsia" w:ascii="仿宋" w:hAnsi="仿宋" w:eastAsia="仿宋"/>
              <w:highlight w:val="none"/>
            </w:rPr>
            <w:t>第</w:t>
          </w:r>
          <w:r>
            <w:rPr>
              <w:rFonts w:ascii="仿宋" w:hAnsi="仿宋" w:eastAsia="仿宋"/>
              <w:highlight w:val="none"/>
            </w:rPr>
            <w:t>1</w:t>
          </w:r>
          <w:r>
            <w:rPr>
              <w:rFonts w:hint="eastAsia" w:ascii="仿宋" w:hAnsi="仿宋" w:eastAsia="仿宋"/>
              <w:highlight w:val="none"/>
            </w:rPr>
            <w:t>节 区域协调</w:t>
          </w:r>
          <w:r>
            <w:tab/>
          </w:r>
          <w:r>
            <w:fldChar w:fldCharType="begin"/>
          </w:r>
          <w:r>
            <w:instrText xml:space="preserve"> PAGEREF _Toc14424 \h </w:instrText>
          </w:r>
          <w:r>
            <w:fldChar w:fldCharType="separate"/>
          </w:r>
          <w:r>
            <w:t>23</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_Toc21623 </w:instrText>
          </w:r>
          <w:r>
            <w:rPr>
              <w:highlight w:val="none"/>
            </w:rPr>
            <w:fldChar w:fldCharType="separate"/>
          </w:r>
          <w:r>
            <w:rPr>
              <w:rFonts w:hint="eastAsia" w:ascii="仿宋" w:hAnsi="仿宋" w:eastAsia="仿宋"/>
              <w:highlight w:val="none"/>
            </w:rPr>
            <w:t>第</w:t>
          </w:r>
          <w:r>
            <w:rPr>
              <w:rFonts w:ascii="仿宋" w:hAnsi="仿宋" w:eastAsia="仿宋"/>
              <w:highlight w:val="none"/>
            </w:rPr>
            <w:t>2</w:t>
          </w:r>
          <w:r>
            <w:rPr>
              <w:rFonts w:hint="eastAsia" w:ascii="仿宋" w:hAnsi="仿宋" w:eastAsia="仿宋"/>
              <w:highlight w:val="none"/>
            </w:rPr>
            <w:t xml:space="preserve">节 </w:t>
          </w:r>
          <w:r>
            <w:rPr>
              <w:rFonts w:ascii="仿宋" w:hAnsi="仿宋" w:eastAsia="仿宋"/>
              <w:highlight w:val="none"/>
            </w:rPr>
            <w:t>开发保护</w:t>
          </w:r>
          <w:r>
            <w:rPr>
              <w:rFonts w:hint="eastAsia" w:ascii="仿宋" w:hAnsi="仿宋" w:eastAsia="仿宋"/>
              <w:highlight w:val="none"/>
            </w:rPr>
            <w:t>总体</w:t>
          </w:r>
          <w:r>
            <w:rPr>
              <w:rFonts w:ascii="仿宋" w:hAnsi="仿宋" w:eastAsia="仿宋"/>
              <w:highlight w:val="none"/>
            </w:rPr>
            <w:t>格局</w:t>
          </w:r>
          <w:r>
            <w:tab/>
          </w:r>
          <w:r>
            <w:fldChar w:fldCharType="begin"/>
          </w:r>
          <w:r>
            <w:instrText xml:space="preserve"> PAGEREF _Toc21623 \h </w:instrText>
          </w:r>
          <w:r>
            <w:fldChar w:fldCharType="separate"/>
          </w:r>
          <w:r>
            <w:t>25</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_Toc389 </w:instrText>
          </w:r>
          <w:r>
            <w:rPr>
              <w:highlight w:val="none"/>
            </w:rPr>
            <w:fldChar w:fldCharType="separate"/>
          </w:r>
          <w:r>
            <w:rPr>
              <w:rFonts w:hint="eastAsia" w:ascii="仿宋" w:hAnsi="仿宋" w:eastAsia="仿宋"/>
              <w:highlight w:val="none"/>
            </w:rPr>
            <w:t>第</w:t>
          </w:r>
          <w:r>
            <w:rPr>
              <w:rFonts w:ascii="仿宋" w:hAnsi="仿宋" w:eastAsia="仿宋"/>
              <w:highlight w:val="none"/>
            </w:rPr>
            <w:t>3</w:t>
          </w:r>
          <w:r>
            <w:rPr>
              <w:rFonts w:hint="eastAsia" w:ascii="仿宋" w:hAnsi="仿宋" w:eastAsia="仿宋"/>
              <w:highlight w:val="none"/>
            </w:rPr>
            <w:t>节 统筹三线划定</w:t>
          </w:r>
          <w:r>
            <w:tab/>
          </w:r>
          <w:r>
            <w:fldChar w:fldCharType="begin"/>
          </w:r>
          <w:r>
            <w:instrText xml:space="preserve"> PAGEREF _Toc389 \h </w:instrText>
          </w:r>
          <w:r>
            <w:fldChar w:fldCharType="separate"/>
          </w:r>
          <w:r>
            <w:t>25</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_Toc32458 </w:instrText>
          </w:r>
          <w:r>
            <w:rPr>
              <w:highlight w:val="none"/>
            </w:rPr>
            <w:fldChar w:fldCharType="separate"/>
          </w:r>
          <w:r>
            <w:rPr>
              <w:rFonts w:hint="eastAsia" w:ascii="仿宋" w:hAnsi="仿宋" w:eastAsia="仿宋"/>
              <w:highlight w:val="none"/>
            </w:rPr>
            <w:t>第</w:t>
          </w:r>
          <w:r>
            <w:rPr>
              <w:rFonts w:ascii="仿宋" w:hAnsi="仿宋" w:eastAsia="仿宋"/>
              <w:highlight w:val="none"/>
            </w:rPr>
            <w:t>4</w:t>
          </w:r>
          <w:r>
            <w:rPr>
              <w:rFonts w:hint="eastAsia" w:ascii="仿宋" w:hAnsi="仿宋" w:eastAsia="仿宋"/>
              <w:highlight w:val="none"/>
            </w:rPr>
            <w:t>节 规划分区与国土空间功能结构调整</w:t>
          </w:r>
          <w:r>
            <w:tab/>
          </w:r>
          <w:r>
            <w:fldChar w:fldCharType="begin"/>
          </w:r>
          <w:r>
            <w:instrText xml:space="preserve"> PAGEREF _Toc32458 \h </w:instrText>
          </w:r>
          <w:r>
            <w:fldChar w:fldCharType="separate"/>
          </w:r>
          <w:r>
            <w:t>28</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_Toc9263 </w:instrText>
          </w:r>
          <w:r>
            <w:rPr>
              <w:highlight w:val="none"/>
            </w:rPr>
            <w:fldChar w:fldCharType="separate"/>
          </w:r>
          <w:r>
            <w:rPr>
              <w:rFonts w:hint="eastAsia" w:ascii="仿宋" w:hAnsi="仿宋" w:eastAsia="仿宋"/>
              <w:highlight w:val="none"/>
            </w:rPr>
            <w:t>第五章 农业空间</w:t>
          </w:r>
          <w:r>
            <w:tab/>
          </w:r>
          <w:r>
            <w:fldChar w:fldCharType="begin"/>
          </w:r>
          <w:r>
            <w:instrText xml:space="preserve"> PAGEREF _Toc9263 \h </w:instrText>
          </w:r>
          <w:r>
            <w:fldChar w:fldCharType="separate"/>
          </w:r>
          <w:r>
            <w:t>35</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_Toc25241 </w:instrText>
          </w:r>
          <w:r>
            <w:rPr>
              <w:highlight w:val="none"/>
            </w:rPr>
            <w:fldChar w:fldCharType="separate"/>
          </w:r>
          <w:r>
            <w:rPr>
              <w:rFonts w:hint="eastAsia" w:ascii="仿宋" w:hAnsi="仿宋" w:eastAsia="仿宋"/>
              <w:highlight w:val="none"/>
            </w:rPr>
            <w:t>第</w:t>
          </w:r>
          <w:r>
            <w:rPr>
              <w:rFonts w:ascii="仿宋" w:hAnsi="仿宋" w:eastAsia="仿宋"/>
              <w:highlight w:val="none"/>
            </w:rPr>
            <w:t>1</w:t>
          </w:r>
          <w:r>
            <w:rPr>
              <w:rFonts w:hint="eastAsia" w:ascii="仿宋" w:hAnsi="仿宋" w:eastAsia="仿宋"/>
              <w:highlight w:val="none"/>
            </w:rPr>
            <w:t>节 农业生产空间</w:t>
          </w:r>
          <w:r>
            <w:tab/>
          </w:r>
          <w:r>
            <w:fldChar w:fldCharType="begin"/>
          </w:r>
          <w:r>
            <w:instrText xml:space="preserve"> PAGEREF _Toc25241 \h </w:instrText>
          </w:r>
          <w:r>
            <w:fldChar w:fldCharType="separate"/>
          </w:r>
          <w:r>
            <w:t>35</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_Toc29962 </w:instrText>
          </w:r>
          <w:r>
            <w:rPr>
              <w:highlight w:val="none"/>
            </w:rPr>
            <w:fldChar w:fldCharType="separate"/>
          </w:r>
          <w:r>
            <w:rPr>
              <w:rFonts w:hint="eastAsia" w:ascii="仿宋" w:hAnsi="仿宋" w:eastAsia="仿宋"/>
              <w:highlight w:val="none"/>
            </w:rPr>
            <w:t>第</w:t>
          </w:r>
          <w:r>
            <w:rPr>
              <w:rFonts w:ascii="仿宋" w:hAnsi="仿宋" w:eastAsia="仿宋"/>
              <w:highlight w:val="none"/>
            </w:rPr>
            <w:t>2</w:t>
          </w:r>
          <w:r>
            <w:rPr>
              <w:rFonts w:hint="eastAsia" w:ascii="仿宋" w:hAnsi="仿宋" w:eastAsia="仿宋"/>
              <w:highlight w:val="none"/>
            </w:rPr>
            <w:t>节 村庄布局指引</w:t>
          </w:r>
          <w:r>
            <w:tab/>
          </w:r>
          <w:r>
            <w:fldChar w:fldCharType="begin"/>
          </w:r>
          <w:r>
            <w:instrText xml:space="preserve"> PAGEREF _Toc29962 \h </w:instrText>
          </w:r>
          <w:r>
            <w:fldChar w:fldCharType="separate"/>
          </w:r>
          <w:r>
            <w:t>37</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_Toc4575 </w:instrText>
          </w:r>
          <w:r>
            <w:rPr>
              <w:highlight w:val="none"/>
            </w:rPr>
            <w:fldChar w:fldCharType="separate"/>
          </w:r>
          <w:r>
            <w:rPr>
              <w:rFonts w:hint="eastAsia" w:ascii="仿宋" w:hAnsi="仿宋" w:eastAsia="仿宋"/>
              <w:highlight w:val="none"/>
            </w:rPr>
            <w:t>第</w:t>
          </w:r>
          <w:r>
            <w:rPr>
              <w:rFonts w:ascii="仿宋" w:hAnsi="仿宋" w:eastAsia="仿宋"/>
              <w:highlight w:val="none"/>
            </w:rPr>
            <w:t>3</w:t>
          </w:r>
          <w:r>
            <w:rPr>
              <w:rFonts w:hint="eastAsia" w:ascii="仿宋" w:hAnsi="仿宋" w:eastAsia="仿宋"/>
              <w:highlight w:val="none"/>
            </w:rPr>
            <w:t>节 村庄人居环境</w:t>
          </w:r>
          <w:r>
            <w:tab/>
          </w:r>
          <w:r>
            <w:fldChar w:fldCharType="begin"/>
          </w:r>
          <w:r>
            <w:instrText xml:space="preserve"> PAGEREF _Toc4575 \h </w:instrText>
          </w:r>
          <w:r>
            <w:fldChar w:fldCharType="separate"/>
          </w:r>
          <w:r>
            <w:t>38</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_Toc18266 </w:instrText>
          </w:r>
          <w:r>
            <w:rPr>
              <w:highlight w:val="none"/>
            </w:rPr>
            <w:fldChar w:fldCharType="separate"/>
          </w:r>
          <w:r>
            <w:rPr>
              <w:rFonts w:hint="eastAsia" w:ascii="仿宋" w:hAnsi="仿宋" w:eastAsia="仿宋"/>
              <w:highlight w:val="none"/>
            </w:rPr>
            <w:t>第六章 生态空间</w:t>
          </w:r>
          <w:r>
            <w:tab/>
          </w:r>
          <w:r>
            <w:fldChar w:fldCharType="begin"/>
          </w:r>
          <w:r>
            <w:instrText xml:space="preserve"> PAGEREF _Toc18266 \h </w:instrText>
          </w:r>
          <w:r>
            <w:fldChar w:fldCharType="separate"/>
          </w:r>
          <w:r>
            <w:t>40</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_Toc10667 </w:instrText>
          </w:r>
          <w:r>
            <w:rPr>
              <w:highlight w:val="none"/>
            </w:rPr>
            <w:fldChar w:fldCharType="separate"/>
          </w:r>
          <w:r>
            <w:rPr>
              <w:rFonts w:hint="eastAsia" w:ascii="仿宋" w:hAnsi="仿宋" w:eastAsia="仿宋"/>
              <w:highlight w:val="none"/>
            </w:rPr>
            <w:t>第</w:t>
          </w:r>
          <w:r>
            <w:rPr>
              <w:rFonts w:ascii="仿宋" w:hAnsi="仿宋" w:eastAsia="仿宋"/>
              <w:highlight w:val="none"/>
            </w:rPr>
            <w:t>1</w:t>
          </w:r>
          <w:r>
            <w:rPr>
              <w:rFonts w:hint="eastAsia" w:ascii="仿宋" w:hAnsi="仿宋" w:eastAsia="仿宋"/>
              <w:highlight w:val="none"/>
            </w:rPr>
            <w:t>节 生态功能</w:t>
          </w:r>
          <w:r>
            <w:rPr>
              <w:rFonts w:ascii="仿宋" w:hAnsi="仿宋" w:eastAsia="仿宋"/>
              <w:highlight w:val="none"/>
            </w:rPr>
            <w:t>结构</w:t>
          </w:r>
          <w:r>
            <w:tab/>
          </w:r>
          <w:r>
            <w:fldChar w:fldCharType="begin"/>
          </w:r>
          <w:r>
            <w:instrText xml:space="preserve"> PAGEREF _Toc10667 \h </w:instrText>
          </w:r>
          <w:r>
            <w:fldChar w:fldCharType="separate"/>
          </w:r>
          <w:r>
            <w:t>40</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_Toc18016 </w:instrText>
          </w:r>
          <w:r>
            <w:rPr>
              <w:highlight w:val="none"/>
            </w:rPr>
            <w:fldChar w:fldCharType="separate"/>
          </w:r>
          <w:r>
            <w:rPr>
              <w:rFonts w:hint="eastAsia" w:ascii="仿宋" w:hAnsi="仿宋" w:eastAsia="仿宋"/>
              <w:highlight w:val="none"/>
            </w:rPr>
            <w:t>第</w:t>
          </w:r>
          <w:r>
            <w:rPr>
              <w:rFonts w:ascii="仿宋" w:hAnsi="仿宋" w:eastAsia="仿宋"/>
              <w:highlight w:val="none"/>
            </w:rPr>
            <w:t>2</w:t>
          </w:r>
          <w:r>
            <w:rPr>
              <w:rFonts w:hint="eastAsia" w:ascii="仿宋" w:hAnsi="仿宋" w:eastAsia="仿宋"/>
              <w:highlight w:val="none"/>
            </w:rPr>
            <w:t>节 自然保护</w:t>
          </w:r>
          <w:r>
            <w:rPr>
              <w:rFonts w:ascii="仿宋" w:hAnsi="仿宋" w:eastAsia="仿宋"/>
              <w:highlight w:val="none"/>
            </w:rPr>
            <w:t>地体系</w:t>
          </w:r>
          <w:r>
            <w:tab/>
          </w:r>
          <w:r>
            <w:fldChar w:fldCharType="begin"/>
          </w:r>
          <w:r>
            <w:instrText xml:space="preserve"> PAGEREF _Toc18016 \h </w:instrText>
          </w:r>
          <w:r>
            <w:fldChar w:fldCharType="separate"/>
          </w:r>
          <w:r>
            <w:t>40</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_Toc373 </w:instrText>
          </w:r>
          <w:r>
            <w:rPr>
              <w:highlight w:val="none"/>
            </w:rPr>
            <w:fldChar w:fldCharType="separate"/>
          </w:r>
          <w:r>
            <w:rPr>
              <w:rFonts w:hint="eastAsia" w:ascii="仿宋" w:hAnsi="仿宋" w:eastAsia="仿宋"/>
              <w:highlight w:val="none"/>
            </w:rPr>
            <w:t>第</w:t>
          </w:r>
          <w:r>
            <w:rPr>
              <w:rFonts w:ascii="仿宋" w:hAnsi="仿宋" w:eastAsia="仿宋"/>
              <w:highlight w:val="none"/>
            </w:rPr>
            <w:t>3</w:t>
          </w:r>
          <w:r>
            <w:rPr>
              <w:rFonts w:hint="eastAsia" w:ascii="仿宋" w:hAnsi="仿宋" w:eastAsia="仿宋"/>
              <w:highlight w:val="none"/>
            </w:rPr>
            <w:t>节 生态廊道</w:t>
          </w:r>
          <w:r>
            <w:tab/>
          </w:r>
          <w:r>
            <w:fldChar w:fldCharType="begin"/>
          </w:r>
          <w:r>
            <w:instrText xml:space="preserve"> PAGEREF _Toc373 \h </w:instrText>
          </w:r>
          <w:r>
            <w:fldChar w:fldCharType="separate"/>
          </w:r>
          <w:r>
            <w:t>42</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_Toc18442 </w:instrText>
          </w:r>
          <w:r>
            <w:rPr>
              <w:highlight w:val="none"/>
            </w:rPr>
            <w:fldChar w:fldCharType="separate"/>
          </w:r>
          <w:r>
            <w:rPr>
              <w:rFonts w:hint="eastAsia" w:ascii="仿宋" w:hAnsi="仿宋" w:eastAsia="仿宋"/>
              <w:highlight w:val="none"/>
            </w:rPr>
            <w:t>第</w:t>
          </w:r>
          <w:r>
            <w:rPr>
              <w:rFonts w:ascii="仿宋" w:hAnsi="仿宋" w:eastAsia="仿宋"/>
              <w:highlight w:val="none"/>
            </w:rPr>
            <w:t>4</w:t>
          </w:r>
          <w:r>
            <w:rPr>
              <w:rFonts w:hint="eastAsia" w:ascii="仿宋" w:hAnsi="仿宋" w:eastAsia="仿宋"/>
              <w:highlight w:val="none"/>
            </w:rPr>
            <w:t>节 重要生态</w:t>
          </w:r>
          <w:r>
            <w:rPr>
              <w:rFonts w:ascii="仿宋" w:hAnsi="仿宋" w:eastAsia="仿宋"/>
              <w:highlight w:val="none"/>
            </w:rPr>
            <w:t>功能区</w:t>
          </w:r>
          <w:r>
            <w:tab/>
          </w:r>
          <w:r>
            <w:fldChar w:fldCharType="begin"/>
          </w:r>
          <w:r>
            <w:instrText xml:space="preserve"> PAGEREF _Toc18442 \h </w:instrText>
          </w:r>
          <w:r>
            <w:fldChar w:fldCharType="separate"/>
          </w:r>
          <w:r>
            <w:t>43</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_Toc19070 </w:instrText>
          </w:r>
          <w:r>
            <w:rPr>
              <w:highlight w:val="none"/>
            </w:rPr>
            <w:fldChar w:fldCharType="separate"/>
          </w:r>
          <w:r>
            <w:rPr>
              <w:rFonts w:hint="eastAsia" w:ascii="仿宋" w:hAnsi="仿宋" w:eastAsia="仿宋"/>
              <w:highlight w:val="none"/>
            </w:rPr>
            <w:t>第七章 城镇空间</w:t>
          </w:r>
          <w:r>
            <w:tab/>
          </w:r>
          <w:r>
            <w:fldChar w:fldCharType="begin"/>
          </w:r>
          <w:r>
            <w:instrText xml:space="preserve"> PAGEREF _Toc19070 \h </w:instrText>
          </w:r>
          <w:r>
            <w:fldChar w:fldCharType="separate"/>
          </w:r>
          <w:r>
            <w:t>45</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_Toc18292 </w:instrText>
          </w:r>
          <w:r>
            <w:rPr>
              <w:highlight w:val="none"/>
            </w:rPr>
            <w:fldChar w:fldCharType="separate"/>
          </w:r>
          <w:r>
            <w:rPr>
              <w:rFonts w:hint="eastAsia" w:ascii="仿宋" w:hAnsi="仿宋" w:eastAsia="仿宋"/>
              <w:highlight w:val="none"/>
            </w:rPr>
            <w:t>第</w:t>
          </w:r>
          <w:r>
            <w:rPr>
              <w:rFonts w:ascii="仿宋" w:hAnsi="仿宋" w:eastAsia="仿宋"/>
              <w:highlight w:val="none"/>
            </w:rPr>
            <w:t>1</w:t>
          </w:r>
          <w:r>
            <w:rPr>
              <w:rFonts w:hint="eastAsia" w:ascii="仿宋" w:hAnsi="仿宋" w:eastAsia="仿宋"/>
              <w:highlight w:val="none"/>
            </w:rPr>
            <w:t>节 人口规模与</w:t>
          </w:r>
          <w:r>
            <w:rPr>
              <w:rFonts w:ascii="仿宋" w:hAnsi="仿宋" w:eastAsia="仿宋"/>
              <w:highlight w:val="none"/>
            </w:rPr>
            <w:t>城镇化水平</w:t>
          </w:r>
          <w:r>
            <w:tab/>
          </w:r>
          <w:r>
            <w:fldChar w:fldCharType="begin"/>
          </w:r>
          <w:r>
            <w:instrText xml:space="preserve"> PAGEREF _Toc18292 \h </w:instrText>
          </w:r>
          <w:r>
            <w:fldChar w:fldCharType="separate"/>
          </w:r>
          <w:r>
            <w:t>45</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_Toc28369 </w:instrText>
          </w:r>
          <w:r>
            <w:rPr>
              <w:highlight w:val="none"/>
            </w:rPr>
            <w:fldChar w:fldCharType="separate"/>
          </w:r>
          <w:r>
            <w:rPr>
              <w:rFonts w:hint="eastAsia" w:ascii="仿宋" w:hAnsi="仿宋" w:eastAsia="仿宋"/>
              <w:highlight w:val="none"/>
            </w:rPr>
            <w:t>第</w:t>
          </w:r>
          <w:r>
            <w:rPr>
              <w:rFonts w:ascii="仿宋" w:hAnsi="仿宋" w:eastAsia="仿宋"/>
              <w:highlight w:val="none"/>
            </w:rPr>
            <w:t>2</w:t>
          </w:r>
          <w:r>
            <w:rPr>
              <w:rFonts w:hint="eastAsia" w:ascii="仿宋" w:hAnsi="仿宋" w:eastAsia="仿宋"/>
              <w:highlight w:val="none"/>
            </w:rPr>
            <w:t>节 城镇体系</w:t>
          </w:r>
          <w:r>
            <w:tab/>
          </w:r>
          <w:r>
            <w:fldChar w:fldCharType="begin"/>
          </w:r>
          <w:r>
            <w:instrText xml:space="preserve"> PAGEREF _Toc28369 \h </w:instrText>
          </w:r>
          <w:r>
            <w:fldChar w:fldCharType="separate"/>
          </w:r>
          <w:r>
            <w:t>45</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_Toc23667 </w:instrText>
          </w:r>
          <w:r>
            <w:rPr>
              <w:highlight w:val="none"/>
            </w:rPr>
            <w:fldChar w:fldCharType="separate"/>
          </w:r>
          <w:r>
            <w:rPr>
              <w:rFonts w:hint="eastAsia" w:ascii="仿宋" w:hAnsi="仿宋" w:eastAsia="仿宋"/>
              <w:highlight w:val="none"/>
            </w:rPr>
            <w:t>第</w:t>
          </w:r>
          <w:r>
            <w:rPr>
              <w:rFonts w:ascii="仿宋" w:hAnsi="仿宋" w:eastAsia="仿宋"/>
              <w:highlight w:val="none"/>
            </w:rPr>
            <w:t>3</w:t>
          </w:r>
          <w:r>
            <w:rPr>
              <w:rFonts w:hint="eastAsia" w:ascii="仿宋" w:hAnsi="仿宋" w:eastAsia="仿宋"/>
              <w:highlight w:val="none"/>
            </w:rPr>
            <w:t>节 产业发展布局</w:t>
          </w:r>
          <w:r>
            <w:tab/>
          </w:r>
          <w:r>
            <w:fldChar w:fldCharType="begin"/>
          </w:r>
          <w:r>
            <w:instrText xml:space="preserve"> PAGEREF _Toc23667 \h </w:instrText>
          </w:r>
          <w:r>
            <w:fldChar w:fldCharType="separate"/>
          </w:r>
          <w:r>
            <w:t>47</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_Toc27919 </w:instrText>
          </w:r>
          <w:r>
            <w:rPr>
              <w:highlight w:val="none"/>
            </w:rPr>
            <w:fldChar w:fldCharType="separate"/>
          </w:r>
          <w:r>
            <w:rPr>
              <w:rFonts w:hint="eastAsia" w:ascii="仿宋" w:hAnsi="仿宋" w:eastAsia="仿宋"/>
              <w:highlight w:val="none"/>
            </w:rPr>
            <w:t>第八章 资源保护</w:t>
          </w:r>
          <w:r>
            <w:rPr>
              <w:rFonts w:ascii="仿宋" w:hAnsi="仿宋" w:eastAsia="仿宋"/>
              <w:highlight w:val="none"/>
            </w:rPr>
            <w:t>与利用</w:t>
          </w:r>
          <w:r>
            <w:tab/>
          </w:r>
          <w:r>
            <w:fldChar w:fldCharType="begin"/>
          </w:r>
          <w:r>
            <w:instrText xml:space="preserve"> PAGEREF _Toc27919 \h </w:instrText>
          </w:r>
          <w:r>
            <w:fldChar w:fldCharType="separate"/>
          </w:r>
          <w:r>
            <w:t>49</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_Toc24737 </w:instrText>
          </w:r>
          <w:r>
            <w:rPr>
              <w:highlight w:val="none"/>
            </w:rPr>
            <w:fldChar w:fldCharType="separate"/>
          </w:r>
          <w:r>
            <w:rPr>
              <w:rFonts w:ascii="仿宋" w:hAnsi="仿宋" w:eastAsia="仿宋"/>
              <w:highlight w:val="none"/>
            </w:rPr>
            <w:t>第1节 水资源</w:t>
          </w:r>
          <w:r>
            <w:tab/>
          </w:r>
          <w:r>
            <w:fldChar w:fldCharType="begin"/>
          </w:r>
          <w:r>
            <w:instrText xml:space="preserve"> PAGEREF _Toc24737 \h </w:instrText>
          </w:r>
          <w:r>
            <w:fldChar w:fldCharType="separate"/>
          </w:r>
          <w:r>
            <w:t>49</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_Toc16365 </w:instrText>
          </w:r>
          <w:r>
            <w:rPr>
              <w:highlight w:val="none"/>
            </w:rPr>
            <w:fldChar w:fldCharType="separate"/>
          </w:r>
          <w:r>
            <w:rPr>
              <w:rFonts w:hint="eastAsia" w:ascii="仿宋" w:hAnsi="仿宋" w:eastAsia="仿宋"/>
              <w:highlight w:val="none"/>
            </w:rPr>
            <w:t>第</w:t>
          </w:r>
          <w:r>
            <w:rPr>
              <w:rFonts w:ascii="仿宋" w:hAnsi="仿宋" w:eastAsia="仿宋"/>
              <w:highlight w:val="none"/>
            </w:rPr>
            <w:t>2</w:t>
          </w:r>
          <w:r>
            <w:rPr>
              <w:rFonts w:hint="eastAsia" w:ascii="仿宋" w:hAnsi="仿宋" w:eastAsia="仿宋"/>
              <w:highlight w:val="none"/>
            </w:rPr>
            <w:t>节 耕地资源</w:t>
          </w:r>
          <w:r>
            <w:tab/>
          </w:r>
          <w:r>
            <w:fldChar w:fldCharType="begin"/>
          </w:r>
          <w:r>
            <w:instrText xml:space="preserve"> PAGEREF _Toc16365 \h </w:instrText>
          </w:r>
          <w:r>
            <w:fldChar w:fldCharType="separate"/>
          </w:r>
          <w:r>
            <w:t>49</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_Toc13685 </w:instrText>
          </w:r>
          <w:r>
            <w:rPr>
              <w:highlight w:val="none"/>
            </w:rPr>
            <w:fldChar w:fldCharType="separate"/>
          </w:r>
          <w:r>
            <w:rPr>
              <w:rFonts w:ascii="仿宋" w:hAnsi="仿宋" w:eastAsia="仿宋"/>
              <w:highlight w:val="none"/>
            </w:rPr>
            <w:t xml:space="preserve">第3节 </w:t>
          </w:r>
          <w:r>
            <w:rPr>
              <w:rFonts w:hint="eastAsia" w:ascii="仿宋" w:hAnsi="仿宋" w:eastAsia="仿宋"/>
              <w:highlight w:val="none"/>
            </w:rPr>
            <w:t>林草资源</w:t>
          </w:r>
          <w:r>
            <w:tab/>
          </w:r>
          <w:r>
            <w:fldChar w:fldCharType="begin"/>
          </w:r>
          <w:r>
            <w:instrText xml:space="preserve"> PAGEREF _Toc13685 \h </w:instrText>
          </w:r>
          <w:r>
            <w:fldChar w:fldCharType="separate"/>
          </w:r>
          <w:r>
            <w:t>51</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_Toc5707 </w:instrText>
          </w:r>
          <w:r>
            <w:rPr>
              <w:highlight w:val="none"/>
            </w:rPr>
            <w:fldChar w:fldCharType="separate"/>
          </w:r>
          <w:r>
            <w:rPr>
              <w:rFonts w:ascii="仿宋" w:hAnsi="仿宋" w:eastAsia="仿宋"/>
              <w:highlight w:val="none"/>
            </w:rPr>
            <w:t>第4节 矿产资源</w:t>
          </w:r>
          <w:r>
            <w:tab/>
          </w:r>
          <w:r>
            <w:fldChar w:fldCharType="begin"/>
          </w:r>
          <w:r>
            <w:instrText xml:space="preserve"> PAGEREF _Toc5707 \h </w:instrText>
          </w:r>
          <w:r>
            <w:fldChar w:fldCharType="separate"/>
          </w:r>
          <w:r>
            <w:t>52</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_Toc31853 </w:instrText>
          </w:r>
          <w:r>
            <w:rPr>
              <w:highlight w:val="none"/>
            </w:rPr>
            <w:fldChar w:fldCharType="separate"/>
          </w:r>
          <w:r>
            <w:rPr>
              <w:rFonts w:ascii="仿宋" w:hAnsi="仿宋" w:eastAsia="仿宋"/>
              <w:highlight w:val="none"/>
            </w:rPr>
            <w:t xml:space="preserve">第5节 </w:t>
          </w:r>
          <w:r>
            <w:rPr>
              <w:rFonts w:hint="eastAsia" w:ascii="仿宋" w:hAnsi="仿宋" w:eastAsia="仿宋"/>
              <w:highlight w:val="none"/>
            </w:rPr>
            <w:t>历史文化</w:t>
          </w:r>
          <w:r>
            <w:rPr>
              <w:rFonts w:ascii="仿宋" w:hAnsi="仿宋" w:eastAsia="仿宋"/>
              <w:highlight w:val="none"/>
            </w:rPr>
            <w:t>资源</w:t>
          </w:r>
          <w:r>
            <w:tab/>
          </w:r>
          <w:r>
            <w:fldChar w:fldCharType="begin"/>
          </w:r>
          <w:r>
            <w:instrText xml:space="preserve"> PAGEREF _Toc31853 \h </w:instrText>
          </w:r>
          <w:r>
            <w:fldChar w:fldCharType="separate"/>
          </w:r>
          <w:r>
            <w:t>54</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_Toc2375 </w:instrText>
          </w:r>
          <w:r>
            <w:rPr>
              <w:highlight w:val="none"/>
            </w:rPr>
            <w:fldChar w:fldCharType="separate"/>
          </w:r>
          <w:r>
            <w:rPr>
              <w:rFonts w:hint="eastAsia" w:ascii="仿宋" w:hAnsi="仿宋" w:eastAsia="仿宋"/>
              <w:highlight w:val="none"/>
            </w:rPr>
            <w:t>第九章 国土综合整治</w:t>
          </w:r>
          <w:r>
            <w:rPr>
              <w:rFonts w:ascii="仿宋" w:hAnsi="仿宋" w:eastAsia="仿宋"/>
              <w:highlight w:val="none"/>
            </w:rPr>
            <w:t>与</w:t>
          </w:r>
          <w:r>
            <w:rPr>
              <w:rFonts w:hint="eastAsia" w:ascii="仿宋" w:hAnsi="仿宋" w:eastAsia="仿宋"/>
              <w:highlight w:val="none"/>
            </w:rPr>
            <w:t>生态</w:t>
          </w:r>
          <w:r>
            <w:rPr>
              <w:rFonts w:ascii="仿宋" w:hAnsi="仿宋" w:eastAsia="仿宋"/>
              <w:highlight w:val="none"/>
            </w:rPr>
            <w:t>修复</w:t>
          </w:r>
          <w:r>
            <w:tab/>
          </w:r>
          <w:r>
            <w:fldChar w:fldCharType="begin"/>
          </w:r>
          <w:r>
            <w:instrText xml:space="preserve"> PAGEREF _Toc2375 \h </w:instrText>
          </w:r>
          <w:r>
            <w:fldChar w:fldCharType="separate"/>
          </w:r>
          <w:r>
            <w:t>58</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_Toc22883 </w:instrText>
          </w:r>
          <w:r>
            <w:rPr>
              <w:highlight w:val="none"/>
            </w:rPr>
            <w:fldChar w:fldCharType="separate"/>
          </w:r>
          <w:r>
            <w:rPr>
              <w:rFonts w:ascii="仿宋" w:hAnsi="仿宋" w:eastAsia="仿宋"/>
              <w:highlight w:val="none"/>
            </w:rPr>
            <w:t>第1节 国土综合整治</w:t>
          </w:r>
          <w:r>
            <w:tab/>
          </w:r>
          <w:r>
            <w:fldChar w:fldCharType="begin"/>
          </w:r>
          <w:r>
            <w:instrText xml:space="preserve"> PAGEREF _Toc22883 \h </w:instrText>
          </w:r>
          <w:r>
            <w:fldChar w:fldCharType="separate"/>
          </w:r>
          <w:r>
            <w:t>58</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_Toc10182 </w:instrText>
          </w:r>
          <w:r>
            <w:rPr>
              <w:highlight w:val="none"/>
            </w:rPr>
            <w:fldChar w:fldCharType="separate"/>
          </w:r>
          <w:r>
            <w:rPr>
              <w:rFonts w:ascii="仿宋" w:hAnsi="仿宋" w:eastAsia="仿宋"/>
              <w:highlight w:val="none"/>
            </w:rPr>
            <w:t>第2节 生态修复</w:t>
          </w:r>
          <w:r>
            <w:tab/>
          </w:r>
          <w:r>
            <w:fldChar w:fldCharType="begin"/>
          </w:r>
          <w:r>
            <w:instrText xml:space="preserve"> PAGEREF _Toc10182 \h </w:instrText>
          </w:r>
          <w:r>
            <w:fldChar w:fldCharType="separate"/>
          </w:r>
          <w:r>
            <w:t>60</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_Toc22636 </w:instrText>
          </w:r>
          <w:r>
            <w:rPr>
              <w:highlight w:val="none"/>
            </w:rPr>
            <w:fldChar w:fldCharType="separate"/>
          </w:r>
          <w:r>
            <w:rPr>
              <w:rFonts w:hint="eastAsia" w:ascii="仿宋" w:hAnsi="仿宋" w:eastAsia="仿宋"/>
              <w:highlight w:val="none"/>
            </w:rPr>
            <w:t>第十章 中心城区规划</w:t>
          </w:r>
          <w:r>
            <w:tab/>
          </w:r>
          <w:r>
            <w:fldChar w:fldCharType="begin"/>
          </w:r>
          <w:r>
            <w:instrText xml:space="preserve"> PAGEREF _Toc22636 \h </w:instrText>
          </w:r>
          <w:r>
            <w:fldChar w:fldCharType="separate"/>
          </w:r>
          <w:r>
            <w:t>69</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_Toc11064 </w:instrText>
          </w:r>
          <w:r>
            <w:rPr>
              <w:highlight w:val="none"/>
            </w:rPr>
            <w:fldChar w:fldCharType="separate"/>
          </w:r>
          <w:r>
            <w:rPr>
              <w:rFonts w:hint="eastAsia" w:ascii="仿宋" w:hAnsi="仿宋" w:eastAsia="仿宋"/>
              <w:highlight w:val="none"/>
            </w:rPr>
            <w:t>第1节 范围划定</w:t>
          </w:r>
          <w:r>
            <w:tab/>
          </w:r>
          <w:r>
            <w:fldChar w:fldCharType="begin"/>
          </w:r>
          <w:r>
            <w:instrText xml:space="preserve"> PAGEREF _Toc11064 \h </w:instrText>
          </w:r>
          <w:r>
            <w:fldChar w:fldCharType="separate"/>
          </w:r>
          <w:r>
            <w:t>69</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_Toc7176 </w:instrText>
          </w:r>
          <w:r>
            <w:rPr>
              <w:highlight w:val="none"/>
            </w:rPr>
            <w:fldChar w:fldCharType="separate"/>
          </w:r>
          <w:r>
            <w:rPr>
              <w:rFonts w:hint="eastAsia" w:ascii="仿宋" w:hAnsi="仿宋" w:eastAsia="仿宋"/>
              <w:highlight w:val="none"/>
            </w:rPr>
            <w:t>第</w:t>
          </w:r>
          <w:r>
            <w:rPr>
              <w:rFonts w:ascii="仿宋" w:hAnsi="仿宋" w:eastAsia="仿宋"/>
              <w:highlight w:val="none"/>
            </w:rPr>
            <w:t>2</w:t>
          </w:r>
          <w:r>
            <w:rPr>
              <w:rFonts w:hint="eastAsia" w:ascii="仿宋" w:hAnsi="仿宋" w:eastAsia="仿宋"/>
              <w:highlight w:val="none"/>
            </w:rPr>
            <w:t>节 用地布局</w:t>
          </w:r>
          <w:r>
            <w:tab/>
          </w:r>
          <w:r>
            <w:fldChar w:fldCharType="begin"/>
          </w:r>
          <w:r>
            <w:instrText xml:space="preserve"> PAGEREF _Toc7176 \h </w:instrText>
          </w:r>
          <w:r>
            <w:fldChar w:fldCharType="separate"/>
          </w:r>
          <w:r>
            <w:t>69</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_Toc1967 </w:instrText>
          </w:r>
          <w:r>
            <w:rPr>
              <w:highlight w:val="none"/>
            </w:rPr>
            <w:fldChar w:fldCharType="separate"/>
          </w:r>
          <w:r>
            <w:rPr>
              <w:rFonts w:hint="eastAsia" w:ascii="仿宋" w:hAnsi="仿宋" w:eastAsia="仿宋"/>
              <w:highlight w:val="none"/>
            </w:rPr>
            <w:t>第</w:t>
          </w:r>
          <w:r>
            <w:rPr>
              <w:rFonts w:ascii="仿宋" w:hAnsi="仿宋" w:eastAsia="仿宋"/>
              <w:highlight w:val="none"/>
            </w:rPr>
            <w:t>3</w:t>
          </w:r>
          <w:r>
            <w:rPr>
              <w:rFonts w:hint="eastAsia" w:ascii="仿宋" w:hAnsi="仿宋" w:eastAsia="仿宋"/>
              <w:highlight w:val="none"/>
            </w:rPr>
            <w:t>节 绿地系统与开敞空间</w:t>
          </w:r>
          <w:r>
            <w:tab/>
          </w:r>
          <w:r>
            <w:fldChar w:fldCharType="begin"/>
          </w:r>
          <w:r>
            <w:instrText xml:space="preserve"> PAGEREF _Toc1967 \h </w:instrText>
          </w:r>
          <w:r>
            <w:fldChar w:fldCharType="separate"/>
          </w:r>
          <w:r>
            <w:t>70</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_Toc23906 </w:instrText>
          </w:r>
          <w:r>
            <w:rPr>
              <w:highlight w:val="none"/>
            </w:rPr>
            <w:fldChar w:fldCharType="separate"/>
          </w:r>
          <w:r>
            <w:rPr>
              <w:rFonts w:hint="eastAsia" w:ascii="仿宋" w:hAnsi="仿宋" w:eastAsia="仿宋"/>
              <w:highlight w:val="none"/>
            </w:rPr>
            <w:t>第</w:t>
          </w:r>
          <w:r>
            <w:rPr>
              <w:rFonts w:ascii="仿宋" w:hAnsi="仿宋" w:eastAsia="仿宋"/>
              <w:highlight w:val="none"/>
            </w:rPr>
            <w:t>4</w:t>
          </w:r>
          <w:r>
            <w:rPr>
              <w:rFonts w:hint="eastAsia" w:ascii="仿宋" w:hAnsi="仿宋" w:eastAsia="仿宋"/>
              <w:highlight w:val="none"/>
            </w:rPr>
            <w:t>节 居住与住房保障</w:t>
          </w:r>
          <w:r>
            <w:tab/>
          </w:r>
          <w:r>
            <w:fldChar w:fldCharType="begin"/>
          </w:r>
          <w:r>
            <w:instrText xml:space="preserve"> PAGEREF _Toc23906 \h </w:instrText>
          </w:r>
          <w:r>
            <w:fldChar w:fldCharType="separate"/>
          </w:r>
          <w:r>
            <w:t>74</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_Toc22913 </w:instrText>
          </w:r>
          <w:r>
            <w:rPr>
              <w:highlight w:val="none"/>
            </w:rPr>
            <w:fldChar w:fldCharType="separate"/>
          </w:r>
          <w:r>
            <w:rPr>
              <w:rFonts w:hint="eastAsia" w:ascii="仿宋" w:hAnsi="仿宋" w:eastAsia="仿宋"/>
              <w:highlight w:val="none"/>
            </w:rPr>
            <w:t>第</w:t>
          </w:r>
          <w:r>
            <w:rPr>
              <w:rFonts w:ascii="仿宋" w:hAnsi="仿宋" w:eastAsia="仿宋"/>
              <w:highlight w:val="none"/>
            </w:rPr>
            <w:t>5</w:t>
          </w:r>
          <w:r>
            <w:rPr>
              <w:rFonts w:hint="eastAsia" w:ascii="仿宋" w:hAnsi="仿宋" w:eastAsia="仿宋"/>
              <w:highlight w:val="none"/>
            </w:rPr>
            <w:t>节 城市更新</w:t>
          </w:r>
          <w:r>
            <w:tab/>
          </w:r>
          <w:r>
            <w:fldChar w:fldCharType="begin"/>
          </w:r>
          <w:r>
            <w:instrText xml:space="preserve"> PAGEREF _Toc22913 \h </w:instrText>
          </w:r>
          <w:r>
            <w:fldChar w:fldCharType="separate"/>
          </w:r>
          <w:r>
            <w:t>77</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_Toc22508 </w:instrText>
          </w:r>
          <w:r>
            <w:rPr>
              <w:highlight w:val="none"/>
            </w:rPr>
            <w:fldChar w:fldCharType="separate"/>
          </w:r>
          <w:r>
            <w:rPr>
              <w:rFonts w:hint="eastAsia" w:ascii="仿宋" w:hAnsi="仿宋" w:eastAsia="仿宋"/>
              <w:highlight w:val="none"/>
            </w:rPr>
            <w:t>第</w:t>
          </w:r>
          <w:r>
            <w:rPr>
              <w:rFonts w:ascii="仿宋" w:hAnsi="仿宋" w:eastAsia="仿宋"/>
              <w:highlight w:val="none"/>
            </w:rPr>
            <w:t>6</w:t>
          </w:r>
          <w:r>
            <w:rPr>
              <w:rFonts w:hint="eastAsia" w:ascii="仿宋" w:hAnsi="仿宋" w:eastAsia="仿宋"/>
              <w:highlight w:val="none"/>
            </w:rPr>
            <w:t>节 地下空间利用</w:t>
          </w:r>
          <w:r>
            <w:tab/>
          </w:r>
          <w:r>
            <w:fldChar w:fldCharType="begin"/>
          </w:r>
          <w:r>
            <w:instrText xml:space="preserve"> PAGEREF _Toc22508 \h </w:instrText>
          </w:r>
          <w:r>
            <w:fldChar w:fldCharType="separate"/>
          </w:r>
          <w:r>
            <w:t>80</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_Toc1284 </w:instrText>
          </w:r>
          <w:r>
            <w:rPr>
              <w:highlight w:val="none"/>
            </w:rPr>
            <w:fldChar w:fldCharType="separate"/>
          </w:r>
          <w:r>
            <w:rPr>
              <w:rFonts w:hint="eastAsia" w:ascii="仿宋" w:hAnsi="仿宋" w:eastAsia="仿宋"/>
              <w:highlight w:val="none"/>
            </w:rPr>
            <w:t>第</w:t>
          </w:r>
          <w:r>
            <w:rPr>
              <w:rFonts w:ascii="仿宋" w:hAnsi="仿宋" w:eastAsia="仿宋"/>
              <w:highlight w:val="none"/>
            </w:rPr>
            <w:t>7</w:t>
          </w:r>
          <w:r>
            <w:rPr>
              <w:rFonts w:hint="eastAsia" w:ascii="仿宋" w:hAnsi="仿宋" w:eastAsia="仿宋"/>
              <w:highlight w:val="none"/>
            </w:rPr>
            <w:t>节 “城市四线”管控</w:t>
          </w:r>
          <w:r>
            <w:tab/>
          </w:r>
          <w:r>
            <w:fldChar w:fldCharType="begin"/>
          </w:r>
          <w:r>
            <w:instrText xml:space="preserve"> PAGEREF _Toc1284 \h </w:instrText>
          </w:r>
          <w:r>
            <w:fldChar w:fldCharType="separate"/>
          </w:r>
          <w:r>
            <w:t>83</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_Toc17064 </w:instrText>
          </w:r>
          <w:r>
            <w:rPr>
              <w:highlight w:val="none"/>
            </w:rPr>
            <w:fldChar w:fldCharType="separate"/>
          </w:r>
          <w:r>
            <w:rPr>
              <w:rFonts w:hint="eastAsia" w:ascii="仿宋" w:hAnsi="仿宋" w:eastAsia="仿宋"/>
              <w:highlight w:val="none"/>
            </w:rPr>
            <w:t>第</w:t>
          </w:r>
          <w:r>
            <w:rPr>
              <w:rFonts w:ascii="仿宋" w:hAnsi="仿宋" w:eastAsia="仿宋"/>
              <w:highlight w:val="none"/>
            </w:rPr>
            <w:t>8</w:t>
          </w:r>
          <w:r>
            <w:rPr>
              <w:rFonts w:hint="eastAsia" w:ascii="仿宋" w:hAnsi="仿宋" w:eastAsia="仿宋"/>
              <w:highlight w:val="none"/>
            </w:rPr>
            <w:t>节 城市设计指引</w:t>
          </w:r>
          <w:r>
            <w:tab/>
          </w:r>
          <w:r>
            <w:fldChar w:fldCharType="begin"/>
          </w:r>
          <w:r>
            <w:instrText xml:space="preserve"> PAGEREF _Toc17064 \h </w:instrText>
          </w:r>
          <w:r>
            <w:fldChar w:fldCharType="separate"/>
          </w:r>
          <w:r>
            <w:t>89</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_Toc16679 </w:instrText>
          </w:r>
          <w:r>
            <w:rPr>
              <w:highlight w:val="none"/>
            </w:rPr>
            <w:fldChar w:fldCharType="separate"/>
          </w:r>
          <w:r>
            <w:rPr>
              <w:rFonts w:hint="eastAsia" w:ascii="仿宋" w:hAnsi="仿宋" w:eastAsia="仿宋"/>
              <w:highlight w:val="none"/>
            </w:rPr>
            <w:t>第十一章 支撑体系</w:t>
          </w:r>
          <w:r>
            <w:tab/>
          </w:r>
          <w:r>
            <w:fldChar w:fldCharType="begin"/>
          </w:r>
          <w:r>
            <w:instrText xml:space="preserve"> PAGEREF _Toc16679 \h </w:instrText>
          </w:r>
          <w:r>
            <w:fldChar w:fldCharType="separate"/>
          </w:r>
          <w:r>
            <w:t>95</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_Toc19667 </w:instrText>
          </w:r>
          <w:r>
            <w:rPr>
              <w:highlight w:val="none"/>
            </w:rPr>
            <w:fldChar w:fldCharType="separate"/>
          </w:r>
          <w:r>
            <w:rPr>
              <w:rFonts w:hint="eastAsia" w:ascii="仿宋" w:hAnsi="仿宋" w:eastAsia="仿宋"/>
              <w:highlight w:val="none"/>
            </w:rPr>
            <w:t>第</w:t>
          </w:r>
          <w:r>
            <w:rPr>
              <w:rFonts w:ascii="仿宋" w:hAnsi="仿宋" w:eastAsia="仿宋"/>
              <w:highlight w:val="none"/>
            </w:rPr>
            <w:t>1</w:t>
          </w:r>
          <w:r>
            <w:rPr>
              <w:rFonts w:hint="eastAsia" w:ascii="仿宋" w:hAnsi="仿宋" w:eastAsia="仿宋"/>
              <w:highlight w:val="none"/>
            </w:rPr>
            <w:t>节 综合交通</w:t>
          </w:r>
          <w:r>
            <w:rPr>
              <w:rFonts w:ascii="仿宋" w:hAnsi="仿宋" w:eastAsia="仿宋"/>
              <w:highlight w:val="none"/>
            </w:rPr>
            <w:t>体系</w:t>
          </w:r>
          <w:r>
            <w:tab/>
          </w:r>
          <w:r>
            <w:fldChar w:fldCharType="begin"/>
          </w:r>
          <w:r>
            <w:instrText xml:space="preserve"> PAGEREF _Toc19667 \h </w:instrText>
          </w:r>
          <w:r>
            <w:fldChar w:fldCharType="separate"/>
          </w:r>
          <w:r>
            <w:t>95</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_Toc19458 </w:instrText>
          </w:r>
          <w:r>
            <w:rPr>
              <w:highlight w:val="none"/>
            </w:rPr>
            <w:fldChar w:fldCharType="separate"/>
          </w:r>
          <w:r>
            <w:rPr>
              <w:rFonts w:hint="eastAsia" w:ascii="仿宋" w:hAnsi="仿宋" w:eastAsia="仿宋"/>
              <w:highlight w:val="none"/>
            </w:rPr>
            <w:t>第</w:t>
          </w:r>
          <w:r>
            <w:rPr>
              <w:rFonts w:ascii="仿宋" w:hAnsi="仿宋" w:eastAsia="仿宋"/>
              <w:highlight w:val="none"/>
            </w:rPr>
            <w:t>2</w:t>
          </w:r>
          <w:r>
            <w:rPr>
              <w:rFonts w:hint="eastAsia" w:ascii="仿宋" w:hAnsi="仿宋" w:eastAsia="仿宋"/>
              <w:highlight w:val="none"/>
            </w:rPr>
            <w:t>节 公共服务</w:t>
          </w:r>
          <w:r>
            <w:rPr>
              <w:rFonts w:ascii="仿宋" w:hAnsi="仿宋" w:eastAsia="仿宋"/>
              <w:highlight w:val="none"/>
            </w:rPr>
            <w:t>设施</w:t>
          </w:r>
          <w:r>
            <w:tab/>
          </w:r>
          <w:r>
            <w:fldChar w:fldCharType="begin"/>
          </w:r>
          <w:r>
            <w:instrText xml:space="preserve"> PAGEREF _Toc19458 \h </w:instrText>
          </w:r>
          <w:r>
            <w:fldChar w:fldCharType="separate"/>
          </w:r>
          <w:r>
            <w:t>103</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_Toc209 </w:instrText>
          </w:r>
          <w:r>
            <w:rPr>
              <w:highlight w:val="none"/>
            </w:rPr>
            <w:fldChar w:fldCharType="separate"/>
          </w:r>
          <w:r>
            <w:rPr>
              <w:rFonts w:hint="eastAsia" w:ascii="仿宋" w:hAnsi="仿宋" w:eastAsia="仿宋"/>
              <w:highlight w:val="none"/>
            </w:rPr>
            <w:t>第</w:t>
          </w:r>
          <w:r>
            <w:rPr>
              <w:rFonts w:ascii="仿宋" w:hAnsi="仿宋" w:eastAsia="仿宋"/>
              <w:highlight w:val="none"/>
            </w:rPr>
            <w:t>3</w:t>
          </w:r>
          <w:r>
            <w:rPr>
              <w:rFonts w:hint="eastAsia" w:ascii="仿宋" w:hAnsi="仿宋" w:eastAsia="仿宋"/>
              <w:highlight w:val="none"/>
            </w:rPr>
            <w:t>节 市政基础</w:t>
          </w:r>
          <w:r>
            <w:rPr>
              <w:rFonts w:ascii="仿宋" w:hAnsi="仿宋" w:eastAsia="仿宋"/>
              <w:highlight w:val="none"/>
            </w:rPr>
            <w:t>设施</w:t>
          </w:r>
          <w:r>
            <w:tab/>
          </w:r>
          <w:r>
            <w:fldChar w:fldCharType="begin"/>
          </w:r>
          <w:r>
            <w:instrText xml:space="preserve"> PAGEREF _Toc209 \h </w:instrText>
          </w:r>
          <w:r>
            <w:fldChar w:fldCharType="separate"/>
          </w:r>
          <w:r>
            <w:t>110</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_Toc16514 </w:instrText>
          </w:r>
          <w:r>
            <w:rPr>
              <w:highlight w:val="none"/>
            </w:rPr>
            <w:fldChar w:fldCharType="separate"/>
          </w:r>
          <w:r>
            <w:rPr>
              <w:rFonts w:hint="eastAsia" w:ascii="仿宋" w:hAnsi="仿宋" w:eastAsia="仿宋"/>
              <w:highlight w:val="none"/>
            </w:rPr>
            <w:t>第</w:t>
          </w:r>
          <w:r>
            <w:rPr>
              <w:rFonts w:ascii="仿宋" w:hAnsi="仿宋" w:eastAsia="仿宋"/>
              <w:highlight w:val="none"/>
            </w:rPr>
            <w:t>4</w:t>
          </w:r>
          <w:r>
            <w:rPr>
              <w:rFonts w:hint="eastAsia" w:ascii="仿宋" w:hAnsi="仿宋" w:eastAsia="仿宋"/>
              <w:highlight w:val="none"/>
            </w:rPr>
            <w:t>节 公共安全与</w:t>
          </w:r>
          <w:r>
            <w:rPr>
              <w:rFonts w:ascii="仿宋" w:hAnsi="仿宋" w:eastAsia="仿宋"/>
              <w:highlight w:val="none"/>
            </w:rPr>
            <w:t>综合防灾</w:t>
          </w:r>
          <w:r>
            <w:tab/>
          </w:r>
          <w:r>
            <w:fldChar w:fldCharType="begin"/>
          </w:r>
          <w:r>
            <w:instrText xml:space="preserve"> PAGEREF _Toc16514 \h </w:instrText>
          </w:r>
          <w:r>
            <w:fldChar w:fldCharType="separate"/>
          </w:r>
          <w:r>
            <w:t>124</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_Toc18311 </w:instrText>
          </w:r>
          <w:r>
            <w:rPr>
              <w:highlight w:val="none"/>
            </w:rPr>
            <w:fldChar w:fldCharType="separate"/>
          </w:r>
          <w:r>
            <w:rPr>
              <w:rFonts w:hint="eastAsia" w:ascii="仿宋" w:hAnsi="仿宋" w:eastAsia="仿宋"/>
              <w:highlight w:val="none"/>
            </w:rPr>
            <w:t>第十二章 规划实施</w:t>
          </w:r>
          <w:r>
            <w:tab/>
          </w:r>
          <w:r>
            <w:fldChar w:fldCharType="begin"/>
          </w:r>
          <w:r>
            <w:instrText xml:space="preserve"> PAGEREF _Toc18311 \h </w:instrText>
          </w:r>
          <w:r>
            <w:fldChar w:fldCharType="separate"/>
          </w:r>
          <w:r>
            <w:t>130</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_Toc32480 </w:instrText>
          </w:r>
          <w:r>
            <w:rPr>
              <w:highlight w:val="none"/>
            </w:rPr>
            <w:fldChar w:fldCharType="separate"/>
          </w:r>
          <w:r>
            <w:rPr>
              <w:rFonts w:ascii="仿宋" w:hAnsi="仿宋" w:eastAsia="仿宋"/>
              <w:highlight w:val="none"/>
            </w:rPr>
            <w:t xml:space="preserve">第1节 </w:t>
          </w:r>
          <w:r>
            <w:rPr>
              <w:rFonts w:hint="eastAsia" w:ascii="仿宋" w:hAnsi="仿宋" w:eastAsia="仿宋"/>
              <w:highlight w:val="none"/>
            </w:rPr>
            <w:t>规划传导</w:t>
          </w:r>
          <w:r>
            <w:tab/>
          </w:r>
          <w:r>
            <w:fldChar w:fldCharType="begin"/>
          </w:r>
          <w:r>
            <w:instrText xml:space="preserve"> PAGEREF _Toc32480 \h </w:instrText>
          </w:r>
          <w:r>
            <w:fldChar w:fldCharType="separate"/>
          </w:r>
          <w:r>
            <w:t>130</w:t>
          </w:r>
          <w:r>
            <w:fldChar w:fldCharType="end"/>
          </w:r>
          <w:r>
            <w:rPr>
              <w:color w:val="000000" w:themeColor="text1"/>
              <w:highlight w:val="none"/>
              <w14:textFill>
                <w14:solidFill>
                  <w14:schemeClr w14:val="tx1"/>
                </w14:solidFill>
              </w14:textFill>
            </w:rPr>
            <w:fldChar w:fldCharType="end"/>
          </w:r>
        </w:p>
        <w:p>
          <w:pPr>
            <w:pStyle w:val="10"/>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_Toc22412 </w:instrText>
          </w:r>
          <w:r>
            <w:rPr>
              <w:highlight w:val="none"/>
            </w:rPr>
            <w:fldChar w:fldCharType="separate"/>
          </w:r>
          <w:r>
            <w:rPr>
              <w:rFonts w:ascii="仿宋" w:hAnsi="仿宋" w:eastAsia="仿宋"/>
              <w:highlight w:val="none"/>
            </w:rPr>
            <w:t xml:space="preserve">第2节 </w:t>
          </w:r>
          <w:r>
            <w:rPr>
              <w:rFonts w:hint="eastAsia" w:ascii="仿宋" w:hAnsi="仿宋" w:eastAsia="仿宋"/>
              <w:highlight w:val="none"/>
            </w:rPr>
            <w:t>近期安排</w:t>
          </w:r>
          <w:r>
            <w:tab/>
          </w:r>
          <w:r>
            <w:fldChar w:fldCharType="begin"/>
          </w:r>
          <w:r>
            <w:instrText xml:space="preserve"> PAGEREF _Toc22412 \h </w:instrText>
          </w:r>
          <w:r>
            <w:fldChar w:fldCharType="separate"/>
          </w:r>
          <w:r>
            <w:t>131</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_Toc26000 </w:instrText>
          </w:r>
          <w:r>
            <w:rPr>
              <w:highlight w:val="none"/>
            </w:rPr>
            <w:fldChar w:fldCharType="separate"/>
          </w:r>
          <w:r>
            <w:rPr>
              <w:rFonts w:hint="eastAsia" w:ascii="仿宋" w:hAnsi="仿宋" w:eastAsia="仿宋"/>
              <w:bCs/>
              <w:highlight w:val="none"/>
            </w:rPr>
            <w:t>附表1：规划指标表</w:t>
          </w:r>
          <w:r>
            <w:tab/>
          </w:r>
          <w:r>
            <w:fldChar w:fldCharType="begin"/>
          </w:r>
          <w:r>
            <w:instrText xml:space="preserve"> PAGEREF _Toc26000 \h </w:instrText>
          </w:r>
          <w:r>
            <w:fldChar w:fldCharType="separate"/>
          </w:r>
          <w:r>
            <w:t>133</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_Toc30423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2</w:t>
          </w:r>
          <w:r>
            <w:rPr>
              <w:rFonts w:hint="eastAsia" w:ascii="仿宋" w:hAnsi="仿宋" w:eastAsia="仿宋"/>
              <w:bCs/>
              <w:highlight w:val="none"/>
            </w:rPr>
            <w:t>：县域规划分区统计表</w:t>
          </w:r>
          <w:r>
            <w:tab/>
          </w:r>
          <w:r>
            <w:fldChar w:fldCharType="begin"/>
          </w:r>
          <w:r>
            <w:instrText xml:space="preserve"> PAGEREF _Toc30423 \h </w:instrText>
          </w:r>
          <w:r>
            <w:fldChar w:fldCharType="separate"/>
          </w:r>
          <w:r>
            <w:t>135</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_Toc18108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3</w:t>
          </w:r>
          <w:r>
            <w:rPr>
              <w:rFonts w:hint="eastAsia" w:ascii="仿宋" w:hAnsi="仿宋" w:eastAsia="仿宋"/>
              <w:bCs/>
              <w:highlight w:val="none"/>
            </w:rPr>
            <w:t>：中心城区城镇集中建设区规划分区统计表</w:t>
          </w:r>
          <w:r>
            <w:tab/>
          </w:r>
          <w:r>
            <w:fldChar w:fldCharType="begin"/>
          </w:r>
          <w:r>
            <w:instrText xml:space="preserve"> PAGEREF _Toc18108 \h </w:instrText>
          </w:r>
          <w:r>
            <w:fldChar w:fldCharType="separate"/>
          </w:r>
          <w:r>
            <w:t>136</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_Toc27340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4</w:t>
          </w:r>
          <w:r>
            <w:rPr>
              <w:rFonts w:hint="eastAsia" w:ascii="仿宋" w:hAnsi="仿宋" w:eastAsia="仿宋"/>
              <w:bCs/>
              <w:highlight w:val="none"/>
            </w:rPr>
            <w:t>：国土空间功能结构调整表</w:t>
          </w:r>
          <w:r>
            <w:tab/>
          </w:r>
          <w:r>
            <w:fldChar w:fldCharType="begin"/>
          </w:r>
          <w:r>
            <w:instrText xml:space="preserve"> PAGEREF _Toc27340 \h </w:instrText>
          </w:r>
          <w:r>
            <w:fldChar w:fldCharType="separate"/>
          </w:r>
          <w:r>
            <w:t>136</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_Toc9871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5</w:t>
          </w:r>
          <w:r>
            <w:rPr>
              <w:rFonts w:hint="eastAsia" w:ascii="仿宋" w:hAnsi="仿宋" w:eastAsia="仿宋"/>
              <w:bCs/>
              <w:highlight w:val="none"/>
            </w:rPr>
            <w:t>：建设用地指标分解表</w:t>
          </w:r>
          <w:r>
            <w:tab/>
          </w:r>
          <w:r>
            <w:fldChar w:fldCharType="begin"/>
          </w:r>
          <w:r>
            <w:instrText xml:space="preserve"> PAGEREF _Toc9871 \h </w:instrText>
          </w:r>
          <w:r>
            <w:fldChar w:fldCharType="separate"/>
          </w:r>
          <w:r>
            <w:t>137</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_Toc4576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6</w:t>
          </w:r>
          <w:r>
            <w:rPr>
              <w:rFonts w:hint="eastAsia" w:ascii="仿宋" w:hAnsi="仿宋" w:eastAsia="仿宋"/>
              <w:bCs/>
              <w:highlight w:val="none"/>
            </w:rPr>
            <w:t>：自然保护地一览表</w:t>
          </w:r>
          <w:r>
            <w:tab/>
          </w:r>
          <w:r>
            <w:fldChar w:fldCharType="begin"/>
          </w:r>
          <w:r>
            <w:instrText xml:space="preserve"> PAGEREF _Toc4576 \h </w:instrText>
          </w:r>
          <w:r>
            <w:fldChar w:fldCharType="separate"/>
          </w:r>
          <w:r>
            <w:t>139</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_Toc28886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7</w:t>
          </w:r>
          <w:r>
            <w:rPr>
              <w:rFonts w:hint="eastAsia" w:ascii="仿宋" w:hAnsi="仿宋" w:eastAsia="仿宋"/>
              <w:bCs/>
              <w:highlight w:val="none"/>
            </w:rPr>
            <w:t>：城镇规模等级结构一览表</w:t>
          </w:r>
          <w:r>
            <w:tab/>
          </w:r>
          <w:r>
            <w:fldChar w:fldCharType="begin"/>
          </w:r>
          <w:r>
            <w:instrText xml:space="preserve"> PAGEREF _Toc28886 \h </w:instrText>
          </w:r>
          <w:r>
            <w:fldChar w:fldCharType="separate"/>
          </w:r>
          <w:r>
            <w:t>139</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_Toc15143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8</w:t>
          </w:r>
          <w:r>
            <w:rPr>
              <w:rFonts w:hint="eastAsia" w:ascii="仿宋" w:hAnsi="仿宋" w:eastAsia="仿宋"/>
              <w:bCs/>
              <w:highlight w:val="none"/>
            </w:rPr>
            <w:t>：生态保护红线、湿地指标分解表</w:t>
          </w:r>
          <w:r>
            <w:tab/>
          </w:r>
          <w:r>
            <w:fldChar w:fldCharType="begin"/>
          </w:r>
          <w:r>
            <w:instrText xml:space="preserve"> PAGEREF _Toc15143 \h </w:instrText>
          </w:r>
          <w:r>
            <w:fldChar w:fldCharType="separate"/>
          </w:r>
          <w:r>
            <w:t>140</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_Toc2250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9</w:t>
          </w:r>
          <w:r>
            <w:rPr>
              <w:rFonts w:hint="eastAsia" w:ascii="仿宋" w:hAnsi="仿宋" w:eastAsia="仿宋"/>
              <w:bCs/>
              <w:highlight w:val="none"/>
            </w:rPr>
            <w:t>：耕地、永久基本农田规划指标分解表</w:t>
          </w:r>
          <w:r>
            <w:tab/>
          </w:r>
          <w:r>
            <w:fldChar w:fldCharType="begin"/>
          </w:r>
          <w:r>
            <w:instrText xml:space="preserve"> PAGEREF _Toc2250 \h </w:instrText>
          </w:r>
          <w:r>
            <w:fldChar w:fldCharType="separate"/>
          </w:r>
          <w:r>
            <w:t>141</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_Toc13195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10</w:t>
          </w:r>
          <w:r>
            <w:rPr>
              <w:rFonts w:hint="eastAsia" w:ascii="仿宋" w:hAnsi="仿宋" w:eastAsia="仿宋"/>
              <w:bCs/>
              <w:highlight w:val="none"/>
            </w:rPr>
            <w:t>：林地保有量指标分解表</w:t>
          </w:r>
          <w:r>
            <w:tab/>
          </w:r>
          <w:r>
            <w:fldChar w:fldCharType="begin"/>
          </w:r>
          <w:r>
            <w:instrText xml:space="preserve"> PAGEREF _Toc13195 \h </w:instrText>
          </w:r>
          <w:r>
            <w:fldChar w:fldCharType="separate"/>
          </w:r>
          <w:r>
            <w:t>143</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_Toc27644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11</w:t>
          </w:r>
          <w:r>
            <w:rPr>
              <w:rFonts w:hint="eastAsia" w:ascii="仿宋" w:hAnsi="仿宋" w:eastAsia="仿宋"/>
              <w:bCs/>
              <w:highlight w:val="none"/>
            </w:rPr>
            <w:t>：历史文化资源一览表</w:t>
          </w:r>
          <w:r>
            <w:tab/>
          </w:r>
          <w:r>
            <w:fldChar w:fldCharType="begin"/>
          </w:r>
          <w:r>
            <w:instrText xml:space="preserve"> PAGEREF _Toc27644 \h </w:instrText>
          </w:r>
          <w:r>
            <w:fldChar w:fldCharType="separate"/>
          </w:r>
          <w:r>
            <w:t>144</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_Toc32124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12</w:t>
          </w:r>
          <w:r>
            <w:rPr>
              <w:rFonts w:hint="eastAsia" w:ascii="仿宋" w:hAnsi="仿宋" w:eastAsia="仿宋"/>
              <w:bCs/>
              <w:highlight w:val="none"/>
            </w:rPr>
            <w:t>：国土综合整治和生态修复重大工程安排表</w:t>
          </w:r>
          <w:r>
            <w:tab/>
          </w:r>
          <w:r>
            <w:fldChar w:fldCharType="begin"/>
          </w:r>
          <w:r>
            <w:instrText xml:space="preserve"> PAGEREF _Toc32124 \h </w:instrText>
          </w:r>
          <w:r>
            <w:fldChar w:fldCharType="separate"/>
          </w:r>
          <w:r>
            <w:t>147</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_Toc10675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13</w:t>
          </w:r>
          <w:r>
            <w:rPr>
              <w:rFonts w:hint="eastAsia" w:ascii="仿宋" w:hAnsi="仿宋" w:eastAsia="仿宋"/>
              <w:bCs/>
              <w:highlight w:val="none"/>
            </w:rPr>
            <w:t>：中心城区城镇建设用地结构规划表</w:t>
          </w:r>
          <w:r>
            <w:tab/>
          </w:r>
          <w:r>
            <w:fldChar w:fldCharType="begin"/>
          </w:r>
          <w:r>
            <w:instrText xml:space="preserve"> PAGEREF _Toc10675 \h </w:instrText>
          </w:r>
          <w:r>
            <w:fldChar w:fldCharType="separate"/>
          </w:r>
          <w:r>
            <w:t>150</w:t>
          </w:r>
          <w:r>
            <w:fldChar w:fldCharType="end"/>
          </w:r>
          <w:r>
            <w:rPr>
              <w:color w:val="000000" w:themeColor="text1"/>
              <w:highlight w:val="none"/>
              <w14:textFill>
                <w14:solidFill>
                  <w14:schemeClr w14:val="tx1"/>
                </w14:solidFill>
              </w14:textFill>
            </w:rPr>
            <w:fldChar w:fldCharType="end"/>
          </w:r>
        </w:p>
        <w:p>
          <w:pPr>
            <w:pStyle w:val="9"/>
            <w:pageBreakBefore w:val="0"/>
            <w:tabs>
              <w:tab w:val="right" w:leader="dot" w:pos="8306"/>
            </w:tabs>
            <w:kinsoku/>
            <w:wordWrap/>
            <w:overflowPunct/>
            <w:topLinePunct w:val="0"/>
            <w:autoSpaceDE/>
            <w:autoSpaceDN/>
            <w:bidi w:val="0"/>
            <w:spacing w:line="240" w:lineRule="auto"/>
            <w:textAlignment w:val="auto"/>
          </w:pPr>
          <w:r>
            <w:rPr>
              <w:color w:val="000000" w:themeColor="text1"/>
              <w:highlight w:val="none"/>
              <w14:textFill>
                <w14:solidFill>
                  <w14:schemeClr w14:val="tx1"/>
                </w14:solidFill>
              </w14:textFill>
            </w:rPr>
            <w:fldChar w:fldCharType="begin"/>
          </w:r>
          <w:r>
            <w:rPr>
              <w:highlight w:val="none"/>
            </w:rPr>
            <w:instrText xml:space="preserve"> HYPERLINK \l _Toc3927 </w:instrText>
          </w:r>
          <w:r>
            <w:rPr>
              <w:highlight w:val="none"/>
            </w:rPr>
            <w:fldChar w:fldCharType="separate"/>
          </w:r>
          <w:r>
            <w:rPr>
              <w:rFonts w:hint="eastAsia" w:ascii="仿宋" w:hAnsi="仿宋" w:eastAsia="仿宋"/>
              <w:bCs/>
              <w:highlight w:val="none"/>
            </w:rPr>
            <w:t>附表</w:t>
          </w:r>
          <w:r>
            <w:rPr>
              <w:rFonts w:ascii="仿宋" w:hAnsi="仿宋" w:eastAsia="仿宋"/>
              <w:bCs/>
              <w:highlight w:val="none"/>
            </w:rPr>
            <w:t>14</w:t>
          </w:r>
          <w:r>
            <w:rPr>
              <w:rFonts w:hint="eastAsia" w:ascii="仿宋" w:hAnsi="仿宋" w:eastAsia="仿宋"/>
              <w:bCs/>
              <w:highlight w:val="none"/>
            </w:rPr>
            <w:t>：县级以上重大建设项目汇总表</w:t>
          </w:r>
          <w:r>
            <w:tab/>
          </w:r>
          <w:r>
            <w:fldChar w:fldCharType="begin"/>
          </w:r>
          <w:r>
            <w:instrText xml:space="preserve"> PAGEREF _Toc3927 \h </w:instrText>
          </w:r>
          <w:r>
            <w:fldChar w:fldCharType="separate"/>
          </w:r>
          <w:r>
            <w:t>150</w:t>
          </w:r>
          <w:r>
            <w:fldChar w:fldCharType="end"/>
          </w:r>
          <w:r>
            <w:rPr>
              <w:color w:val="000000" w:themeColor="text1"/>
              <w:highlight w:val="none"/>
              <w14:textFill>
                <w14:solidFill>
                  <w14:schemeClr w14:val="tx1"/>
                </w14:solidFill>
              </w14:textFill>
            </w:rPr>
            <w:fldChar w:fldCharType="end"/>
          </w:r>
        </w:p>
        <w:p>
          <w:pPr>
            <w:pageBreakBefore w:val="0"/>
            <w:kinsoku/>
            <w:wordWrap/>
            <w:overflowPunct/>
            <w:topLinePunct w:val="0"/>
            <w:autoSpaceDE/>
            <w:autoSpaceDN/>
            <w:bidi w:val="0"/>
            <w:adjustRightInd w:val="0"/>
            <w:snapToGrid w:val="0"/>
            <w:spacing w:line="240" w:lineRule="auto"/>
            <w:textAlignment w:val="auto"/>
            <w:rPr>
              <w:color w:val="000000" w:themeColor="text1"/>
              <w:highlight w:val="none"/>
              <w14:textFill>
                <w14:solidFill>
                  <w14:schemeClr w14:val="tx1"/>
                </w14:solidFill>
              </w14:textFill>
            </w:rPr>
            <w:sectPr>
              <w:footerReference r:id="rId5" w:type="default"/>
              <w:pgSz w:w="11906" w:h="16838"/>
              <w:pgMar w:top="1440" w:right="1800" w:bottom="1440" w:left="1800" w:header="851" w:footer="992" w:gutter="0"/>
              <w:pgNumType w:fmt="decimal" w:start="1"/>
              <w:cols w:space="425" w:num="1"/>
              <w:docGrid w:type="lines" w:linePitch="312" w:charSpace="0"/>
            </w:sectPr>
          </w:pPr>
          <w:r>
            <w:rPr>
              <w:color w:val="000000" w:themeColor="text1"/>
              <w:highlight w:val="none"/>
              <w14:textFill>
                <w14:solidFill>
                  <w14:schemeClr w14:val="tx1"/>
                </w14:solidFill>
              </w14:textFill>
            </w:rPr>
            <w:fldChar w:fldCharType="end"/>
          </w:r>
        </w:p>
      </w:sdtContent>
    </w:sdt>
    <w:p>
      <w:pPr>
        <w:pStyle w:val="3"/>
        <w:pageBreakBefore/>
        <w:widowControl/>
        <w:jc w:val="center"/>
        <w:rPr>
          <w:rFonts w:ascii="仿宋" w:hAnsi="仿宋" w:eastAsia="仿宋"/>
          <w:color w:val="000000" w:themeColor="text1"/>
          <w:highlight w:val="none"/>
          <w14:textFill>
            <w14:solidFill>
              <w14:schemeClr w14:val="tx1"/>
            </w14:solidFill>
          </w14:textFill>
        </w:rPr>
      </w:pPr>
      <w:bookmarkStart w:id="0" w:name="_Toc2215"/>
      <w:r>
        <w:rPr>
          <w:rFonts w:hint="eastAsia" w:ascii="仿宋" w:hAnsi="仿宋" w:eastAsia="仿宋"/>
          <w:color w:val="000000" w:themeColor="text1"/>
          <w:highlight w:val="none"/>
          <w14:textFill>
            <w14:solidFill>
              <w14:schemeClr w14:val="tx1"/>
            </w14:solidFill>
          </w14:textFill>
        </w:rPr>
        <w:t>前言</w:t>
      </w:r>
      <w:bookmarkEnd w:id="0"/>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国土空间规划是贯彻落实习近平生态文明思想、体现新发展理 念、引领高质量发展的重要抓手，是空间发展的指南和可持续发展的 蓝图，建立“多规合一”的国土空间规划体系并监督实施是党中央、 国务院实施的重大战略。按</w:t>
      </w:r>
      <w:r>
        <w:rPr>
          <w:rFonts w:hint="eastAsia" w:ascii="仿宋" w:hAnsi="仿宋" w:eastAsia="仿宋"/>
          <w:b/>
          <w:bCs/>
          <w:color w:val="000000" w:themeColor="text1"/>
          <w:highlight w:val="none"/>
          <w14:textFill>
            <w14:solidFill>
              <w14:schemeClr w14:val="tx1"/>
            </w14:solidFill>
          </w14:textFill>
        </w:rPr>
        <w:t>照</w:t>
      </w:r>
      <w:r>
        <w:rPr>
          <w:rFonts w:hint="eastAsia" w:ascii="仿宋" w:hAnsi="仿宋" w:eastAsia="仿宋"/>
          <w:b/>
          <w:bCs/>
          <w:color w:val="000000" w:themeColor="text1"/>
          <w:highlight w:val="none"/>
          <w:lang w:eastAsia="zh-CN"/>
          <w14:textFill>
            <w14:solidFill>
              <w14:schemeClr w14:val="tx1"/>
            </w14:solidFill>
          </w14:textFill>
        </w:rPr>
        <w:t>湖北省</w:t>
      </w:r>
      <w:r>
        <w:rPr>
          <w:rFonts w:hint="eastAsia" w:ascii="仿宋" w:hAnsi="仿宋" w:eastAsia="仿宋"/>
          <w:b/>
          <w:bCs/>
          <w:color w:val="000000" w:themeColor="text1"/>
          <w:highlight w:val="none"/>
          <w14:textFill>
            <w14:solidFill>
              <w14:schemeClr w14:val="tx1"/>
            </w14:solidFill>
          </w14:textFill>
        </w:rPr>
        <w:t>统一部署，由广水市人民组织编制《广水市国土空间总体规划（</w:t>
      </w:r>
      <w:r>
        <w:rPr>
          <w:rFonts w:ascii="仿宋" w:hAnsi="仿宋" w:eastAsia="仿宋"/>
          <w:b/>
          <w:bCs/>
          <w:color w:val="000000" w:themeColor="text1"/>
          <w:highlight w:val="none"/>
          <w14:textFill>
            <w14:solidFill>
              <w14:schemeClr w14:val="tx1"/>
            </w14:solidFill>
          </w14:textFill>
        </w:rPr>
        <w:t>2021</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 xml:space="preserve">2035 </w:t>
      </w:r>
      <w:r>
        <w:rPr>
          <w:rFonts w:hint="eastAsia" w:ascii="仿宋" w:hAnsi="仿宋" w:eastAsia="仿宋"/>
          <w:b/>
          <w:bCs/>
          <w:color w:val="000000" w:themeColor="text1"/>
          <w:highlight w:val="none"/>
          <w14:textFill>
            <w14:solidFill>
              <w14:schemeClr w14:val="tx1"/>
            </w14:solidFill>
          </w14:textFill>
        </w:rPr>
        <w:t>年）》（以下简称《规划》）。</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《规划》是对《</w:t>
      </w:r>
      <w:r>
        <w:rPr>
          <w:rFonts w:hint="eastAsia" w:ascii="仿宋" w:hAnsi="仿宋" w:eastAsia="仿宋"/>
          <w:b/>
          <w:bCs/>
          <w:color w:val="000000" w:themeColor="text1"/>
          <w:highlight w:val="none"/>
          <w14:textFill>
            <w14:solidFill>
              <w14:schemeClr w14:val="tx1"/>
            </w14:solidFill>
          </w14:textFill>
        </w:rPr>
        <w:t>湖北省国土空间规划（</w:t>
      </w:r>
      <w:r>
        <w:rPr>
          <w:rFonts w:ascii="仿宋" w:hAnsi="仿宋" w:eastAsia="仿宋"/>
          <w:b/>
          <w:bCs/>
          <w:color w:val="000000" w:themeColor="text1"/>
          <w:highlight w:val="none"/>
          <w14:textFill>
            <w14:solidFill>
              <w14:schemeClr w14:val="tx1"/>
            </w14:solidFill>
          </w14:textFill>
        </w:rPr>
        <w:t>2021</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 xml:space="preserve">2035 </w:t>
      </w:r>
      <w:r>
        <w:rPr>
          <w:rFonts w:hint="eastAsia" w:ascii="仿宋" w:hAnsi="仿宋" w:eastAsia="仿宋"/>
          <w:b/>
          <w:bCs/>
          <w:color w:val="000000" w:themeColor="text1"/>
          <w:highlight w:val="none"/>
          <w14:textFill>
            <w14:solidFill>
              <w14:schemeClr w14:val="tx1"/>
            </w14:solidFill>
          </w14:textFill>
        </w:rPr>
        <w:t>年）</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随州市国土空间总体规划（</w:t>
      </w:r>
      <w:r>
        <w:rPr>
          <w:rFonts w:ascii="仿宋" w:hAnsi="仿宋" w:eastAsia="仿宋"/>
          <w:b/>
          <w:bCs/>
          <w:color w:val="000000" w:themeColor="text1"/>
          <w:highlight w:val="none"/>
          <w14:textFill>
            <w14:solidFill>
              <w14:schemeClr w14:val="tx1"/>
            </w14:solidFill>
          </w14:textFill>
        </w:rPr>
        <w:t>2021</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 xml:space="preserve">2035 </w:t>
      </w:r>
      <w:r>
        <w:rPr>
          <w:rFonts w:hint="eastAsia" w:ascii="仿宋" w:hAnsi="仿宋" w:eastAsia="仿宋"/>
          <w:b/>
          <w:bCs/>
          <w:color w:val="000000" w:themeColor="text1"/>
          <w:highlight w:val="none"/>
          <w14:textFill>
            <w14:solidFill>
              <w14:schemeClr w14:val="tx1"/>
            </w14:solidFill>
          </w14:textFill>
        </w:rPr>
        <w:t>年）》</w:t>
      </w:r>
      <w:r>
        <w:rPr>
          <w:rFonts w:hint="eastAsia" w:ascii="仿宋" w:hAnsi="仿宋" w:eastAsia="仿宋"/>
          <w:color w:val="000000" w:themeColor="text1"/>
          <w:highlight w:val="none"/>
          <w14:textFill>
            <w14:solidFill>
              <w14:schemeClr w14:val="tx1"/>
            </w14:solidFill>
          </w14:textFill>
        </w:rPr>
        <w:t>的深化和落实，是对广水市</w:t>
      </w:r>
      <w:r>
        <w:rPr>
          <w:rFonts w:hint="eastAsia" w:ascii="仿宋" w:hAnsi="仿宋" w:eastAsia="仿宋"/>
          <w:b/>
          <w:bCs/>
          <w:color w:val="000000" w:themeColor="text1"/>
          <w:highlight w:val="none"/>
          <w14:textFill>
            <w14:solidFill>
              <w14:schemeClr w14:val="tx1"/>
            </w14:solidFill>
          </w14:textFill>
        </w:rPr>
        <w:t>全域范围未来15年国土空间开发保护的总体安排</w:t>
      </w:r>
      <w:r>
        <w:rPr>
          <w:rFonts w:hint="eastAsia" w:ascii="仿宋" w:hAnsi="仿宋" w:eastAsia="仿宋"/>
          <w:color w:val="000000" w:themeColor="text1"/>
          <w:highlight w:val="none"/>
          <w14:textFill>
            <w14:solidFill>
              <w14:schemeClr w14:val="tx1"/>
            </w14:solidFill>
          </w14:textFill>
        </w:rPr>
        <w:t>，是指导城乡各类开发建设活动、开展国土空间资源保护利用与修复、制定空间发展政策和实施国土管理的依据，是编制相关专项规划、详细规划的</w:t>
      </w:r>
      <w:r>
        <w:rPr>
          <w:rFonts w:hint="eastAsia" w:ascii="仿宋" w:hAnsi="仿宋" w:eastAsia="仿宋"/>
          <w:color w:val="000000" w:themeColor="text1"/>
          <w:highlight w:val="none"/>
          <w:lang w:eastAsia="zh-CN"/>
          <w14:textFill>
            <w14:solidFill>
              <w14:schemeClr w14:val="tx1"/>
            </w14:solidFill>
          </w14:textFill>
        </w:rPr>
        <w:t>依据</w:t>
      </w:r>
      <w:r>
        <w:rPr>
          <w:rFonts w:hint="eastAsia" w:ascii="仿宋" w:hAnsi="仿宋" w:eastAsia="仿宋"/>
          <w:color w:val="000000" w:themeColor="text1"/>
          <w:highlight w:val="none"/>
          <w14:textFill>
            <w14:solidFill>
              <w14:schemeClr w14:val="tx1"/>
            </w14:solidFill>
          </w14:textFill>
        </w:rPr>
        <w:t>。凡在县</w:t>
      </w:r>
      <w:r>
        <w:rPr>
          <w:rFonts w:hint="eastAsia" w:ascii="仿宋" w:hAnsi="仿宋" w:eastAsia="仿宋"/>
          <w:b/>
          <w:bCs/>
          <w:color w:val="000000" w:themeColor="text1"/>
          <w:highlight w:val="none"/>
          <w14:textFill>
            <w14:solidFill>
              <w14:schemeClr w14:val="tx1"/>
            </w14:solidFill>
          </w14:textFill>
        </w:rPr>
        <w:t>域范围内涉及国土空间开发利用与保护的各项建设活动均应符合《规划》</w:t>
      </w:r>
      <w:r>
        <w:rPr>
          <w:rFonts w:hint="eastAsia" w:ascii="仿宋" w:hAnsi="仿宋" w:eastAsia="仿宋"/>
          <w:color w:val="000000" w:themeColor="text1"/>
          <w:highlight w:val="none"/>
          <w14:textFill>
            <w14:solidFill>
              <w14:schemeClr w14:val="tx1"/>
            </w14:solidFill>
          </w14:textFill>
        </w:rPr>
        <w:t>。</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《规划》以高质量发展统揽全局，以实现社会主义现代化为目标，</w:t>
      </w:r>
      <w:r>
        <w:rPr>
          <w:rFonts w:hint="eastAsia" w:ascii="仿宋" w:hAnsi="仿宋" w:eastAsia="仿宋"/>
          <w:b/>
          <w:bCs/>
          <w:color w:val="000000" w:themeColor="text1"/>
          <w:highlight w:val="none"/>
          <w14:textFill>
            <w14:solidFill>
              <w14:schemeClr w14:val="tx1"/>
            </w14:solidFill>
          </w14:textFill>
        </w:rPr>
        <w:t>保障新型工业化、信息化、城镇化、农业现代化的“四化同步建设”</w:t>
      </w:r>
      <w:r>
        <w:rPr>
          <w:rFonts w:hint="eastAsia" w:ascii="仿宋" w:hAnsi="仿宋" w:eastAsia="仿宋"/>
          <w:color w:val="000000" w:themeColor="text1"/>
          <w:highlight w:val="none"/>
          <w14:textFill>
            <w14:solidFill>
              <w14:schemeClr w14:val="tx1"/>
            </w14:solidFill>
          </w14:textFill>
        </w:rPr>
        <w:t>， 加快形成“融群进圈、桥连楚豫、多点发展”联动发展的新格局</w:t>
      </w:r>
      <w:r>
        <w:rPr>
          <w:rFonts w:hint="eastAsia" w:cs="仿宋_GB2312"/>
          <w:color w:val="000000" w:themeColor="text1"/>
          <w:szCs w:val="32"/>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全力保障“</w:t>
      </w:r>
      <w:r>
        <w:rPr>
          <w:rFonts w:hint="eastAsia" w:ascii="仿宋" w:hAnsi="仿宋" w:eastAsia="仿宋"/>
          <w:b/>
          <w:bCs/>
          <w:color w:val="000000" w:themeColor="text1"/>
          <w:highlight w:val="none"/>
          <w14:textFill>
            <w14:solidFill>
              <w14:schemeClr w14:val="tx1"/>
            </w14:solidFill>
          </w14:textFill>
        </w:rPr>
        <w:t>特种装备、新能源、精细化工、循环经济</w:t>
      </w:r>
      <w:r>
        <w:rPr>
          <w:rFonts w:hint="eastAsia" w:ascii="仿宋" w:hAnsi="仿宋" w:eastAsia="仿宋"/>
          <w:color w:val="000000" w:themeColor="text1"/>
          <w:highlight w:val="none"/>
          <w14:textFill>
            <w14:solidFill>
              <w14:schemeClr w14:val="tx1"/>
            </w14:solidFill>
          </w14:textFill>
        </w:rPr>
        <w:t>”新产业空间，致力建设</w:t>
      </w:r>
      <w:r>
        <w:rPr>
          <w:rFonts w:hint="eastAsia" w:ascii="仿宋" w:hAnsi="仿宋" w:eastAsia="仿宋"/>
          <w:b/>
          <w:bCs/>
          <w:color w:val="000000" w:themeColor="text1"/>
          <w:highlight w:val="none"/>
          <w14:textFill>
            <w14:solidFill>
              <w14:schemeClr w14:val="tx1"/>
            </w14:solidFill>
          </w14:textFill>
        </w:rPr>
        <w:t>以“风机名城、现代农谷、文旅胜地”为特色的节点城市。</w:t>
      </w:r>
    </w:p>
    <w:p>
      <w:pPr>
        <w:rPr>
          <w:color w:val="000000" w:themeColor="text1"/>
          <w:highlight w:val="none"/>
          <w14:textFill>
            <w14:solidFill>
              <w14:schemeClr w14:val="tx1"/>
            </w14:solidFill>
          </w14:textFill>
        </w:rPr>
      </w:pPr>
    </w:p>
    <w:p>
      <w:pPr>
        <w:pStyle w:val="3"/>
        <w:pageBreakBefore/>
        <w:widowControl/>
        <w:rPr>
          <w:rFonts w:ascii="仿宋" w:hAnsi="仿宋" w:eastAsia="仿宋"/>
          <w:color w:val="000000" w:themeColor="text1"/>
          <w:highlight w:val="none"/>
          <w14:textFill>
            <w14:solidFill>
              <w14:schemeClr w14:val="tx1"/>
            </w14:solidFill>
          </w14:textFill>
        </w:rPr>
      </w:pPr>
      <w:bookmarkStart w:id="1" w:name="_Toc7343"/>
      <w:r>
        <w:rPr>
          <w:rFonts w:hint="eastAsia" w:ascii="仿宋" w:hAnsi="仿宋" w:eastAsia="仿宋"/>
          <w:color w:val="000000" w:themeColor="text1"/>
          <w:highlight w:val="none"/>
          <w14:textFill>
            <w14:solidFill>
              <w14:schemeClr w14:val="tx1"/>
            </w14:solidFill>
          </w14:textFill>
        </w:rPr>
        <w:t>第一章 总则</w:t>
      </w:r>
      <w:bookmarkEnd w:id="1"/>
    </w:p>
    <w:p>
      <w:pPr>
        <w:pStyle w:val="4"/>
        <w:rPr>
          <w:rFonts w:ascii="仿宋" w:hAnsi="仿宋" w:eastAsia="仿宋"/>
          <w:color w:val="000000" w:themeColor="text1"/>
          <w:highlight w:val="none"/>
          <w14:textFill>
            <w14:solidFill>
              <w14:schemeClr w14:val="tx1"/>
            </w14:solidFill>
          </w14:textFill>
        </w:rPr>
      </w:pPr>
      <w:bookmarkStart w:id="2" w:name="_Toc15473"/>
      <w:r>
        <w:rPr>
          <w:rFonts w:hint="eastAsia" w:ascii="仿宋" w:hAnsi="仿宋" w:eastAsia="仿宋"/>
          <w:color w:val="000000" w:themeColor="text1"/>
          <w:highlight w:val="none"/>
          <w14:textFill>
            <w14:solidFill>
              <w14:schemeClr w14:val="tx1"/>
            </w14:solidFill>
          </w14:textFill>
        </w:rPr>
        <w:t>第1节 规划目的</w:t>
      </w:r>
      <w:bookmarkEnd w:id="2"/>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本规划是对广水市市域范围内国土空间开发保护</w:t>
      </w:r>
      <w:r>
        <w:rPr>
          <w:rFonts w:hint="eastAsia" w:ascii="仿宋" w:hAnsi="仿宋" w:eastAsia="仿宋"/>
          <w:color w:val="000000" w:themeColor="text1"/>
          <w:highlight w:val="none"/>
          <w:lang w:eastAsia="zh-CN"/>
          <w14:textFill>
            <w14:solidFill>
              <w14:schemeClr w14:val="tx1"/>
            </w14:solidFill>
          </w14:textFill>
        </w:rPr>
        <w:t>作出</w:t>
      </w:r>
      <w:r>
        <w:rPr>
          <w:rFonts w:hint="eastAsia" w:ascii="仿宋" w:hAnsi="仿宋" w:eastAsia="仿宋"/>
          <w:color w:val="000000" w:themeColor="text1"/>
          <w:highlight w:val="none"/>
          <w14:textFill>
            <w14:solidFill>
              <w14:schemeClr w14:val="tx1"/>
            </w14:solidFill>
          </w14:textFill>
        </w:rPr>
        <w:t>的总体安排和综合部署，是指导城乡各类开发建设活动、开展国土空间资源保护利用与修复、制定空间发展政策和实施国土空间规划管理的空间蓝图，是编制相关专项规划和详细规划的依据。凡在规划范围内涉及国土空间和自然资源保护利用的各项规划、建设、管理和政策制定等，均应符合本规划。</w:t>
      </w:r>
    </w:p>
    <w:p>
      <w:pPr>
        <w:pStyle w:val="4"/>
        <w:numPr>
          <w:ilvl w:val="0"/>
          <w:numId w:val="1"/>
        </w:numPr>
        <w:rPr>
          <w:rFonts w:ascii="仿宋" w:hAnsi="仿宋" w:eastAsia="仿宋"/>
          <w:color w:val="000000" w:themeColor="text1"/>
          <w:highlight w:val="none"/>
          <w14:textFill>
            <w14:solidFill>
              <w14:schemeClr w14:val="tx1"/>
            </w14:solidFill>
          </w14:textFill>
        </w:rPr>
      </w:pPr>
      <w:bookmarkStart w:id="3" w:name="_Toc22089"/>
      <w:r>
        <w:rPr>
          <w:rFonts w:hint="eastAsia" w:ascii="仿宋" w:hAnsi="仿宋" w:eastAsia="仿宋"/>
          <w:color w:val="000000" w:themeColor="text1"/>
          <w:highlight w:val="none"/>
          <w14:textFill>
            <w14:solidFill>
              <w14:schemeClr w14:val="tx1"/>
            </w14:solidFill>
          </w14:textFill>
        </w:rPr>
        <w:t>规划依据</w:t>
      </w:r>
      <w:bookmarkEnd w:id="3"/>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（1）《中华人民共和国城乡规划法》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（2）《中华人民共和国土地管理法》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（3）《中华人民共和国环境保护法》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（4）《中华人民共和国土地管理法实施条例》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（5）《中共中央 国务院关于建立国土空间规划体系并监督实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施的若干意见》（中发〔2019〕18 号）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（6）《中华人民共和国国民经济和社会发展第十四个五年规划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和 2035 年远景目标纲要》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（7）《中共中央办公厅 国务院办公厅关于印发&lt;建立以国家公 园为主体的自然保护地体系的指导意见&gt;的通知》（中办发〔2019〕 48 号）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（8）《中共中央办公厅 国务院办公厅印发&lt;关于在国土空间规 划中统筹划定落实三条控制线的指导意见&gt;的通知》（厅字〔</w:t>
      </w:r>
      <w:r>
        <w:rPr>
          <w:rFonts w:ascii="仿宋" w:hAnsi="仿宋" w:eastAsia="仿宋"/>
          <w:color w:val="000000" w:themeColor="text1"/>
          <w:highlight w:val="none"/>
          <w14:textFill>
            <w14:solidFill>
              <w14:schemeClr w14:val="tx1"/>
            </w14:solidFill>
          </w14:textFill>
        </w:rPr>
        <w:t>2019</w:t>
      </w:r>
      <w:r>
        <w:rPr>
          <w:rFonts w:hint="eastAsia" w:ascii="仿宋" w:hAnsi="仿宋" w:eastAsia="仿宋"/>
          <w:color w:val="000000" w:themeColor="text1"/>
          <w:highlight w:val="none"/>
          <w14:textFill>
            <w14:solidFill>
              <w14:schemeClr w14:val="tx1"/>
            </w14:solidFill>
          </w14:textFill>
        </w:rPr>
        <w:t xml:space="preserve">〕 </w:t>
      </w:r>
      <w:r>
        <w:rPr>
          <w:rFonts w:ascii="仿宋" w:hAnsi="仿宋" w:eastAsia="仿宋"/>
          <w:color w:val="000000" w:themeColor="text1"/>
          <w:highlight w:val="none"/>
          <w14:textFill>
            <w14:solidFill>
              <w14:schemeClr w14:val="tx1"/>
            </w14:solidFill>
          </w14:textFill>
        </w:rPr>
        <w:t xml:space="preserve">18 </w:t>
      </w:r>
      <w:r>
        <w:rPr>
          <w:rFonts w:hint="eastAsia" w:ascii="仿宋" w:hAnsi="仿宋" w:eastAsia="仿宋"/>
          <w:color w:val="000000" w:themeColor="text1"/>
          <w:highlight w:val="none"/>
          <w14:textFill>
            <w14:solidFill>
              <w14:schemeClr w14:val="tx1"/>
            </w14:solidFill>
          </w14:textFill>
        </w:rPr>
        <w:t xml:space="preserve">号）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（9）《自然资源部关于全面开展国土空间规划工作的通知》（自 然资发〔2019〕87 号）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（10）《自然资源部 生态环境部 国家林业和草原局关于加强 </w:t>
      </w:r>
    </w:p>
    <w:p>
      <w:pPr>
        <w:rPr>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生态保护红线管理的通知（试行）》（自然资发〔2022〕142 号）</w:t>
      </w:r>
      <w:r>
        <w:rPr>
          <w:rFonts w:hint="eastAsia" w:ascii="仿宋" w:hAnsi="仿宋" w:eastAsia="仿宋" w:cs="仿宋"/>
          <w:color w:val="000000" w:themeColor="text1"/>
          <w:kern w:val="0"/>
          <w:szCs w:val="28"/>
          <w:highlight w:val="none"/>
          <w:lang w:bidi="ar"/>
          <w14:textFill>
            <w14:solidFill>
              <w14:schemeClr w14:val="tx1"/>
            </w14:solidFill>
          </w14:textFill>
        </w:rPr>
        <w:t xml:space="preserve">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（12）《湖北省国土空间规划（2020-2035年）》（征求意见稿）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（13）《湖北省县级国土空间总体规划编制技术指南（试行）》（2021年）</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（14）《随州市国土空间总体规划（2021-2035 年）》（征求意见稿） </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（15）《广水市国民经济和社会发展第十四个五年规划和 2035 年远景目标纲要》 </w:t>
      </w:r>
    </w:p>
    <w:p>
      <w:pPr>
        <w:ind w:firstLine="560" w:firstLineChars="200"/>
        <w:rPr>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（16）其他相关法律、法规及政策文件。 </w:t>
      </w:r>
    </w:p>
    <w:p>
      <w:pPr>
        <w:pStyle w:val="4"/>
        <w:rPr>
          <w:rFonts w:ascii="仿宋" w:hAnsi="仿宋" w:eastAsia="仿宋"/>
          <w:color w:val="000000" w:themeColor="text1"/>
          <w:highlight w:val="none"/>
          <w14:textFill>
            <w14:solidFill>
              <w14:schemeClr w14:val="tx1"/>
            </w14:solidFill>
          </w14:textFill>
        </w:rPr>
      </w:pPr>
      <w:bookmarkStart w:id="4" w:name="_Toc14167"/>
      <w:r>
        <w:rPr>
          <w:rFonts w:hint="eastAsia" w:ascii="仿宋" w:hAnsi="仿宋" w:eastAsia="仿宋"/>
          <w:color w:val="000000" w:themeColor="text1"/>
          <w:highlight w:val="none"/>
          <w14:textFill>
            <w14:solidFill>
              <w14:schemeClr w14:val="tx1"/>
            </w14:solidFill>
          </w14:textFill>
        </w:rPr>
        <w:t>第3节 规划</w:t>
      </w:r>
      <w:r>
        <w:rPr>
          <w:rFonts w:ascii="仿宋" w:hAnsi="仿宋" w:eastAsia="仿宋"/>
          <w:color w:val="000000" w:themeColor="text1"/>
          <w:highlight w:val="none"/>
          <w14:textFill>
            <w14:solidFill>
              <w14:schemeClr w14:val="tx1"/>
            </w14:solidFill>
          </w14:textFill>
        </w:rPr>
        <w:t>期限</w:t>
      </w:r>
      <w:r>
        <w:rPr>
          <w:rFonts w:hint="eastAsia" w:ascii="仿宋" w:hAnsi="仿宋" w:eastAsia="仿宋"/>
          <w:color w:val="000000" w:themeColor="text1"/>
          <w:highlight w:val="none"/>
          <w14:textFill>
            <w14:solidFill>
              <w14:schemeClr w14:val="tx1"/>
            </w14:solidFill>
          </w14:textFill>
        </w:rPr>
        <w:t>和范围</w:t>
      </w:r>
      <w:bookmarkEnd w:id="4"/>
    </w:p>
    <w:p>
      <w:pPr>
        <w:pStyle w:val="21"/>
        <w:numPr>
          <w:ilvl w:val="0"/>
          <w:numId w:val="2"/>
        </w:numPr>
        <w:ind w:left="0" w:firstLine="425"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规划期限</w:t>
      </w:r>
    </w:p>
    <w:p>
      <w:pPr>
        <w:ind w:firstLine="560" w:firstLineChars="200"/>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规划基期为2020年，规划目标年至2035年，近期目标年为</w:t>
      </w:r>
    </w:p>
    <w:p>
      <w:pPr>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2025年，远景展望至2050年。</w:t>
      </w:r>
    </w:p>
    <w:p>
      <w:pPr>
        <w:pStyle w:val="21"/>
        <w:numPr>
          <w:ilvl w:val="0"/>
          <w:numId w:val="2"/>
        </w:numPr>
        <w:ind w:left="0" w:firstLine="425"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规划范围和层次</w:t>
      </w:r>
    </w:p>
    <w:p>
      <w:pPr>
        <w:ind w:firstLine="560" w:firstLineChars="200"/>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规划范围分为市域和中心城区两个层次。其中县域范围包括广水市全部行政辖区，总面积</w:t>
      </w:r>
      <w:r>
        <w:rPr>
          <w:rFonts w:ascii="仿宋" w:hAnsi="仿宋" w:eastAsia="仿宋"/>
          <w:color w:val="000000" w:themeColor="text1"/>
          <w:highlight w:val="none"/>
          <w14:textFill>
            <w14:solidFill>
              <w14:schemeClr w14:val="tx1"/>
            </w14:solidFill>
          </w14:textFill>
        </w:rPr>
        <w:t>2645.53</w:t>
      </w:r>
      <w:r>
        <w:rPr>
          <w:rFonts w:hint="eastAsia" w:ascii="仿宋" w:hAnsi="仿宋" w:eastAsia="仿宋"/>
          <w:color w:val="000000" w:themeColor="text1"/>
          <w:highlight w:val="none"/>
          <w14:textFill>
            <w14:solidFill>
              <w14:schemeClr w14:val="tx1"/>
            </w14:solidFill>
          </w14:textFill>
        </w:rPr>
        <w:t>平方公里；中心城区</w:t>
      </w:r>
      <w:r>
        <w:rPr>
          <w:rFonts w:hint="eastAsia" w:ascii="仿宋" w:hAnsi="仿宋" w:eastAsia="仿宋"/>
          <w:color w:val="000000" w:themeColor="text1"/>
          <w:highlight w:val="none"/>
          <w:lang w:eastAsia="zh-CN"/>
          <w14:textFill>
            <w14:solidFill>
              <w14:schemeClr w14:val="tx1"/>
            </w14:solidFill>
          </w14:textFill>
        </w:rPr>
        <w:t>包括</w:t>
      </w:r>
      <w:r>
        <w:rPr>
          <w:rFonts w:hint="eastAsia" w:ascii="仿宋" w:hAnsi="仿宋" w:eastAsia="仿宋"/>
          <w:color w:val="000000" w:themeColor="text1"/>
          <w:highlight w:val="none"/>
          <w14:textFill>
            <w14:solidFill>
              <w14:schemeClr w14:val="tx1"/>
            </w14:solidFill>
          </w14:textFill>
        </w:rPr>
        <w:t>应山街道、广水街道、十里街道、城郊街道以及武胜关镇的主要建成区以及需要建设控制的区域，总面积</w:t>
      </w:r>
      <w:r>
        <w:rPr>
          <w:rFonts w:ascii="仿宋" w:hAnsi="仿宋" w:eastAsia="仿宋"/>
          <w:color w:val="000000" w:themeColor="text1"/>
          <w:highlight w:val="none"/>
          <w14:textFill>
            <w14:solidFill>
              <w14:schemeClr w14:val="tx1"/>
            </w14:solidFill>
          </w14:textFill>
        </w:rPr>
        <w:t>75.82</w:t>
      </w:r>
      <w:r>
        <w:rPr>
          <w:rFonts w:hint="eastAsia" w:ascii="仿宋" w:hAnsi="仿宋" w:eastAsia="仿宋"/>
          <w:color w:val="000000" w:themeColor="text1"/>
          <w:highlight w:val="none"/>
          <w14:textFill>
            <w14:solidFill>
              <w14:schemeClr w14:val="tx1"/>
            </w14:solidFill>
          </w14:textFill>
        </w:rPr>
        <w:t>平方公里。</w:t>
      </w:r>
    </w:p>
    <w:p>
      <w:pPr>
        <w:pStyle w:val="3"/>
        <w:pageBreakBefore/>
        <w:widowControl/>
        <w:rPr>
          <w:rFonts w:ascii="仿宋" w:hAnsi="仿宋" w:eastAsia="仿宋"/>
          <w:color w:val="000000" w:themeColor="text1"/>
          <w:highlight w:val="none"/>
          <w14:textFill>
            <w14:solidFill>
              <w14:schemeClr w14:val="tx1"/>
            </w14:solidFill>
          </w14:textFill>
        </w:rPr>
      </w:pPr>
      <w:bookmarkStart w:id="5" w:name="_Toc31385"/>
      <w:r>
        <w:rPr>
          <w:rFonts w:hint="eastAsia" w:ascii="仿宋" w:hAnsi="仿宋" w:eastAsia="仿宋"/>
          <w:color w:val="000000" w:themeColor="text1"/>
          <w:highlight w:val="none"/>
          <w14:textFill>
            <w14:solidFill>
              <w14:schemeClr w14:val="tx1"/>
            </w14:solidFill>
          </w14:textFill>
        </w:rPr>
        <w:t>第二章 现状特征和面临形势</w:t>
      </w:r>
      <w:bookmarkEnd w:id="5"/>
    </w:p>
    <w:p>
      <w:pPr>
        <w:pStyle w:val="4"/>
        <w:rPr>
          <w:rFonts w:ascii="仿宋" w:hAnsi="仿宋" w:eastAsia="仿宋"/>
          <w:color w:val="000000" w:themeColor="text1"/>
          <w:highlight w:val="none"/>
          <w14:textFill>
            <w14:solidFill>
              <w14:schemeClr w14:val="tx1"/>
            </w14:solidFill>
          </w14:textFill>
        </w:rPr>
      </w:pPr>
      <w:bookmarkStart w:id="6" w:name="_Toc26370"/>
      <w:r>
        <w:rPr>
          <w:rFonts w:hint="eastAsia" w:ascii="仿宋" w:hAnsi="仿宋" w:eastAsia="仿宋"/>
          <w:color w:val="000000" w:themeColor="text1"/>
          <w:highlight w:val="none"/>
          <w14:textFill>
            <w14:solidFill>
              <w14:schemeClr w14:val="tx1"/>
            </w14:solidFill>
          </w14:textFill>
        </w:rPr>
        <w:t>第1节 现状特征</w:t>
      </w:r>
      <w:bookmarkEnd w:id="6"/>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（1）“低山丘陵地带，水库塘堰星罗棋布”的自然地理格局</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北高南低、逐级倾斜。广水市地处桐柏山脉南麓、大别山脉西端，属低山丘陵地带。地势北高南低，自北而南，山地、丘陵、岗地、沿河小块平原，依次分布。最高处为大贵寺主峰海拔907.8米，最低处位于平林涢水河床海拔37.0米。广水市地势以鄂豫边界为脊干，以低山为屏障，丘陵岗地主体，由北向南逐渐倾斜，经横坡河的切割，形成岭谷平行并列的地形地貌。</w:t>
      </w:r>
    </w:p>
    <w:p>
      <w:pPr>
        <w:widowControl/>
        <w:ind w:firstLine="560" w:firstLineChars="200"/>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lang w:eastAsia="zh-CN"/>
          <w14:textFill>
            <w14:solidFill>
              <w14:schemeClr w14:val="tx1"/>
            </w14:solidFill>
          </w14:textFill>
        </w:rPr>
        <w:t>浉河</w:t>
      </w:r>
      <w:r>
        <w:rPr>
          <w:rFonts w:hint="eastAsia" w:ascii="仿宋" w:hAnsi="仿宋" w:eastAsia="仿宋"/>
          <w:color w:val="000000" w:themeColor="text1"/>
          <w:highlight w:val="none"/>
          <w14:textFill>
            <w14:solidFill>
              <w14:schemeClr w14:val="tx1"/>
            </w14:solidFill>
          </w14:textFill>
        </w:rPr>
        <w:t>、涢水、漂水三大水系贯通市域，无一客水过境。境内主要河流有应山河、广水河、涢水，主要支流有缪河、余店河、龙泉河、徐家河、寿龙寺河、龙泉寺河等。191座大中小型水库遍布全域，其中大型水库2座、中型水库5座，总库容达29.31亿立方米。</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（2）土地资源丰富，土地利用类型多样</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2020年末，广水市国土总面积为2645.53平方公里。农林用地</w:t>
      </w:r>
      <w:r>
        <w:rPr>
          <w:rFonts w:ascii="仿宋" w:hAnsi="仿宋" w:eastAsia="仿宋"/>
          <w:color w:val="000000" w:themeColor="text1"/>
          <w:highlight w:val="none"/>
          <w14:textFill>
            <w14:solidFill>
              <w14:schemeClr w14:val="tx1"/>
            </w14:solidFill>
          </w14:textFill>
        </w:rPr>
        <w:t>1984.66</w:t>
      </w:r>
      <w:r>
        <w:rPr>
          <w:rFonts w:hint="eastAsia" w:ascii="仿宋" w:hAnsi="仿宋" w:eastAsia="仿宋"/>
          <w:color w:val="000000" w:themeColor="text1"/>
          <w:highlight w:val="none"/>
          <w14:textFill>
            <w14:solidFill>
              <w14:schemeClr w14:val="tx1"/>
            </w14:solidFill>
          </w14:textFill>
        </w:rPr>
        <w:t>方公里，占市域面积</w:t>
      </w:r>
      <w:r>
        <w:rPr>
          <w:rFonts w:ascii="仿宋" w:hAnsi="仿宋" w:eastAsia="仿宋"/>
          <w:color w:val="000000" w:themeColor="text1"/>
          <w:highlight w:val="none"/>
          <w14:textFill>
            <w14:solidFill>
              <w14:schemeClr w14:val="tx1"/>
            </w14:solidFill>
          </w14:textFill>
        </w:rPr>
        <w:t>75.02</w:t>
      </w:r>
      <w:r>
        <w:rPr>
          <w:rFonts w:hint="eastAsia" w:ascii="仿宋" w:hAnsi="仿宋" w:eastAsia="仿宋"/>
          <w:color w:val="000000" w:themeColor="text1"/>
          <w:highlight w:val="none"/>
          <w14:textFill>
            <w14:solidFill>
              <w14:schemeClr w14:val="tx1"/>
            </w14:solidFill>
          </w14:textFill>
        </w:rPr>
        <w:t>%，其中耕地面积</w:t>
      </w:r>
      <w:r>
        <w:rPr>
          <w:rFonts w:ascii="仿宋" w:hAnsi="仿宋" w:eastAsia="仿宋"/>
          <w:color w:val="000000" w:themeColor="text1"/>
          <w:highlight w:val="none"/>
          <w14:textFill>
            <w14:solidFill>
              <w14:schemeClr w14:val="tx1"/>
            </w14:solidFill>
          </w14:textFill>
        </w:rPr>
        <w:t>757.18</w:t>
      </w:r>
      <w:r>
        <w:rPr>
          <w:rFonts w:hint="eastAsia" w:ascii="仿宋" w:hAnsi="仿宋" w:eastAsia="仿宋"/>
          <w:color w:val="000000" w:themeColor="text1"/>
          <w:highlight w:val="none"/>
          <w14:textFill>
            <w14:solidFill>
              <w14:schemeClr w14:val="tx1"/>
            </w14:solidFill>
          </w14:textFill>
        </w:rPr>
        <w:t>平方公里、林地</w:t>
      </w:r>
      <w:r>
        <w:rPr>
          <w:rFonts w:ascii="仿宋" w:hAnsi="仿宋" w:eastAsia="仿宋"/>
          <w:color w:val="000000" w:themeColor="text1"/>
          <w:highlight w:val="none"/>
          <w14:textFill>
            <w14:solidFill>
              <w14:schemeClr w14:val="tx1"/>
            </w14:solidFill>
          </w14:textFill>
        </w:rPr>
        <w:t>1155.20</w:t>
      </w:r>
      <w:r>
        <w:rPr>
          <w:rFonts w:hint="eastAsia" w:ascii="仿宋" w:hAnsi="仿宋" w:eastAsia="仿宋"/>
          <w:color w:val="000000" w:themeColor="text1"/>
          <w:highlight w:val="none"/>
          <w14:textFill>
            <w14:solidFill>
              <w14:schemeClr w14:val="tx1"/>
            </w14:solidFill>
          </w14:textFill>
        </w:rPr>
        <w:t>平方公里。建设用地</w:t>
      </w:r>
      <w:r>
        <w:rPr>
          <w:rFonts w:ascii="仿宋" w:hAnsi="仿宋" w:eastAsia="仿宋"/>
          <w:color w:val="000000" w:themeColor="text1"/>
          <w:highlight w:val="none"/>
          <w14:textFill>
            <w14:solidFill>
              <w14:schemeClr w14:val="tx1"/>
            </w14:solidFill>
          </w14:textFill>
        </w:rPr>
        <w:t>247.62</w:t>
      </w:r>
      <w:r>
        <w:rPr>
          <w:rFonts w:hint="eastAsia" w:ascii="仿宋" w:hAnsi="仿宋" w:eastAsia="仿宋"/>
          <w:color w:val="000000" w:themeColor="text1"/>
          <w:highlight w:val="none"/>
          <w14:textFill>
            <w14:solidFill>
              <w14:schemeClr w14:val="tx1"/>
            </w14:solidFill>
          </w14:textFill>
        </w:rPr>
        <w:t>平方公里，占市域面积</w:t>
      </w:r>
      <w:r>
        <w:rPr>
          <w:rFonts w:ascii="仿宋" w:hAnsi="仿宋" w:eastAsia="仿宋"/>
          <w:color w:val="000000" w:themeColor="text1"/>
          <w:highlight w:val="none"/>
          <w14:textFill>
            <w14:solidFill>
              <w14:schemeClr w14:val="tx1"/>
            </w14:solidFill>
          </w14:textFill>
        </w:rPr>
        <w:t>9.36</w:t>
      </w:r>
      <w:r>
        <w:rPr>
          <w:rFonts w:hint="eastAsia" w:ascii="仿宋" w:hAnsi="仿宋" w:eastAsia="仿宋"/>
          <w:color w:val="000000" w:themeColor="text1"/>
          <w:highlight w:val="none"/>
          <w14:textFill>
            <w14:solidFill>
              <w14:schemeClr w14:val="tx1"/>
            </w14:solidFill>
          </w14:textFill>
        </w:rPr>
        <w:t>%。其他土地</w:t>
      </w:r>
      <w:r>
        <w:rPr>
          <w:rFonts w:ascii="仿宋" w:hAnsi="仿宋" w:eastAsia="仿宋"/>
          <w:color w:val="000000" w:themeColor="text1"/>
          <w:highlight w:val="none"/>
          <w14:textFill>
            <w14:solidFill>
              <w14:schemeClr w14:val="tx1"/>
            </w14:solidFill>
          </w14:textFill>
        </w:rPr>
        <w:t>413.25</w:t>
      </w:r>
      <w:r>
        <w:rPr>
          <w:rFonts w:hint="eastAsia" w:ascii="仿宋" w:hAnsi="仿宋" w:eastAsia="仿宋"/>
          <w:color w:val="000000" w:themeColor="text1"/>
          <w:highlight w:val="none"/>
          <w14:textFill>
            <w14:solidFill>
              <w14:schemeClr w14:val="tx1"/>
            </w14:solidFill>
          </w14:textFill>
        </w:rPr>
        <w:t>平方公里，占市域面积</w:t>
      </w:r>
      <w:r>
        <w:rPr>
          <w:rFonts w:ascii="仿宋" w:hAnsi="仿宋" w:eastAsia="仿宋"/>
          <w:color w:val="000000" w:themeColor="text1"/>
          <w:highlight w:val="none"/>
          <w14:textFill>
            <w14:solidFill>
              <w14:schemeClr w14:val="tx1"/>
            </w14:solidFill>
          </w14:textFill>
        </w:rPr>
        <w:t>15.62</w:t>
      </w:r>
      <w:r>
        <w:rPr>
          <w:rFonts w:hint="eastAsia" w:ascii="仿宋" w:hAnsi="仿宋" w:eastAsia="仿宋"/>
          <w:color w:val="000000" w:themeColor="text1"/>
          <w:highlight w:val="none"/>
          <w14:textFill>
            <w14:solidFill>
              <w14:schemeClr w14:val="tx1"/>
            </w14:solidFill>
          </w14:textFill>
        </w:rPr>
        <w:t>%，其中河流水面面积</w:t>
      </w:r>
      <w:r>
        <w:rPr>
          <w:rFonts w:ascii="仿宋" w:hAnsi="仿宋" w:eastAsia="仿宋"/>
          <w:color w:val="000000" w:themeColor="text1"/>
          <w:highlight w:val="none"/>
          <w14:textFill>
            <w14:solidFill>
              <w14:schemeClr w14:val="tx1"/>
            </w14:solidFill>
          </w14:textFill>
        </w:rPr>
        <w:t>30.83</w:t>
      </w:r>
      <w:r>
        <w:rPr>
          <w:rFonts w:hint="eastAsia" w:ascii="仿宋" w:hAnsi="仿宋" w:eastAsia="仿宋"/>
          <w:color w:val="000000" w:themeColor="text1"/>
          <w:highlight w:val="none"/>
          <w14:textFill>
            <w14:solidFill>
              <w14:schemeClr w14:val="tx1"/>
            </w14:solidFill>
          </w14:textFill>
        </w:rPr>
        <w:t>平方公里。</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w:t>
      </w:r>
      <w:r>
        <w:rPr>
          <w:rFonts w:ascii="仿宋" w:hAnsi="仿宋" w:eastAsia="仿宋"/>
          <w:b/>
          <w:bCs/>
          <w:color w:val="000000" w:themeColor="text1"/>
          <w:highlight w:val="none"/>
          <w14:textFill>
            <w14:solidFill>
              <w14:schemeClr w14:val="tx1"/>
            </w14:solidFill>
          </w14:textFill>
        </w:rPr>
        <w:t>自然资源禀赋良好</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鄂北生态屏障</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大山大水的自然本底。山地丘陵占市域面积的</w:t>
      </w:r>
      <w:r>
        <w:rPr>
          <w:rFonts w:ascii="仿宋" w:hAnsi="仿宋" w:eastAsia="仿宋"/>
          <w:color w:val="000000" w:themeColor="text1"/>
          <w:highlight w:val="none"/>
          <w14:textFill>
            <w14:solidFill>
              <w14:schemeClr w14:val="tx1"/>
            </w14:solidFill>
          </w14:textFill>
        </w:rPr>
        <w:t>97.5%</w:t>
      </w:r>
      <w:r>
        <w:rPr>
          <w:rFonts w:hint="eastAsia" w:ascii="仿宋" w:hAnsi="仿宋" w:eastAsia="仿宋"/>
          <w:color w:val="000000" w:themeColor="text1"/>
          <w:highlight w:val="none"/>
          <w14:textFill>
            <w14:solidFill>
              <w14:schemeClr w14:val="tx1"/>
            </w14:solidFill>
          </w14:textFill>
        </w:rPr>
        <w:t>，河湖（库）水面总量维持稳定，总面积达</w:t>
      </w:r>
      <w:r>
        <w:rPr>
          <w:rFonts w:ascii="仿宋" w:hAnsi="仿宋" w:eastAsia="仿宋"/>
          <w:color w:val="000000" w:themeColor="text1"/>
          <w:highlight w:val="none"/>
          <w14:textFill>
            <w14:solidFill>
              <w14:schemeClr w14:val="tx1"/>
            </w14:solidFill>
          </w14:textFill>
        </w:rPr>
        <w:t>268.84</w:t>
      </w:r>
      <w:r>
        <w:rPr>
          <w:rFonts w:hint="eastAsia" w:ascii="仿宋" w:hAnsi="仿宋" w:eastAsia="仿宋"/>
          <w:color w:val="000000" w:themeColor="text1"/>
          <w:highlight w:val="none"/>
          <w14:textFill>
            <w14:solidFill>
              <w14:schemeClr w14:val="tx1"/>
            </w14:solidFill>
          </w14:textFill>
        </w:rPr>
        <w:t>平方公里，占市域面积</w:t>
      </w:r>
      <w:r>
        <w:rPr>
          <w:rFonts w:ascii="仿宋" w:hAnsi="仿宋" w:eastAsia="仿宋"/>
          <w:color w:val="000000" w:themeColor="text1"/>
          <w:highlight w:val="none"/>
          <w14:textFill>
            <w14:solidFill>
              <w14:schemeClr w14:val="tx1"/>
            </w14:solidFill>
          </w14:textFill>
        </w:rPr>
        <w:t>10.16%</w:t>
      </w:r>
      <w:r>
        <w:rPr>
          <w:rFonts w:hint="eastAsia" w:ascii="仿宋" w:hAnsi="仿宋" w:eastAsia="仿宋"/>
          <w:color w:val="000000" w:themeColor="text1"/>
          <w:highlight w:val="none"/>
          <w14:textFill>
            <w14:solidFill>
              <w14:schemeClr w14:val="tx1"/>
            </w14:solidFill>
          </w14:textFill>
        </w:rPr>
        <w:t>。被评为国家森林城市，</w:t>
      </w:r>
      <w:r>
        <w:rPr>
          <w:rFonts w:ascii="仿宋" w:hAnsi="仿宋" w:eastAsia="仿宋"/>
          <w:color w:val="000000" w:themeColor="text1"/>
          <w:highlight w:val="none"/>
          <w14:textFill>
            <w14:solidFill>
              <w14:schemeClr w14:val="tx1"/>
            </w14:solidFill>
          </w14:textFill>
        </w:rPr>
        <w:t>2020</w:t>
      </w:r>
      <w:r>
        <w:rPr>
          <w:rFonts w:hint="eastAsia" w:ascii="仿宋" w:hAnsi="仿宋" w:eastAsia="仿宋"/>
          <w:color w:val="000000" w:themeColor="text1"/>
          <w:highlight w:val="none"/>
          <w14:textFill>
            <w14:solidFill>
              <w14:schemeClr w14:val="tx1"/>
            </w14:solidFill>
          </w14:textFill>
        </w:rPr>
        <w:t>年森林覆盖率达到</w:t>
      </w:r>
      <w:r>
        <w:rPr>
          <w:rFonts w:ascii="仿宋" w:hAnsi="仿宋" w:eastAsia="仿宋"/>
          <w:color w:val="000000" w:themeColor="text1"/>
          <w:highlight w:val="none"/>
          <w14:textFill>
            <w14:solidFill>
              <w14:schemeClr w14:val="tx1"/>
            </w14:solidFill>
          </w14:textFill>
        </w:rPr>
        <w:t>41.72%</w:t>
      </w:r>
      <w:r>
        <w:rPr>
          <w:rFonts w:hint="eastAsia" w:ascii="仿宋" w:hAnsi="仿宋" w:eastAsia="仿宋"/>
          <w:color w:val="000000" w:themeColor="text1"/>
          <w:highlight w:val="none"/>
          <w14:textFill>
            <w14:solidFill>
              <w14:schemeClr w14:val="tx1"/>
            </w14:solidFill>
          </w14:textFill>
        </w:rPr>
        <w:t>，全市森林面积1103</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81平方公里，自然保护区面积</w:t>
      </w:r>
      <w:r>
        <w:rPr>
          <w:rFonts w:ascii="仿宋" w:hAnsi="仿宋" w:eastAsia="仿宋"/>
          <w:color w:val="000000" w:themeColor="text1"/>
          <w:highlight w:val="none"/>
          <w14:textFill>
            <w14:solidFill>
              <w14:schemeClr w14:val="tx1"/>
            </w14:solidFill>
          </w14:textFill>
        </w:rPr>
        <w:t>74.27</w:t>
      </w:r>
      <w:r>
        <w:rPr>
          <w:rFonts w:hint="eastAsia" w:ascii="仿宋" w:hAnsi="仿宋" w:eastAsia="仿宋"/>
          <w:color w:val="000000" w:themeColor="text1"/>
          <w:highlight w:val="none"/>
          <w14:textFill>
            <w14:solidFill>
              <w14:schemeClr w14:val="tx1"/>
            </w14:solidFill>
          </w14:textFill>
        </w:rPr>
        <w:t>平方公里。耕地中水田较多，约占耕地的</w:t>
      </w:r>
      <w:r>
        <w:rPr>
          <w:rFonts w:ascii="仿宋" w:hAnsi="仿宋" w:eastAsia="仿宋"/>
          <w:color w:val="000000" w:themeColor="text1"/>
          <w:highlight w:val="none"/>
          <w14:textFill>
            <w14:solidFill>
              <w14:schemeClr w14:val="tx1"/>
            </w14:solidFill>
          </w14:textFill>
        </w:rPr>
        <w:t>66%</w:t>
      </w:r>
      <w:r>
        <w:rPr>
          <w:rFonts w:hint="eastAsia" w:ascii="仿宋" w:hAnsi="仿宋" w:eastAsia="仿宋"/>
          <w:color w:val="000000" w:themeColor="text1"/>
          <w:highlight w:val="none"/>
          <w14:textFill>
            <w14:solidFill>
              <w14:schemeClr w14:val="tx1"/>
            </w14:solidFill>
          </w14:textFill>
        </w:rPr>
        <w:t>，高标准农田面积达4</w:t>
      </w:r>
      <w:r>
        <w:rPr>
          <w:rFonts w:ascii="仿宋" w:hAnsi="仿宋" w:eastAsia="仿宋"/>
          <w:color w:val="000000" w:themeColor="text1"/>
          <w:highlight w:val="none"/>
          <w14:textFill>
            <w14:solidFill>
              <w14:schemeClr w14:val="tx1"/>
            </w14:solidFill>
          </w14:textFill>
        </w:rPr>
        <w:t>81.94</w:t>
      </w:r>
      <w:r>
        <w:rPr>
          <w:rFonts w:hint="eastAsia" w:ascii="仿宋" w:hAnsi="仿宋" w:eastAsia="仿宋"/>
          <w:color w:val="000000" w:themeColor="text1"/>
          <w:highlight w:val="none"/>
          <w14:textFill>
            <w14:solidFill>
              <w14:schemeClr w14:val="tx1"/>
            </w14:solidFill>
          </w14:textFill>
        </w:rPr>
        <w:t>平方公里，粮食总产量稳定在</w:t>
      </w:r>
      <w:r>
        <w:rPr>
          <w:rFonts w:ascii="仿宋" w:hAnsi="仿宋" w:eastAsia="仿宋"/>
          <w:color w:val="000000" w:themeColor="text1"/>
          <w:highlight w:val="none"/>
          <w14:textFill>
            <w14:solidFill>
              <w14:schemeClr w14:val="tx1"/>
            </w14:solidFill>
          </w14:textFill>
        </w:rPr>
        <w:t>37.8</w:t>
      </w:r>
      <w:r>
        <w:rPr>
          <w:rFonts w:hint="eastAsia" w:ascii="仿宋" w:hAnsi="仿宋" w:eastAsia="仿宋"/>
          <w:color w:val="000000" w:themeColor="text1"/>
          <w:highlight w:val="none"/>
          <w14:textFill>
            <w14:solidFill>
              <w14:schemeClr w14:val="tx1"/>
            </w14:solidFill>
          </w14:textFill>
        </w:rPr>
        <w:t>万吨以上。</w:t>
      </w:r>
    </w:p>
    <w:p>
      <w:pPr>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生物多样性丰富</w:t>
      </w:r>
      <w:r>
        <w:rPr>
          <w:rFonts w:hint="eastAsia" w:ascii="仿宋" w:hAnsi="仿宋" w:eastAsia="仿宋"/>
          <w:color w:val="000000" w:themeColor="text1"/>
          <w:highlight w:val="none"/>
          <w14:textFill>
            <w14:solidFill>
              <w14:schemeClr w14:val="tx1"/>
            </w14:solidFill>
          </w14:textFill>
        </w:rPr>
        <w:t>。境内低山、丘陵、岗地、河谷平原依次分布，兼有南北气候特点，适于众多植物生长和众多动物栖息。野生动物有一百余种，其中，大龟、水獗、老鹰、猫头鹰、穿山甲、白莺为国家二级保护动物。木本植物共有65科147属355种，竹类3种，属国家二类重点保护树种有香果树、杜仲。同时，广水市是全国粮食大县商品牛和养蜂鳖基地，是湖北省重要的烤烟蒜薹出口基地。</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（4）“鄂北门户”地位</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鄂豫两省交接地带。广水地处中原腹地，自古为南北交通要冲，素有</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鄂北门户</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之称。北与河南省信阳市平桥区毗邻，东邻大悟县，南接孝昌县、安陆市，西连随州市曾都区，区位优势十分显著。广水市南引北射，承东启西，是武汉、襄阳、孝感、信阳等大中城市的重要交通通道，是人流、物流、信息流的集聚区，是鄂豫物资重要聚散地，是武汉城市圈与襄十随神城市群、中原城市群联动的咽喉要地，是长江经济带与汉江经济带的耦合中枢，也是湖北省进行鄂西生态文化旅游圈建设的桥头堡。</w:t>
      </w:r>
    </w:p>
    <w:p>
      <w:pPr>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交通</w:t>
      </w:r>
      <w:r>
        <w:rPr>
          <w:rFonts w:hint="eastAsia" w:ascii="仿宋" w:hAnsi="仿宋" w:eastAsia="仿宋"/>
          <w:color w:val="000000" w:themeColor="text1"/>
          <w:highlight w:val="none"/>
          <w14:textFill>
            <w14:solidFill>
              <w14:schemeClr w14:val="tx1"/>
            </w14:solidFill>
          </w14:textFill>
        </w:rPr>
        <w:t>条件优越。京广铁路和</w:t>
      </w:r>
      <w:r>
        <w:rPr>
          <w:rFonts w:ascii="仿宋" w:hAnsi="仿宋" w:eastAsia="仿宋"/>
          <w:color w:val="000000" w:themeColor="text1"/>
          <w:highlight w:val="none"/>
          <w14:textFill>
            <w14:solidFill>
              <w14:schemeClr w14:val="tx1"/>
            </w14:solidFill>
          </w14:textFill>
        </w:rPr>
        <w:t>G107</w:t>
      </w:r>
      <w:r>
        <w:rPr>
          <w:rFonts w:hint="eastAsia" w:ascii="仿宋" w:hAnsi="仿宋" w:eastAsia="仿宋"/>
          <w:color w:val="000000" w:themeColor="text1"/>
          <w:highlight w:val="none"/>
          <w14:textFill>
            <w14:solidFill>
              <w14:schemeClr w14:val="tx1"/>
            </w14:solidFill>
          </w14:textFill>
        </w:rPr>
        <w:t>在东部纵贯南北，汉丹铁路和</w:t>
      </w:r>
      <w:r>
        <w:rPr>
          <w:rFonts w:ascii="仿宋" w:hAnsi="仿宋" w:eastAsia="仿宋"/>
          <w:color w:val="000000" w:themeColor="text1"/>
          <w:highlight w:val="none"/>
          <w14:textFill>
            <w14:solidFill>
              <w14:schemeClr w14:val="tx1"/>
            </w14:solidFill>
          </w14:textFill>
        </w:rPr>
        <w:t>G316</w:t>
      </w:r>
      <w:r>
        <w:rPr>
          <w:rFonts w:hint="eastAsia" w:ascii="仿宋" w:hAnsi="仿宋" w:eastAsia="仿宋"/>
          <w:color w:val="000000" w:themeColor="text1"/>
          <w:highlight w:val="none"/>
          <w14:textFill>
            <w14:solidFill>
              <w14:schemeClr w14:val="tx1"/>
            </w14:solidFill>
          </w14:textFill>
        </w:rPr>
        <w:t>在西部并驾齐驱，京港澳高速公路和汉十高速公路从东西两侧擦肩而过，</w:t>
      </w:r>
      <w:r>
        <w:rPr>
          <w:rFonts w:ascii="仿宋" w:hAnsi="仿宋" w:eastAsia="仿宋"/>
          <w:color w:val="000000" w:themeColor="text1"/>
          <w:highlight w:val="none"/>
          <w14:textFill>
            <w14:solidFill>
              <w14:schemeClr w14:val="tx1"/>
            </w14:solidFill>
          </w14:textFill>
        </w:rPr>
        <w:t>G346</w:t>
      </w:r>
      <w:r>
        <w:rPr>
          <w:rFonts w:hint="eastAsia" w:ascii="仿宋" w:hAnsi="仿宋" w:eastAsia="仿宋"/>
          <w:color w:val="000000" w:themeColor="text1"/>
          <w:highlight w:val="none"/>
          <w14:textFill>
            <w14:solidFill>
              <w14:schemeClr w14:val="tx1"/>
            </w14:solidFill>
          </w14:textFill>
        </w:rPr>
        <w:t>和麻竹高速横穿东西，挑两线四路于一体，形成纵横交错、四通八达的交通网络。距孝感北站40公里，借助京广高铁进入“武汉半小时通勤圈”，六小时可达北上广深等国内主要城市。</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（5）自然景观独特，</w:t>
      </w:r>
      <w:r>
        <w:rPr>
          <w:rFonts w:ascii="仿宋" w:hAnsi="仿宋" w:eastAsia="仿宋"/>
          <w:b/>
          <w:bCs/>
          <w:color w:val="000000" w:themeColor="text1"/>
          <w:highlight w:val="none"/>
          <w14:textFill>
            <w14:solidFill>
              <w14:schemeClr w14:val="tx1"/>
            </w14:solidFill>
          </w14:textFill>
        </w:rPr>
        <w:t>历史文化底蕴深厚</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自然风景资源独特。自唐宋时期时，广水市就是鄂北地区重要的旅游城市。唐宋时期，寿山、三潭即为风景名胜地。明代，寿山、三潭、大贵山、宝林寺、龙兴沟已成为鄂北重要游览胜地。清代，应山的</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三台八景</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是当时著名的风景名胜地。中华山鸟类省级自然保护区是湖北省唯一的省级鸟类自然保护区，</w:t>
      </w:r>
      <w:r>
        <w:rPr>
          <w:rFonts w:ascii="仿宋" w:hAnsi="仿宋" w:eastAsia="仿宋"/>
          <w:color w:val="000000" w:themeColor="text1"/>
          <w:highlight w:val="none"/>
          <w14:textFill>
            <w14:solidFill>
              <w14:schemeClr w14:val="tx1"/>
            </w14:solidFill>
          </w14:textFill>
        </w:rPr>
        <w:t>徐家河风景区是湖北省首批省级旅游度假区，并被载入《世界风景名胜大全》</w:t>
      </w:r>
      <w:r>
        <w:rPr>
          <w:rFonts w:hint="eastAsia" w:ascii="仿宋" w:hAnsi="仿宋" w:eastAsia="仿宋"/>
          <w:color w:val="000000" w:themeColor="text1"/>
          <w:highlight w:val="none"/>
          <w14:textFill>
            <w14:solidFill>
              <w14:schemeClr w14:val="tx1"/>
            </w14:solidFill>
          </w14:textFill>
        </w:rPr>
        <w:t>。</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历史文化资源丰富。广水系荆楚文化与中原文化交汇处，文化底蕴丰厚，历史人文荟萃。在历史遗迹方面有反映西周生活的王子山古遗址，有反映春秋战国墓葬的黑洞湾古墓群，有唐朝大诗人李白隐居的龙泉寺，有宋代著名文学家宋庠、宋祁兄弟结草渡蚁的宋公渡蚁桥，有明朝开国皇帝朱元璋落发地的宝林禅寺，有明朝忠烈公杨涟故居，有南北朝宋大将狄青屯兵的将军寨、马坪詹王文化等等。</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（6）产业结构转型升级步伐明显加快，产业发展态势良好</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城镇化进程加快。2020年广水市常住人口71.09万人，其中城镇人口38.71万人，城镇化率54.44%，十年来城镇化率均增1.84个百分点，高于湖北省同期增速0.54个百分点。</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特色鲜明、质效双升的现代产业体系基本形成。2020年全市实现生产总值337.34亿元。风机制造、智能装备、新能源、造纸包装、医药化工、食品加工、纺织服装、新型建材8大主导产业成为工业经济的“擎天柱”。</w:t>
      </w:r>
    </w:p>
    <w:p>
      <w:pPr>
        <w:pStyle w:val="4"/>
        <w:rPr>
          <w:rFonts w:ascii="仿宋" w:hAnsi="仿宋" w:eastAsia="仿宋"/>
          <w:color w:val="000000" w:themeColor="text1"/>
          <w:highlight w:val="none"/>
          <w14:textFill>
            <w14:solidFill>
              <w14:schemeClr w14:val="tx1"/>
            </w14:solidFill>
          </w14:textFill>
        </w:rPr>
      </w:pPr>
      <w:bookmarkStart w:id="7" w:name="_Toc752"/>
      <w:r>
        <w:rPr>
          <w:rFonts w:hint="eastAsia" w:ascii="仿宋" w:hAnsi="仿宋" w:eastAsia="仿宋"/>
          <w:color w:val="000000" w:themeColor="text1"/>
          <w:highlight w:val="none"/>
          <w14:textFill>
            <w14:solidFill>
              <w14:schemeClr w14:val="tx1"/>
            </w14:solidFill>
          </w14:textFill>
        </w:rPr>
        <w:t>第2节 问题与</w:t>
      </w:r>
      <w:r>
        <w:rPr>
          <w:rFonts w:ascii="仿宋" w:hAnsi="仿宋" w:eastAsia="仿宋"/>
          <w:color w:val="000000" w:themeColor="text1"/>
          <w:highlight w:val="none"/>
          <w14:textFill>
            <w14:solidFill>
              <w14:schemeClr w14:val="tx1"/>
            </w14:solidFill>
          </w14:textFill>
        </w:rPr>
        <w:t>挑战</w:t>
      </w:r>
      <w:bookmarkEnd w:id="7"/>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w:t>
      </w:r>
      <w:r>
        <w:rPr>
          <w:rFonts w:ascii="仿宋" w:hAnsi="仿宋" w:eastAsia="仿宋"/>
          <w:b/>
          <w:bCs/>
          <w:color w:val="000000" w:themeColor="text1"/>
          <w:highlight w:val="none"/>
          <w14:textFill>
            <w14:solidFill>
              <w14:schemeClr w14:val="tx1"/>
            </w14:solidFill>
          </w14:textFill>
        </w:rPr>
        <w:t>城市发展等级不高</w:t>
      </w:r>
      <w:r>
        <w:rPr>
          <w:rFonts w:hint="eastAsia" w:ascii="仿宋" w:hAnsi="仿宋" w:eastAsia="仿宋"/>
          <w:b/>
          <w:bCs/>
          <w:color w:val="000000" w:themeColor="text1"/>
          <w:highlight w:val="none"/>
          <w14:textFill>
            <w14:solidFill>
              <w14:schemeClr w14:val="tx1"/>
            </w14:solidFill>
          </w14:textFill>
        </w:rPr>
        <w:t>，门户作用有待发挥</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人口增长缓慢，人口和城镇化率未达到规划预期。2010年-2020年广水市常住人口减少4.5万人，年均减少0.59%，人口流失现象加剧。城镇化率54.44%，低于随州（56.93%）、湖北省（62.89%）和全国（63.89%）平均水平。</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产业仍处于价值链</w:t>
      </w:r>
      <w:r>
        <w:rPr>
          <w:rFonts w:hint="eastAsia" w:ascii="仿宋" w:hAnsi="仿宋" w:eastAsia="仿宋"/>
          <w:color w:val="000000" w:themeColor="text1"/>
          <w:highlight w:val="none"/>
          <w14:textFill>
            <w14:solidFill>
              <w14:schemeClr w14:val="tx1"/>
            </w14:solidFill>
          </w14:textFill>
        </w:rPr>
        <w:t>中低</w:t>
      </w:r>
      <w:r>
        <w:rPr>
          <w:rFonts w:hint="eastAsia" w:ascii="仿宋" w:hAnsi="仿宋" w:eastAsia="仿宋" w:cs="Times New Roman"/>
          <w:color w:val="000000" w:themeColor="text1"/>
          <w:highlight w:val="none"/>
          <w14:textFill>
            <w14:solidFill>
              <w14:schemeClr w14:val="tx1"/>
            </w14:solidFill>
          </w14:textFill>
        </w:rPr>
        <w:t>端，现代服务业发展滞后。智能制造、农产品加工、风机等优势产业尚未达到千亿规模。服务业优势行业集中在公共服务领域，生产性服务业整体发育不足。生态、文化等特色资源开发与利用方式处于初级水平，旅游产业规模有待提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城市节点作用发挥不足。在区域各要素</w:t>
      </w:r>
      <w:r>
        <w:rPr>
          <w:rFonts w:hint="eastAsia" w:ascii="仿宋" w:hAnsi="仿宋" w:eastAsia="仿宋" w:cs="Times New Roman"/>
          <w:color w:val="000000" w:themeColor="text1"/>
          <w:highlight w:val="none"/>
          <w:lang w:eastAsia="zh-CN"/>
          <w14:textFill>
            <w14:solidFill>
              <w14:schemeClr w14:val="tx1"/>
            </w14:solidFill>
          </w14:textFill>
        </w:rPr>
        <w:t>流通</w:t>
      </w:r>
      <w:r>
        <w:rPr>
          <w:rFonts w:hint="eastAsia" w:ascii="仿宋" w:hAnsi="仿宋" w:eastAsia="仿宋" w:cs="Times New Roman"/>
          <w:color w:val="000000" w:themeColor="text1"/>
          <w:highlight w:val="none"/>
          <w14:textFill>
            <w14:solidFill>
              <w14:schemeClr w14:val="tx1"/>
            </w14:solidFill>
          </w14:textFill>
        </w:rPr>
        <w:t>中的节点作用不强，与武汉城市圈和鄂西生态文化旅游圈的联系不够紧密，存在被边缘化风险。</w:t>
      </w:r>
      <w:r>
        <w:rPr>
          <w:rFonts w:ascii="仿宋" w:hAnsi="仿宋" w:eastAsia="仿宋" w:cs="Times New Roman"/>
          <w:color w:val="000000" w:themeColor="text1"/>
          <w:highlight w:val="none"/>
          <w14:textFill>
            <w14:solidFill>
              <w14:schemeClr w14:val="tx1"/>
            </w14:solidFill>
          </w14:textFill>
        </w:rPr>
        <w:t>门户作用不强</w:t>
      </w:r>
      <w:r>
        <w:rPr>
          <w:rFonts w:hint="eastAsia" w:ascii="仿宋" w:hAnsi="仿宋" w:eastAsia="仿宋" w:cs="Times New Roman"/>
          <w:color w:val="000000" w:themeColor="text1"/>
          <w:highlight w:val="none"/>
          <w14:textFill>
            <w14:solidFill>
              <w14:schemeClr w14:val="tx1"/>
            </w14:solidFill>
          </w14:textFill>
        </w:rPr>
        <w:t>，广水作为鄂北门户，缺少与河南省之间的联系，同时发挥武汉城市圈与中原城市群的连接作用也有待提高。</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（2）耕地保护和粮食安全形势严峻，保护开发矛盾凸显</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保障粮食安全，关键在于落实“藏粮于地、藏粮于技”战略。耕地是粮食生产的</w:t>
      </w:r>
      <w:r>
        <w:rPr>
          <w:rFonts w:hint="eastAsia" w:ascii="仿宋" w:hAnsi="仿宋" w:eastAsia="仿宋" w:cs="Times New Roman"/>
          <w:color w:val="000000" w:themeColor="text1"/>
          <w:highlight w:val="none"/>
          <w14:textFill>
            <w14:solidFill>
              <w14:schemeClr w14:val="tx1"/>
            </w14:solidFill>
          </w14:textFill>
        </w:rPr>
        <w:t>根本</w:t>
      </w:r>
      <w:r>
        <w:rPr>
          <w:rFonts w:ascii="仿宋" w:hAnsi="仿宋" w:eastAsia="仿宋" w:cs="Times New Roman"/>
          <w:color w:val="000000" w:themeColor="text1"/>
          <w:highlight w:val="none"/>
          <w14:textFill>
            <w14:solidFill>
              <w14:schemeClr w14:val="tx1"/>
            </w14:solidFill>
          </w14:textFill>
        </w:rPr>
        <w:t>，保证粮食供应，首要确保耕地安全，守住耕地红线。</w:t>
      </w:r>
      <w:r>
        <w:rPr>
          <w:rFonts w:hint="eastAsia" w:ascii="仿宋" w:hAnsi="仿宋" w:eastAsia="仿宋" w:cs="Times New Roman"/>
          <w:color w:val="000000" w:themeColor="text1"/>
          <w:highlight w:val="none"/>
          <w14:textFill>
            <w14:solidFill>
              <w14:schemeClr w14:val="tx1"/>
            </w14:solidFill>
          </w14:textFill>
        </w:rPr>
        <w:t>广水市2</w:t>
      </w:r>
      <w:r>
        <w:rPr>
          <w:rFonts w:ascii="仿宋" w:hAnsi="仿宋" w:eastAsia="仿宋" w:cs="Times New Roman"/>
          <w:color w:val="000000" w:themeColor="text1"/>
          <w:highlight w:val="none"/>
          <w14:textFill>
            <w14:solidFill>
              <w14:schemeClr w14:val="tx1"/>
            </w14:solidFill>
          </w14:textFill>
        </w:rPr>
        <w:t>020</w:t>
      </w:r>
      <w:r>
        <w:rPr>
          <w:rFonts w:hint="eastAsia" w:ascii="仿宋" w:hAnsi="仿宋" w:eastAsia="仿宋" w:cs="Times New Roman"/>
          <w:color w:val="000000" w:themeColor="text1"/>
          <w:highlight w:val="none"/>
          <w14:textFill>
            <w14:solidFill>
              <w14:schemeClr w14:val="tx1"/>
            </w14:solidFill>
          </w14:textFill>
        </w:rPr>
        <w:t>年耕地面积7</w:t>
      </w:r>
      <w:r>
        <w:rPr>
          <w:rFonts w:ascii="仿宋" w:hAnsi="仿宋" w:eastAsia="仿宋" w:cs="Times New Roman"/>
          <w:color w:val="000000" w:themeColor="text1"/>
          <w:highlight w:val="none"/>
          <w14:textFill>
            <w14:solidFill>
              <w14:schemeClr w14:val="tx1"/>
            </w14:solidFill>
          </w14:textFill>
        </w:rPr>
        <w:t>57.18</w:t>
      </w:r>
      <w:r>
        <w:rPr>
          <w:rFonts w:hint="eastAsia" w:ascii="仿宋" w:hAnsi="仿宋" w:eastAsia="仿宋" w:cs="Times New Roman"/>
          <w:color w:val="000000" w:themeColor="text1"/>
          <w:highlight w:val="none"/>
          <w14:textFill>
            <w14:solidFill>
              <w14:schemeClr w14:val="tx1"/>
            </w14:solidFill>
          </w14:textFill>
        </w:rPr>
        <w:t>平方公里，规划期内保护目标7</w:t>
      </w:r>
      <w:r>
        <w:rPr>
          <w:rFonts w:ascii="仿宋" w:hAnsi="仿宋" w:eastAsia="仿宋" w:cs="Times New Roman"/>
          <w:color w:val="000000" w:themeColor="text1"/>
          <w:highlight w:val="none"/>
          <w14:textFill>
            <w14:solidFill>
              <w14:schemeClr w14:val="tx1"/>
            </w14:solidFill>
          </w14:textFill>
        </w:rPr>
        <w:t>51.99</w:t>
      </w:r>
      <w:r>
        <w:rPr>
          <w:rFonts w:hint="eastAsia" w:ascii="仿宋" w:hAnsi="仿宋" w:eastAsia="仿宋" w:cs="Times New Roman"/>
          <w:color w:val="000000" w:themeColor="text1"/>
          <w:highlight w:val="none"/>
          <w14:textFill>
            <w14:solidFill>
              <w14:schemeClr w14:val="tx1"/>
            </w14:solidFill>
          </w14:textFill>
        </w:rPr>
        <w:t>平方公里，虽然守住了耕地保护红线，但余量空间少。民众</w:t>
      </w:r>
      <w:r>
        <w:rPr>
          <w:rFonts w:ascii="仿宋" w:hAnsi="仿宋" w:eastAsia="仿宋" w:cs="Times New Roman"/>
          <w:color w:val="000000" w:themeColor="text1"/>
          <w:highlight w:val="none"/>
          <w14:textFill>
            <w14:solidFill>
              <w14:schemeClr w14:val="tx1"/>
            </w14:solidFill>
          </w14:textFill>
        </w:rPr>
        <w:t>对于耕地的环境保护意识薄弱</w:t>
      </w:r>
      <w:r>
        <w:rPr>
          <w:rFonts w:hint="eastAsia" w:ascii="仿宋" w:hAnsi="仿宋" w:eastAsia="仿宋" w:cs="Times New Roman"/>
          <w:color w:val="000000" w:themeColor="text1"/>
          <w:highlight w:val="none"/>
          <w14:textFill>
            <w14:solidFill>
              <w14:schemeClr w14:val="tx1"/>
            </w14:solidFill>
          </w14:textFill>
        </w:rPr>
        <w:t>，耕地流向其他农用地面积年均约为</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平方公里，重点建设项目占用耕地较多，规划期内重点建设项目预计占用耕地1</w:t>
      </w:r>
      <w:r>
        <w:rPr>
          <w:rFonts w:ascii="仿宋" w:hAnsi="仿宋" w:eastAsia="仿宋" w:cs="Times New Roman"/>
          <w:color w:val="000000" w:themeColor="text1"/>
          <w:highlight w:val="none"/>
          <w14:textFill>
            <w14:solidFill>
              <w14:schemeClr w14:val="tx1"/>
            </w14:solidFill>
          </w14:textFill>
        </w:rPr>
        <w:t>0</w:t>
      </w:r>
      <w:r>
        <w:rPr>
          <w:rFonts w:hint="eastAsia" w:ascii="仿宋" w:hAnsi="仿宋" w:eastAsia="仿宋" w:cs="Times New Roman"/>
          <w:color w:val="000000" w:themeColor="text1"/>
          <w:highlight w:val="none"/>
          <w14:textFill>
            <w14:solidFill>
              <w14:schemeClr w14:val="tx1"/>
            </w14:solidFill>
          </w14:textFill>
        </w:rPr>
        <w:t>平方公里，耕地保护形势仍然严峻。耕地后备资源不足，落实耕地“进出平衡</w:t>
      </w:r>
      <w:r>
        <w:rPr>
          <w:rFonts w:hint="eastAsia" w:ascii="仿宋" w:hAnsi="仿宋" w:eastAsia="仿宋" w:cs="Times New Roman"/>
          <w:color w:val="000000" w:themeColor="text1"/>
          <w:highlight w:val="none"/>
          <w:lang w:eastAsia="zh-CN"/>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占补平衡”困难。</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（3）节约集约利用水平有待加强，资源利用效率不高</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耕地资源总量丰富，但人均耕地面积偏低。广水市2020年实有耕地</w:t>
      </w:r>
      <w:r>
        <w:rPr>
          <w:rFonts w:hint="eastAsia" w:ascii="仿宋" w:hAnsi="仿宋" w:eastAsia="仿宋" w:cs="Times New Roman"/>
          <w:color w:val="000000" w:themeColor="text1"/>
          <w:highlight w:val="none"/>
          <w14:textFill>
            <w14:solidFill>
              <w14:schemeClr w14:val="tx1"/>
            </w14:solidFill>
          </w14:textFill>
        </w:rPr>
        <w:t>7</w:t>
      </w:r>
      <w:r>
        <w:rPr>
          <w:rFonts w:ascii="仿宋" w:hAnsi="仿宋" w:eastAsia="仿宋" w:cs="Times New Roman"/>
          <w:color w:val="000000" w:themeColor="text1"/>
          <w:highlight w:val="none"/>
          <w14:textFill>
            <w14:solidFill>
              <w14:schemeClr w14:val="tx1"/>
            </w14:solidFill>
          </w14:textFill>
        </w:rPr>
        <w:t>57.18平方公里，耕地资源总量较为丰富。全市人均耕地1.27亩，远低于随州市人均1.71亩的平均水平，略低于湖北省人均1.33亩的平均水平，也低于全国1.46亩的平均水平，人均耕地资源处于劣势。</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土地集约节约度不高。现状人均农村建设用地</w:t>
      </w:r>
      <w:r>
        <w:rPr>
          <w:rFonts w:ascii="仿宋" w:hAnsi="仿宋" w:eastAsia="仿宋" w:cs="Times New Roman"/>
          <w:color w:val="000000" w:themeColor="text1"/>
          <w:highlight w:val="none"/>
          <w14:textFill>
            <w14:solidFill>
              <w14:schemeClr w14:val="tx1"/>
            </w14:solidFill>
          </w14:textFill>
        </w:rPr>
        <w:t>381</w:t>
      </w:r>
      <w:r>
        <w:rPr>
          <w:rFonts w:hint="eastAsia" w:ascii="仿宋" w:hAnsi="仿宋" w:eastAsia="仿宋" w:cs="Times New Roman"/>
          <w:color w:val="000000" w:themeColor="text1"/>
          <w:highlight w:val="none"/>
          <w14:textFill>
            <w14:solidFill>
              <w14:schemeClr w14:val="tx1"/>
            </w14:solidFill>
          </w14:textFill>
        </w:rPr>
        <w:t>平方米，远高于国家标准（150平方米），也远高于全省平均水平（270平方米），建设用地节约集约潜力有待进一步挖潜。</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（4）城区空间结构松散，城镇体系有待优化</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组团联系不强，地均效益低下。应山和广水街道受山脉阻隔，形成一城两心，工业用地不集聚高效。</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城乡融合处于相对低水平均衡阶段。城乡收入比1.77，低于湖北省平均水平2.29，主要是城镇常住居民人均可支配收入较低，仅有31681元，为湖北省平均水平的84%。</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经济增速下降，产业后劲不足</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近10年来GDP增速持续下降，支柱产业基础较为稳固，但整体竞争力不强。</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（5）防灾减灾动态监测和实施监管薄弱，空间安全风险增大</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市防灾减灾体系缺乏有效的监督和更新。对广水市威胁较大的气象灾害主要有干旱、暴雨洪涝、大风、冰雹、低温冻害、寒潮等。其中，暴雨洪涝为自然灾害之首。此外，干旱、高温、大风、冰雹等气象灾害风险较高、分布较广，对农作物生产影响较大，对粮食安全产生一定威胁。</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广水市地质灾害隐患点76处，呈高发、频发态势，地质灾害防治工作任务艰巨。专业</w:t>
      </w:r>
      <w:r>
        <w:rPr>
          <w:rFonts w:ascii="仿宋" w:hAnsi="仿宋" w:eastAsia="仿宋" w:cs="Times New Roman"/>
          <w:color w:val="000000" w:themeColor="text1"/>
          <w:highlight w:val="none"/>
          <w14:textFill>
            <w14:solidFill>
              <w14:schemeClr w14:val="tx1"/>
            </w14:solidFill>
          </w14:textFill>
        </w:rPr>
        <w:t>监测</w:t>
      </w:r>
      <w:r>
        <w:rPr>
          <w:rFonts w:hint="eastAsia" w:ascii="仿宋" w:hAnsi="仿宋" w:eastAsia="仿宋" w:cs="Times New Roman"/>
          <w:color w:val="000000" w:themeColor="text1"/>
          <w:highlight w:val="none"/>
          <w14:textFill>
            <w14:solidFill>
              <w14:schemeClr w14:val="tx1"/>
            </w14:solidFill>
          </w14:textFill>
        </w:rPr>
        <w:t>使用时间较短，覆盖率较低，实际应用效果存在误报等情况，需提升监测预警准确性和及时性。社会公众防灾减灾知识需要继续普及。许多群众缺乏必要的地质灾害防治知识，防灾减灾意识不高。</w:t>
      </w:r>
    </w:p>
    <w:p>
      <w:pPr>
        <w:pStyle w:val="4"/>
        <w:rPr>
          <w:rFonts w:ascii="仿宋" w:hAnsi="仿宋" w:eastAsia="仿宋"/>
          <w:color w:val="000000" w:themeColor="text1"/>
          <w:highlight w:val="none"/>
          <w14:textFill>
            <w14:solidFill>
              <w14:schemeClr w14:val="tx1"/>
            </w14:solidFill>
          </w14:textFill>
        </w:rPr>
      </w:pPr>
      <w:bookmarkStart w:id="8" w:name="_Toc16540"/>
      <w:r>
        <w:rPr>
          <w:rFonts w:ascii="仿宋" w:hAnsi="仿宋" w:eastAsia="仿宋"/>
          <w:color w:val="000000" w:themeColor="text1"/>
          <w:highlight w:val="none"/>
          <w14:textFill>
            <w14:solidFill>
              <w14:schemeClr w14:val="tx1"/>
            </w14:solidFill>
          </w14:textFill>
        </w:rPr>
        <w:t>第</w:t>
      </w:r>
      <w:r>
        <w:rPr>
          <w:rFonts w:hint="eastAsia" w:ascii="仿宋" w:hAnsi="仿宋" w:eastAsia="仿宋"/>
          <w:color w:val="000000" w:themeColor="text1"/>
          <w:highlight w:val="none"/>
          <w14:textFill>
            <w14:solidFill>
              <w14:schemeClr w14:val="tx1"/>
            </w14:solidFill>
          </w14:textFill>
        </w:rPr>
        <w:t>3节 约束与潜力</w:t>
      </w:r>
      <w:bookmarkEnd w:id="8"/>
    </w:p>
    <w:p>
      <w:pPr>
        <w:pStyle w:val="21"/>
        <w:numPr>
          <w:ilvl w:val="0"/>
          <w:numId w:val="3"/>
        </w:numPr>
        <w:ind w:left="560" w:leftChars="20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资源环境承载力评价</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生态保护极重要区分布较集中。全域生态保护极重要</w:t>
      </w:r>
      <w:r>
        <w:rPr>
          <w:rFonts w:ascii="仿宋" w:hAnsi="仿宋" w:eastAsia="仿宋" w:cs="Times New Roman"/>
          <w:color w:val="000000" w:themeColor="text1"/>
          <w:highlight w:val="none"/>
          <w14:textFill>
            <w14:solidFill>
              <w14:schemeClr w14:val="tx1"/>
            </w14:solidFill>
          </w14:textFill>
        </w:rPr>
        <w:t>面积239.35</w:t>
      </w:r>
      <w:r>
        <w:rPr>
          <w:rFonts w:hint="eastAsia" w:ascii="仿宋" w:hAnsi="仿宋" w:eastAsia="仿宋" w:cs="Times New Roman"/>
          <w:color w:val="000000" w:themeColor="text1"/>
          <w:highlight w:val="none"/>
          <w14:textFill>
            <w14:solidFill>
              <w14:schemeClr w14:val="tx1"/>
            </w14:solidFill>
          </w14:textFill>
        </w:rPr>
        <w:t>平方公里</w:t>
      </w:r>
      <w:r>
        <w:rPr>
          <w:rFonts w:ascii="仿宋" w:hAnsi="仿宋" w:eastAsia="仿宋" w:cs="Times New Roman"/>
          <w:color w:val="000000" w:themeColor="text1"/>
          <w:highlight w:val="none"/>
          <w14:textFill>
            <w14:solidFill>
              <w14:schemeClr w14:val="tx1"/>
            </w14:solidFill>
          </w14:textFill>
        </w:rPr>
        <w:t>，占全市国土面积的9.05%。主要分布在广水市蔡河镇的广水市三潭风景名胜区和许家冲水库域，十里街道办事处、广水街道办事处的中华山鸟类自然保护区和中华山国家森林公园，长岭镇、马坪镇的徐家河国家湿地公园。</w:t>
      </w:r>
    </w:p>
    <w:p>
      <w:pPr>
        <w:ind w:firstLine="560" w:firstLineChars="200"/>
        <w:rPr>
          <w:rFonts w:ascii="仿宋" w:hAnsi="仿宋" w:eastAsia="仿宋" w:cs="Times New Roman"/>
          <w:color w:val="000000" w:themeColor="text1"/>
          <w:highlight w:val="none"/>
          <w14:textFill>
            <w14:solidFill>
              <w14:schemeClr w14:val="tx1"/>
            </w14:solidFill>
          </w14:textFill>
        </w:rPr>
      </w:pPr>
      <w:bookmarkStart w:id="9" w:name="_Hlk41398432"/>
      <w:r>
        <w:rPr>
          <w:rFonts w:ascii="仿宋" w:hAnsi="仿宋" w:eastAsia="仿宋" w:cs="Times New Roman"/>
          <w:color w:val="000000" w:themeColor="text1"/>
          <w:highlight w:val="none"/>
          <w14:textFill>
            <w14:solidFill>
              <w14:schemeClr w14:val="tx1"/>
            </w14:solidFill>
          </w14:textFill>
        </w:rPr>
        <w:t>生态保护“重要”的面积1074.76</w:t>
      </w:r>
      <w:r>
        <w:rPr>
          <w:rFonts w:hint="eastAsia" w:ascii="仿宋" w:hAnsi="仿宋" w:eastAsia="仿宋" w:cs="Times New Roman"/>
          <w:color w:val="000000" w:themeColor="text1"/>
          <w:highlight w:val="none"/>
          <w14:textFill>
            <w14:solidFill>
              <w14:schemeClr w14:val="tx1"/>
            </w14:solidFill>
          </w14:textFill>
        </w:rPr>
        <w:t>平方公里</w:t>
      </w:r>
      <w:r>
        <w:rPr>
          <w:rFonts w:ascii="仿宋" w:hAnsi="仿宋" w:eastAsia="仿宋" w:cs="Times New Roman"/>
          <w:color w:val="000000" w:themeColor="text1"/>
          <w:highlight w:val="none"/>
          <w14:textFill>
            <w14:solidFill>
              <w14:schemeClr w14:val="tx1"/>
            </w14:solidFill>
          </w14:textFill>
        </w:rPr>
        <w:t>，占全市国土面积的40.63%，总体分布范围较为广泛，</w:t>
      </w:r>
      <w:bookmarkEnd w:id="9"/>
      <w:r>
        <w:rPr>
          <w:rFonts w:eastAsia="仿宋"/>
          <w:color w:val="000000" w:themeColor="text1"/>
          <w:szCs w:val="28"/>
          <w:highlight w:val="none"/>
          <w14:textFill>
            <w14:solidFill>
              <w14:schemeClr w14:val="tx1"/>
            </w14:solidFill>
          </w14:textFill>
        </w:rPr>
        <w:t>主要分布在广水市北部的大别山、桐柏山、鸡公山、二妹山一带和西部的徐家河国家湿地公园等地区。</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农业生产适宜区广泛分布，农业发展潜力大。广水市</w:t>
      </w:r>
      <w:r>
        <w:rPr>
          <w:rFonts w:ascii="仿宋" w:hAnsi="仿宋" w:eastAsia="仿宋" w:cs="Times New Roman"/>
          <w:color w:val="000000" w:themeColor="text1"/>
          <w:highlight w:val="none"/>
          <w14:textFill>
            <w14:solidFill>
              <w14:schemeClr w14:val="tx1"/>
            </w14:solidFill>
          </w14:textFill>
        </w:rPr>
        <w:t>种植业适宜区的面积为2036.91</w:t>
      </w:r>
      <w:r>
        <w:rPr>
          <w:rFonts w:hint="eastAsia" w:ascii="仿宋" w:hAnsi="仿宋" w:eastAsia="仿宋" w:cs="Times New Roman"/>
          <w:color w:val="000000" w:themeColor="text1"/>
          <w:highlight w:val="none"/>
          <w14:textFill>
            <w14:solidFill>
              <w14:schemeClr w14:val="tx1"/>
            </w14:solidFill>
          </w14:textFill>
        </w:rPr>
        <w:t>平方公里</w:t>
      </w:r>
      <w:r>
        <w:rPr>
          <w:rFonts w:ascii="仿宋" w:hAnsi="仿宋" w:eastAsia="仿宋" w:cs="Times New Roman"/>
          <w:color w:val="000000" w:themeColor="text1"/>
          <w:highlight w:val="none"/>
          <w14:textFill>
            <w14:solidFill>
              <w14:schemeClr w14:val="tx1"/>
            </w14:solidFill>
          </w14:textFill>
        </w:rPr>
        <w:t>，占全市国土面积的76.99%。渔业“适宜”的面积为189.70平方公里，占全市水域面积的94.38%，主要分布在长岭、蔡河、陈巷、余店的坑塘水面和水库水面。广水市空间约束下农业生产承载总规模为2036.91平方公里，各镇（办）在空间约束的农业生产承载方面均有较大的承载规模</w:t>
      </w:r>
      <w:r>
        <w:rPr>
          <w:rFonts w:hint="eastAsia" w:ascii="仿宋" w:hAnsi="仿宋" w:eastAsia="仿宋" w:cs="Times New Roman"/>
          <w:color w:val="000000" w:themeColor="text1"/>
          <w:highlight w:val="none"/>
          <w14:textFill>
            <w14:solidFill>
              <w14:schemeClr w14:val="tx1"/>
            </w14:solidFill>
          </w14:textFill>
        </w:rPr>
        <w:t>。</w:t>
      </w:r>
    </w:p>
    <w:p>
      <w:pPr>
        <w:pStyle w:val="2"/>
        <w:ind w:firstLine="560" w:firstLineChars="200"/>
        <w:rPr>
          <w:rFonts w:hint="eastAsia" w:eastAsia="仿宋"/>
          <w:color w:val="000000" w:themeColor="text1"/>
          <w:szCs w:val="28"/>
          <w:highlight w:val="none"/>
          <w14:textFill>
            <w14:solidFill>
              <w14:schemeClr w14:val="tx1"/>
            </w14:solidFill>
          </w14:textFill>
        </w:rPr>
      </w:pPr>
      <w:r>
        <w:rPr>
          <w:rFonts w:eastAsia="仿宋"/>
          <w:color w:val="000000" w:themeColor="text1"/>
          <w:szCs w:val="28"/>
          <w:highlight w:val="none"/>
          <w14:textFill>
            <w14:solidFill>
              <w14:schemeClr w14:val="tx1"/>
            </w14:solidFill>
          </w14:textFill>
        </w:rPr>
        <w:t>城镇建设适宜性整体较高。城镇建设“适宜”的面积为186067.7公顷，占全市国土面积的70.33%。整体上主要分布在中部及南部地区，这些区域地势平坦，地质灾害影响小，有利于城镇建设布局的开展。</w:t>
      </w:r>
    </w:p>
    <w:p>
      <w:pPr>
        <w:pStyle w:val="21"/>
        <w:numPr>
          <w:ilvl w:val="0"/>
          <w:numId w:val="3"/>
        </w:numPr>
        <w:ind w:left="560" w:leftChars="200" w:firstLineChars="0"/>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国土空间开发适宜性评价</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城镇建设适宜区分布广泛，城镇拓展空间充裕。</w:t>
      </w:r>
      <w:r>
        <w:rPr>
          <w:rFonts w:ascii="仿宋" w:hAnsi="仿宋" w:eastAsia="仿宋" w:cs="Times New Roman"/>
          <w:color w:val="000000" w:themeColor="text1"/>
          <w:highlight w:val="none"/>
          <w14:textFill>
            <w14:solidFill>
              <w14:schemeClr w14:val="tx1"/>
            </w14:solidFill>
          </w14:textFill>
        </w:rPr>
        <w:t>城镇建设“适宜”的面积为1860.68平方公里，占全市国土面积的70.33%。整体上主要分布在中部及南部地区，这些区域地势平坦，地质灾害影响小，有利于城镇建设布局的开展。水资源约束下的城镇建设承载规模为52.23平方公里，与现状城镇建设</w:t>
      </w:r>
      <w:r>
        <w:rPr>
          <w:rFonts w:hint="eastAsia" w:ascii="仿宋" w:hAnsi="仿宋" w:eastAsia="仿宋" w:cs="Times New Roman"/>
          <w:color w:val="000000" w:themeColor="text1"/>
          <w:highlight w:val="none"/>
          <w14:textFill>
            <w14:solidFill>
              <w14:schemeClr w14:val="tx1"/>
            </w14:solidFill>
          </w14:textFill>
        </w:rPr>
        <w:t>用地面积</w:t>
      </w:r>
      <w:r>
        <w:rPr>
          <w:rFonts w:ascii="仿宋" w:hAnsi="仿宋" w:eastAsia="仿宋" w:cs="Times New Roman"/>
          <w:color w:val="000000" w:themeColor="text1"/>
          <w:highlight w:val="none"/>
          <w14:textFill>
            <w14:solidFill>
              <w14:schemeClr w14:val="tx1"/>
            </w14:solidFill>
          </w14:textFill>
        </w:rPr>
        <w:t>（36.95平方公里）相比，存在15.28平方公里的增量空间。</w:t>
      </w:r>
    </w:p>
    <w:p>
      <w:pPr>
        <w:spacing w:before="156" w:beforeLines="50" w:after="156" w:afterLines="50"/>
        <w:ind w:firstLine="48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城镇建设潜力</w:t>
      </w:r>
      <w:r>
        <w:rPr>
          <w:rFonts w:hint="eastAsia" w:ascii="仿宋" w:hAnsi="仿宋" w:eastAsia="仿宋" w:cs="Times New Roman"/>
          <w:color w:val="000000" w:themeColor="text1"/>
          <w:highlight w:val="none"/>
          <w14:textFill>
            <w14:solidFill>
              <w14:schemeClr w14:val="tx1"/>
            </w14:solidFill>
          </w14:textFill>
        </w:rPr>
        <w:t>较大。广水市</w:t>
      </w:r>
      <w:r>
        <w:rPr>
          <w:rFonts w:ascii="仿宋" w:hAnsi="仿宋" w:eastAsia="仿宋" w:cs="Times New Roman"/>
          <w:color w:val="000000" w:themeColor="text1"/>
          <w:highlight w:val="none"/>
          <w14:textFill>
            <w14:solidFill>
              <w14:schemeClr w14:val="tx1"/>
            </w14:solidFill>
          </w14:textFill>
        </w:rPr>
        <w:t>具备城镇建设潜力用地规模为352.90平方公里， 用地来源主要包括一般耕地、农村宅基地、坑塘水面、种植园地等，其中一般耕地占比最高（58.45%）。</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
        <w:pageBreakBefore/>
        <w:rPr>
          <w:rFonts w:ascii="仿宋" w:hAnsi="仿宋" w:eastAsia="仿宋"/>
          <w:color w:val="000000" w:themeColor="text1"/>
          <w:highlight w:val="none"/>
          <w14:textFill>
            <w14:solidFill>
              <w14:schemeClr w14:val="tx1"/>
            </w14:solidFill>
          </w14:textFill>
        </w:rPr>
      </w:pPr>
      <w:bookmarkStart w:id="10" w:name="_Toc29795"/>
      <w:r>
        <w:rPr>
          <w:rFonts w:hint="eastAsia" w:ascii="仿宋" w:hAnsi="仿宋" w:eastAsia="仿宋"/>
          <w:color w:val="000000" w:themeColor="text1"/>
          <w:highlight w:val="none"/>
          <w14:textFill>
            <w14:solidFill>
              <w14:schemeClr w14:val="tx1"/>
            </w14:solidFill>
          </w14:textFill>
        </w:rPr>
        <w:t>第三章 目标定位</w:t>
      </w:r>
      <w:r>
        <w:rPr>
          <w:rFonts w:ascii="仿宋" w:hAnsi="仿宋" w:eastAsia="仿宋"/>
          <w:color w:val="000000" w:themeColor="text1"/>
          <w:highlight w:val="none"/>
          <w14:textFill>
            <w14:solidFill>
              <w14:schemeClr w14:val="tx1"/>
            </w14:solidFill>
          </w14:textFill>
        </w:rPr>
        <w:t>与空间战略</w:t>
      </w:r>
      <w:bookmarkEnd w:id="10"/>
    </w:p>
    <w:p>
      <w:pPr>
        <w:pStyle w:val="4"/>
        <w:rPr>
          <w:rFonts w:ascii="仿宋" w:hAnsi="仿宋" w:eastAsia="仿宋"/>
          <w:color w:val="000000" w:themeColor="text1"/>
          <w:highlight w:val="none"/>
          <w14:textFill>
            <w14:solidFill>
              <w14:schemeClr w14:val="tx1"/>
            </w14:solidFill>
          </w14:textFill>
        </w:rPr>
      </w:pPr>
      <w:bookmarkStart w:id="11" w:name="_Toc28443"/>
      <w:r>
        <w:rPr>
          <w:rFonts w:hint="eastAsia" w:ascii="仿宋" w:hAnsi="仿宋" w:eastAsia="仿宋"/>
          <w:color w:val="000000" w:themeColor="text1"/>
          <w:highlight w:val="none"/>
          <w14:textFill>
            <w14:solidFill>
              <w14:schemeClr w14:val="tx1"/>
            </w14:solidFill>
          </w14:textFill>
        </w:rPr>
        <w:t>第1节 指导</w:t>
      </w:r>
      <w:r>
        <w:rPr>
          <w:rFonts w:ascii="仿宋" w:hAnsi="仿宋" w:eastAsia="仿宋"/>
          <w:color w:val="000000" w:themeColor="text1"/>
          <w:highlight w:val="none"/>
          <w14:textFill>
            <w14:solidFill>
              <w14:schemeClr w14:val="tx1"/>
            </w14:solidFill>
          </w14:textFill>
        </w:rPr>
        <w:t>思想</w:t>
      </w:r>
      <w:bookmarkEnd w:id="11"/>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以习近平新时代中国特色社会主义思想为指导，深入贯彻党的十九大和十九届二中、三中、四中、五中全会重要指示精神，统筹推进“五位一体”总体布局，协调推进“四个全面”战略布局，贯彻生态文明理念，统筹发展与安全，牢固树立创新、协调、绿色、开放、共享的新发展理念，以推动高质量发展为主题，以人民为中心，坚持一切从实际出发，整体谋划新时代国土空间开发保护格局，促进市域国土空间治理体系和治理能力现代化，实现国土空间开发保护更高质量、更有效率、更加公平、更可持续。</w:t>
      </w:r>
    </w:p>
    <w:p>
      <w:pPr>
        <w:pStyle w:val="4"/>
        <w:rPr>
          <w:rFonts w:ascii="仿宋" w:hAnsi="仿宋" w:eastAsia="仿宋"/>
          <w:color w:val="000000" w:themeColor="text1"/>
          <w:highlight w:val="none"/>
          <w14:textFill>
            <w14:solidFill>
              <w14:schemeClr w14:val="tx1"/>
            </w14:solidFill>
          </w14:textFill>
        </w:rPr>
      </w:pPr>
      <w:bookmarkStart w:id="12" w:name="_Toc26498"/>
      <w:r>
        <w:rPr>
          <w:rFonts w:hint="eastAsia" w:ascii="仿宋" w:hAnsi="仿宋" w:eastAsia="仿宋"/>
          <w:color w:val="000000" w:themeColor="text1"/>
          <w:highlight w:val="none"/>
          <w14:textFill>
            <w14:solidFill>
              <w14:schemeClr w14:val="tx1"/>
            </w14:solidFill>
          </w14:textFill>
        </w:rPr>
        <w:t xml:space="preserve">第2节 </w:t>
      </w:r>
      <w:r>
        <w:rPr>
          <w:rFonts w:ascii="仿宋" w:hAnsi="仿宋" w:eastAsia="仿宋"/>
          <w:color w:val="000000" w:themeColor="text1"/>
          <w:highlight w:val="none"/>
          <w14:textFill>
            <w14:solidFill>
              <w14:schemeClr w14:val="tx1"/>
            </w14:solidFill>
          </w14:textFill>
        </w:rPr>
        <w:t>总体定位</w:t>
      </w:r>
      <w:bookmarkEnd w:id="12"/>
    </w:p>
    <w:p>
      <w:p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“以特种装备、新能源、精细化工、循环经济</w:t>
      </w:r>
      <w:r>
        <w:rPr>
          <w:rFonts w:hint="eastAsia" w:ascii="仿宋" w:hAnsi="仿宋" w:eastAsia="仿宋"/>
          <w:b/>
          <w:bCs/>
          <w:color w:val="000000" w:themeColor="text1"/>
          <w:highlight w:val="none"/>
          <w:lang w:eastAsia="zh-CN"/>
          <w14:textFill>
            <w14:solidFill>
              <w14:schemeClr w14:val="tx1"/>
            </w14:solidFill>
          </w14:textFill>
        </w:rPr>
        <w:t>、现代农业</w:t>
      </w:r>
      <w:r>
        <w:rPr>
          <w:rFonts w:hint="eastAsia" w:ascii="仿宋" w:hAnsi="仿宋" w:eastAsia="仿宋"/>
          <w:b/>
          <w:bCs/>
          <w:color w:val="000000" w:themeColor="text1"/>
          <w:highlight w:val="none"/>
          <w14:textFill>
            <w14:solidFill>
              <w14:schemeClr w14:val="tx1"/>
            </w14:solidFill>
          </w14:textFill>
        </w:rPr>
        <w:t>和山水文化旅游为主导的鄂北门户城市，武汉都市圈与中原城市群、襄十随神城市群两大城市群对接流通的重要节点城市。”</w:t>
      </w:r>
    </w:p>
    <w:p>
      <w:pPr>
        <w:ind w:firstLine="562"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“桥接楚豫”区域性的重要节点城市。</w:t>
      </w:r>
      <w:r>
        <w:rPr>
          <w:rFonts w:hint="eastAsia" w:cs="仿宋_GB2312"/>
          <w:color w:val="000000" w:themeColor="text1"/>
          <w:szCs w:val="32"/>
          <w:highlight w:val="none"/>
          <w14:textFill>
            <w14:solidFill>
              <w14:schemeClr w14:val="tx1"/>
            </w14:solidFill>
          </w14:textFill>
        </w:rPr>
        <w:t>放大武汉城市圈、襄十随神城市群、中原城市群节点城市效应。推进与中原城市群的合作共赢，联合打造鄂北豫南跨省域生态旅游合作示范基地。围绕“襄十随神”重点推进产业互融，引导风机、冶金、新型建材、智能装备等主导产业；深度对接武汉都市圈</w:t>
      </w:r>
      <w:r>
        <w:rPr>
          <w:rFonts w:hint="eastAsia" w:ascii="仿宋" w:hAnsi="仿宋" w:eastAsia="仿宋"/>
          <w:color w:val="000000" w:themeColor="text1"/>
          <w:highlight w:val="none"/>
          <w14:textFill>
            <w14:solidFill>
              <w14:schemeClr w14:val="tx1"/>
            </w14:solidFill>
          </w14:textFill>
        </w:rPr>
        <w:t>，</w:t>
      </w:r>
      <w:r>
        <w:rPr>
          <w:rFonts w:cs="仿宋_GB2312"/>
          <w:color w:val="000000" w:themeColor="text1"/>
          <w:szCs w:val="32"/>
          <w:highlight w:val="none"/>
          <w14:textFill>
            <w14:solidFill>
              <w14:schemeClr w14:val="tx1"/>
            </w14:solidFill>
          </w14:textFill>
        </w:rPr>
        <w:t>推进信息</w:t>
      </w:r>
      <w:r>
        <w:rPr>
          <w:rFonts w:hint="eastAsia" w:cs="仿宋_GB2312"/>
          <w:color w:val="000000" w:themeColor="text1"/>
          <w:szCs w:val="32"/>
          <w:highlight w:val="none"/>
          <w14:textFill>
            <w14:solidFill>
              <w14:schemeClr w14:val="tx1"/>
            </w14:solidFill>
          </w14:textFill>
        </w:rPr>
        <w:t>技术</w:t>
      </w:r>
      <w:r>
        <w:rPr>
          <w:rFonts w:cs="仿宋_GB2312"/>
          <w:color w:val="000000" w:themeColor="text1"/>
          <w:szCs w:val="32"/>
          <w:highlight w:val="none"/>
          <w14:textFill>
            <w14:solidFill>
              <w14:schemeClr w14:val="tx1"/>
            </w14:solidFill>
          </w14:textFill>
        </w:rPr>
        <w:t>、</w:t>
      </w:r>
      <w:r>
        <w:rPr>
          <w:rFonts w:hint="eastAsia" w:cs="仿宋_GB2312"/>
          <w:color w:val="000000" w:themeColor="text1"/>
          <w:szCs w:val="32"/>
          <w:highlight w:val="none"/>
          <w14:textFill>
            <w14:solidFill>
              <w14:schemeClr w14:val="tx1"/>
            </w14:solidFill>
          </w14:textFill>
        </w:rPr>
        <w:t>风机</w:t>
      </w:r>
      <w:r>
        <w:rPr>
          <w:rFonts w:cs="仿宋_GB2312"/>
          <w:color w:val="000000" w:themeColor="text1"/>
          <w:szCs w:val="32"/>
          <w:highlight w:val="none"/>
          <w14:textFill>
            <w14:solidFill>
              <w14:schemeClr w14:val="tx1"/>
            </w14:solidFill>
          </w14:textFill>
        </w:rPr>
        <w:t>、智能装备、地铁装备、新能源、生物医药等产业配套发展</w:t>
      </w:r>
      <w:r>
        <w:rPr>
          <w:rFonts w:hint="eastAsia" w:ascii="仿宋" w:hAnsi="仿宋" w:eastAsia="仿宋"/>
          <w:color w:val="000000" w:themeColor="text1"/>
          <w:highlight w:val="none"/>
          <w14:textFill>
            <w14:solidFill>
              <w14:schemeClr w14:val="tx1"/>
            </w14:solidFill>
          </w14:textFill>
        </w:rPr>
        <w:t>。</w:t>
      </w:r>
    </w:p>
    <w:p>
      <w:pPr>
        <w:ind w:firstLine="562" w:firstLineChars="200"/>
        <w:rPr>
          <w:rFonts w:hint="eastAsia"/>
          <w:color w:val="000000" w:themeColor="text1"/>
          <w:highlight w:val="none"/>
          <w:lang w:eastAsia="zh-CN"/>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鄂北重要的特色制造业集聚区</w:t>
      </w:r>
      <w:r>
        <w:rPr>
          <w:rFonts w:hint="eastAsia" w:ascii="仿宋" w:hAnsi="仿宋" w:eastAsia="仿宋"/>
          <w:b/>
          <w:bCs/>
          <w:color w:val="000000" w:themeColor="text1"/>
          <w:highlight w:val="none"/>
          <w:lang w:eastAsia="zh-CN"/>
          <w14:textFill>
            <w14:solidFill>
              <w14:schemeClr w14:val="tx1"/>
            </w14:solidFill>
          </w14:textFill>
        </w:rPr>
        <w:t>、风机名城</w:t>
      </w:r>
      <w:r>
        <w:rPr>
          <w:rFonts w:hint="eastAsia" w:ascii="仿宋" w:hAnsi="仿宋" w:eastAsia="仿宋"/>
          <w:b/>
          <w:bCs/>
          <w:color w:val="000000" w:themeColor="text1"/>
          <w:highlight w:val="none"/>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积极融入湖北自贸区建设</w:t>
      </w:r>
      <w:r>
        <w:rPr>
          <w:rFonts w:hint="eastAsia" w:ascii="仿宋" w:hAnsi="仿宋" w:eastAsia="仿宋"/>
          <w:color w:val="000000" w:themeColor="text1"/>
          <w:highlight w:val="none"/>
          <w14:textFill>
            <w14:solidFill>
              <w14:schemeClr w14:val="tx1"/>
            </w14:solidFill>
          </w14:textFill>
        </w:rPr>
        <w:t>，建设鄂北重要的特色制造业集聚区、风机名城，形成以装备制造产业、医药化工产业、农副产品（食品）加工产业和包装制造产业为主导，以节能环保产业和新能源产业为支撑的产业集聚区，打造风机名城。</w:t>
      </w:r>
    </w:p>
    <w:p>
      <w:pPr>
        <w:ind w:firstLine="562" w:firstLineChars="200"/>
        <w:rPr>
          <w:rFonts w:hint="eastAsia" w:ascii="仿宋" w:hAnsi="仿宋" w:eastAsia="仿宋"/>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山水休闲旅游和生态宜居城市。</w:t>
      </w:r>
      <w:r>
        <w:rPr>
          <w:rFonts w:hint="eastAsia" w:ascii="仿宋" w:hAnsi="仿宋" w:eastAsia="仿宋"/>
          <w:color w:val="000000" w:themeColor="text1"/>
          <w:highlight w:val="none"/>
          <w14:textFill>
            <w14:solidFill>
              <w14:schemeClr w14:val="tx1"/>
            </w14:solidFill>
          </w14:textFill>
        </w:rPr>
        <w:t>充分发挥广水市自然资源与文化旅游的发展优势，打造区域性的生态旅游休闲度假节点；加强城市景观风貌特色的塑造和人居环境的建设，提升城市服务水平，成为鄂西生态旅游度假圈上具有地方特色的山水休闲旅游城市，打造武汉都市圈外围区域的优质生态宜居城市。</w:t>
      </w:r>
    </w:p>
    <w:p>
      <w:pPr>
        <w:pStyle w:val="2"/>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color w:val="000000" w:themeColor="text1"/>
          <w:highlight w:val="none"/>
          <w:lang w:eastAsia="zh-CN"/>
          <w14:textFill>
            <w14:solidFill>
              <w14:schemeClr w14:val="tx1"/>
            </w14:solidFill>
          </w14:textFill>
        </w:rPr>
      </w:pPr>
      <w:r>
        <w:rPr>
          <w:rFonts w:hint="eastAsia" w:ascii="仿宋" w:hAnsi="仿宋" w:eastAsia="仿宋" w:cstheme="minorBidi"/>
          <w:b/>
          <w:bCs/>
          <w:color w:val="000000" w:themeColor="text1"/>
          <w:kern w:val="2"/>
          <w:sz w:val="28"/>
          <w:szCs w:val="22"/>
          <w:highlight w:val="none"/>
          <w:lang w:val="en-US" w:eastAsia="zh-CN" w:bidi="ar-SA"/>
          <w14:textFill>
            <w14:solidFill>
              <w14:schemeClr w14:val="tx1"/>
            </w14:solidFill>
          </w14:textFill>
        </w:rPr>
        <w:t>鄂北现代化高效特色农业产业经济示范区。</w:t>
      </w:r>
      <w:r>
        <w:rPr>
          <w:rFonts w:hint="eastAsia" w:ascii="仿宋" w:hAnsi="仿宋" w:eastAsia="仿宋" w:cstheme="minorBidi"/>
          <w:color w:val="000000" w:themeColor="text1"/>
          <w:kern w:val="2"/>
          <w:sz w:val="28"/>
          <w:szCs w:val="22"/>
          <w:highlight w:val="none"/>
          <w:lang w:val="en-US" w:eastAsia="zh-CN" w:bidi="ar-SA"/>
          <w14:textFill>
            <w14:solidFill>
              <w14:schemeClr w14:val="tx1"/>
            </w14:solidFill>
          </w14:textFill>
        </w:rPr>
        <w:t>以创建国家现代农业为抓手，加快省级现代农业产业园区建设，着力形成特色有机农产品种植、精深加工，积极拓展生物农业、生物医药、生物保健的大健康产业。</w:t>
      </w:r>
    </w:p>
    <w:p>
      <w:pPr>
        <w:pStyle w:val="4"/>
        <w:rPr>
          <w:rFonts w:ascii="仿宋" w:hAnsi="仿宋" w:eastAsia="仿宋"/>
          <w:color w:val="000000" w:themeColor="text1"/>
          <w:highlight w:val="none"/>
          <w14:textFill>
            <w14:solidFill>
              <w14:schemeClr w14:val="tx1"/>
            </w14:solidFill>
          </w14:textFill>
        </w:rPr>
      </w:pPr>
      <w:bookmarkStart w:id="13" w:name="_Toc1166"/>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3</w:t>
      </w:r>
      <w:r>
        <w:rPr>
          <w:rFonts w:hint="eastAsia" w:ascii="仿宋" w:hAnsi="仿宋" w:eastAsia="仿宋"/>
          <w:color w:val="000000" w:themeColor="text1"/>
          <w:highlight w:val="none"/>
          <w14:textFill>
            <w14:solidFill>
              <w14:schemeClr w14:val="tx1"/>
            </w14:solidFill>
          </w14:textFill>
        </w:rPr>
        <w:t>节 指标体系</w:t>
      </w:r>
      <w:bookmarkEnd w:id="13"/>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落实上级国土空间规划下达的约束性指标要求，从空间底线、空间结构与效率、空间品质三大方面构建指标体系，确定国土空间开发保护的约束性、预期性指标（见附表1）。</w:t>
      </w:r>
    </w:p>
    <w:p>
      <w:pPr>
        <w:pStyle w:val="4"/>
        <w:rPr>
          <w:rFonts w:ascii="仿宋" w:hAnsi="仿宋" w:eastAsia="仿宋"/>
          <w:color w:val="000000" w:themeColor="text1"/>
          <w:highlight w:val="none"/>
          <w14:textFill>
            <w14:solidFill>
              <w14:schemeClr w14:val="tx1"/>
            </w14:solidFill>
          </w14:textFill>
        </w:rPr>
      </w:pPr>
      <w:bookmarkStart w:id="14" w:name="_Toc20285"/>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4</w:t>
      </w:r>
      <w:r>
        <w:rPr>
          <w:rFonts w:hint="eastAsia" w:ascii="仿宋" w:hAnsi="仿宋" w:eastAsia="仿宋"/>
          <w:color w:val="000000" w:themeColor="text1"/>
          <w:highlight w:val="none"/>
          <w14:textFill>
            <w14:solidFill>
              <w14:schemeClr w14:val="tx1"/>
            </w14:solidFill>
          </w14:textFill>
        </w:rPr>
        <w:t>节 空间战略</w:t>
      </w:r>
      <w:bookmarkEnd w:id="14"/>
    </w:p>
    <w:p>
      <w:pPr>
        <w:ind w:firstLine="562"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融群进圈，与随州协同发展，与武汉合作共赢。</w:t>
      </w:r>
      <w:r>
        <w:rPr>
          <w:rFonts w:hint="eastAsia" w:ascii="仿宋" w:hAnsi="仿宋" w:eastAsia="仿宋"/>
          <w:color w:val="000000" w:themeColor="text1"/>
          <w:highlight w:val="none"/>
          <w14:textFill>
            <w14:solidFill>
              <w14:schemeClr w14:val="tx1"/>
            </w14:solidFill>
          </w14:textFill>
        </w:rPr>
        <w:t>依托随州规划部署，重点推进产业互融，促进产业关联发展、提质壮大；主动融入随州旅游，实现旅游资源、旅游线路、旅游品牌、旅游网点优化整合。围绕“武汉城市圈”建设，重点加强与武汉对接，强化创新合作，拓展“总部+基地”合作模式，形成研发在武汉、生产在广水，总部在武汉、基地在广水的模式。</w:t>
      </w:r>
    </w:p>
    <w:p>
      <w:pPr>
        <w:ind w:firstLine="562"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城乡统筹，全域旅游和乡村振兴助推产城融合。</w:t>
      </w:r>
      <w:r>
        <w:rPr>
          <w:rFonts w:hint="eastAsia" w:ascii="仿宋" w:hAnsi="仿宋" w:eastAsia="仿宋"/>
          <w:color w:val="000000" w:themeColor="text1"/>
          <w:highlight w:val="none"/>
          <w14:textFill>
            <w14:solidFill>
              <w14:schemeClr w14:val="tx1"/>
            </w14:solidFill>
          </w14:textFill>
        </w:rPr>
        <w:t>深化“旅游+”融合发展，推动文旅融合、农旅融合、康旅融合、商旅融合、工旅融合、体旅融合，形成以旅游为引导的产业升级模式。统筹城乡一体化发展，开展农村人居环境整治，补齐农村基础设施短板，提升乡风文明水平，推进乡村治理现代化，绘就农村美、农业强、农民富的美好图景。</w:t>
      </w:r>
    </w:p>
    <w:p>
      <w:pPr>
        <w:ind w:firstLine="562"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挖掘存量，盘活城乡低效用地。</w:t>
      </w:r>
      <w:r>
        <w:rPr>
          <w:rFonts w:hint="eastAsia" w:ascii="仿宋" w:hAnsi="仿宋" w:eastAsia="仿宋"/>
          <w:color w:val="000000" w:themeColor="text1"/>
          <w:highlight w:val="none"/>
          <w14:textFill>
            <w14:solidFill>
              <w14:schemeClr w14:val="tx1"/>
            </w14:solidFill>
          </w14:textFill>
        </w:rPr>
        <w:t>根据自然资源部政策引领，坚持严控总量、盘活存量、优化城乡用地布局，以规划统筹为引领，引导城乡用地结构调整和布局优化，推进土地节约集约利用，促进城乡协调发展，以保护耕地、改善农村生产生活条件、统筹城乡发展为目标，以优化用地结构和节约集约用地为重点，科学合理推动城乡建设用地增减挂钩和“增存挂钩”双机制。加强土地的利用效率，加快推进老城区的旧城更新与改造，完善提升交通和基础设施；加快推进产业园区建设，整备现状产业格局，促进产业升级；加快土地整备与拆迁安置工作进程，确保城乡土地指标的落实，确保规划的有序推进。</w:t>
      </w:r>
    </w:p>
    <w:p>
      <w:pPr>
        <w:pStyle w:val="3"/>
        <w:pageBreakBefore/>
        <w:rPr>
          <w:rFonts w:ascii="仿宋" w:hAnsi="仿宋" w:eastAsia="仿宋"/>
          <w:color w:val="000000" w:themeColor="text1"/>
          <w:highlight w:val="none"/>
          <w14:textFill>
            <w14:solidFill>
              <w14:schemeClr w14:val="tx1"/>
            </w14:solidFill>
          </w14:textFill>
        </w:rPr>
      </w:pPr>
      <w:bookmarkStart w:id="15" w:name="_Toc19980"/>
      <w:r>
        <w:rPr>
          <w:rFonts w:hint="eastAsia" w:ascii="仿宋" w:hAnsi="仿宋" w:eastAsia="仿宋"/>
          <w:color w:val="000000" w:themeColor="text1"/>
          <w:highlight w:val="none"/>
          <w14:textFill>
            <w14:solidFill>
              <w14:schemeClr w14:val="tx1"/>
            </w14:solidFill>
          </w14:textFill>
        </w:rPr>
        <w:t>第四章 国土空间</w:t>
      </w:r>
      <w:r>
        <w:rPr>
          <w:rFonts w:ascii="仿宋" w:hAnsi="仿宋" w:eastAsia="仿宋"/>
          <w:color w:val="000000" w:themeColor="text1"/>
          <w:highlight w:val="none"/>
          <w14:textFill>
            <w14:solidFill>
              <w14:schemeClr w14:val="tx1"/>
            </w14:solidFill>
          </w14:textFill>
        </w:rPr>
        <w:t>格局</w:t>
      </w:r>
      <w:bookmarkEnd w:id="15"/>
    </w:p>
    <w:p>
      <w:pPr>
        <w:pStyle w:val="4"/>
        <w:rPr>
          <w:rFonts w:ascii="仿宋" w:hAnsi="仿宋" w:eastAsia="仿宋"/>
          <w:color w:val="000000" w:themeColor="text1"/>
          <w:highlight w:val="none"/>
          <w14:textFill>
            <w14:solidFill>
              <w14:schemeClr w14:val="tx1"/>
            </w14:solidFill>
          </w14:textFill>
        </w:rPr>
      </w:pPr>
      <w:bookmarkStart w:id="16" w:name="_Toc14424"/>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1</w:t>
      </w:r>
      <w:r>
        <w:rPr>
          <w:rFonts w:hint="eastAsia" w:ascii="仿宋" w:hAnsi="仿宋" w:eastAsia="仿宋"/>
          <w:color w:val="000000" w:themeColor="text1"/>
          <w:highlight w:val="none"/>
          <w14:textFill>
            <w14:solidFill>
              <w14:schemeClr w14:val="tx1"/>
            </w14:solidFill>
          </w14:textFill>
        </w:rPr>
        <w:t>节 区域协调</w:t>
      </w:r>
      <w:bookmarkEnd w:id="16"/>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（1）资源环境保护</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统筹山水林田湖草一体化保护和修复。严守森林、林地和湿地资源保护红线，全面推行林长制，开展大规模国土绿化行动，以中华山、大贵寺两个国家级森林公园为依托，实施森林质量精准提升工程，推进封山育林、植树造林，推动国家储备林、中幼林抚育等工程建设，实现生态林、产业林、景观林“三林共建”、山水互动、景色互联，形成“生态林海”“天然氧吧”，打造淮河源和大别山绿色生态屏障。推进矿业转型升级，全面建成绿色矿山，深入推进矿山生态修复工作。推进水土流失综合治理，强化湿地保护和恢复，加强地质灾害防治、全面保护重要生物物种。</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（2）空间发展需求</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随着“武汉城市圈”和“汉江经济带”以及“鄂西生态文化旅游圈”区域的建设与发展，武汉市及其周边区域的联系日益紧密，区域结构中的城市发展也将随之改变。广水市作为鄂北门户城市，武汉城市圈观察员的身份，受到武汉城市圈，汉江经济带以及鄂西生态文化旅游圈的多重带动和影响，鄂北的门户城市，受武汉都市圈和汉江经济带的双重带动和影响，应改变内聚性城市空间发展向区域开放型城市空间发展，强调与区域中心城市的发展对接，积极承接来自武汉市和随州市的辐射和带动，促进区域联动发展。</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（3）交通结构导向</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随着区域城市之间的联系日益紧密，高速和快速交流成为特别重要的城市发展趋势。在大型区域性交通设施</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机场、港口、铁路站场、高速公路等</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的带动下，重要交通线网的布局直接决定着城乡的基本结构。</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随着广水市军民两用机场、武汉都市圈轻轨延伸线及环线高速、</w:t>
      </w:r>
      <w:r>
        <w:rPr>
          <w:rFonts w:ascii="仿宋" w:hAnsi="仿宋" w:eastAsia="仿宋" w:cs="Times New Roman"/>
          <w:color w:val="000000" w:themeColor="text1"/>
          <w:highlight w:val="none"/>
          <w14:textFill>
            <w14:solidFill>
              <w14:schemeClr w14:val="tx1"/>
            </w14:solidFill>
          </w14:textFill>
        </w:rPr>
        <w:t>G346</w:t>
      </w:r>
      <w:r>
        <w:rPr>
          <w:rFonts w:hint="eastAsia" w:ascii="仿宋" w:hAnsi="仿宋" w:eastAsia="仿宋" w:cs="Times New Roman"/>
          <w:color w:val="000000" w:themeColor="text1"/>
          <w:highlight w:val="none"/>
          <w14:textFill>
            <w14:solidFill>
              <w14:schemeClr w14:val="tx1"/>
            </w14:solidFill>
          </w14:textFill>
        </w:rPr>
        <w:t>的规划建设，广水市交通地位将得到较大地提升，将成为以高速公路为骨架，干支相连，辐射全市，近可连接随州、武汉，远距离可以通过干道与整个湖北及河南南部大部分城市相连接的区域公路网络系统，</w:t>
      </w:r>
      <w:r>
        <w:rPr>
          <w:rFonts w:hint="eastAsia" w:ascii="仿宋" w:hAnsi="仿宋" w:eastAsia="仿宋" w:cs="Times New Roman"/>
          <w:color w:val="000000" w:themeColor="text1"/>
          <w:highlight w:val="none"/>
          <w:lang w:eastAsia="zh-CN"/>
          <w14:textFill>
            <w14:solidFill>
              <w14:schemeClr w14:val="tx1"/>
            </w14:solidFill>
          </w14:textFill>
        </w:rPr>
        <w:t>将极大地影响</w:t>
      </w:r>
      <w:r>
        <w:rPr>
          <w:rFonts w:hint="eastAsia" w:ascii="仿宋" w:hAnsi="仿宋" w:eastAsia="仿宋" w:cs="Times New Roman"/>
          <w:color w:val="000000" w:themeColor="text1"/>
          <w:highlight w:val="none"/>
          <w14:textFill>
            <w14:solidFill>
              <w14:schemeClr w14:val="tx1"/>
            </w14:solidFill>
          </w14:textFill>
        </w:rPr>
        <w:t>城市空间资源配置。</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（4）产业发展协调</w:t>
      </w:r>
    </w:p>
    <w:p>
      <w:pPr>
        <w:spacing w:line="600" w:lineRule="exact"/>
        <w:ind w:firstLine="643"/>
        <w:rPr>
          <w:rFonts w:cs="仿宋_GB2312"/>
          <w:color w:val="000000" w:themeColor="text1"/>
          <w:szCs w:val="32"/>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壮大现代农谷品牌建设。聚焦随州建设现代农港，深入实施主体培育和农产品深加工产业工程，支持创建现代农业示范园，建立产业集群与企业集团，推进荆襄随现代农业产区协同建设，打造全省优质农产品加工出口示范基地。</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加快“襄十随神”产业走廊建设。依托随州规划部署，重点推进产业互融，引导风机、冶金、新型建材、智能装备等主导产业与随州专汽对接，促进关联发展、提质壮大。</w:t>
      </w:r>
    </w:p>
    <w:p>
      <w:pPr>
        <w:ind w:firstLine="560" w:firstLineChars="200"/>
        <w:rPr>
          <w:rFonts w:ascii="仿宋" w:hAnsi="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强化与武汉都市圈战略合作。以承接武汉传统产业转移为重点，积极吸引武汉化工企业、食品加工企业、纺织服装企业、物流企业等向广水聚集，形成研发在武汉、生产在广水，总部在武汉、基地在广水的“总部+基地”的合作模式。</w:t>
      </w:r>
    </w:p>
    <w:p>
      <w:pPr>
        <w:pStyle w:val="4"/>
        <w:rPr>
          <w:rFonts w:ascii="仿宋" w:hAnsi="仿宋" w:eastAsia="仿宋"/>
          <w:color w:val="000000" w:themeColor="text1"/>
          <w:highlight w:val="none"/>
          <w14:textFill>
            <w14:solidFill>
              <w14:schemeClr w14:val="tx1"/>
            </w14:solidFill>
          </w14:textFill>
        </w:rPr>
      </w:pPr>
      <w:bookmarkStart w:id="17" w:name="_Toc21623"/>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2</w:t>
      </w:r>
      <w:r>
        <w:rPr>
          <w:rFonts w:hint="eastAsia" w:ascii="仿宋" w:hAnsi="仿宋" w:eastAsia="仿宋"/>
          <w:color w:val="000000" w:themeColor="text1"/>
          <w:highlight w:val="none"/>
          <w14:textFill>
            <w14:solidFill>
              <w14:schemeClr w14:val="tx1"/>
            </w14:solidFill>
          </w14:textFill>
        </w:rPr>
        <w:t xml:space="preserve">节 </w:t>
      </w:r>
      <w:r>
        <w:rPr>
          <w:rFonts w:ascii="仿宋" w:hAnsi="仿宋" w:eastAsia="仿宋"/>
          <w:color w:val="000000" w:themeColor="text1"/>
          <w:highlight w:val="none"/>
          <w14:textFill>
            <w14:solidFill>
              <w14:schemeClr w14:val="tx1"/>
            </w14:solidFill>
          </w14:textFill>
        </w:rPr>
        <w:t>开发保护</w:t>
      </w:r>
      <w:r>
        <w:rPr>
          <w:rFonts w:hint="eastAsia" w:ascii="仿宋" w:hAnsi="仿宋" w:eastAsia="仿宋"/>
          <w:color w:val="000000" w:themeColor="text1"/>
          <w:highlight w:val="none"/>
          <w14:textFill>
            <w14:solidFill>
              <w14:schemeClr w14:val="tx1"/>
            </w14:solidFill>
          </w14:textFill>
        </w:rPr>
        <w:t>总体</w:t>
      </w:r>
      <w:r>
        <w:rPr>
          <w:rFonts w:ascii="仿宋" w:hAnsi="仿宋" w:eastAsia="仿宋"/>
          <w:color w:val="000000" w:themeColor="text1"/>
          <w:highlight w:val="none"/>
          <w14:textFill>
            <w14:solidFill>
              <w14:schemeClr w14:val="tx1"/>
            </w14:solidFill>
          </w14:textFill>
        </w:rPr>
        <w:t>格局</w:t>
      </w:r>
      <w:bookmarkEnd w:id="17"/>
    </w:p>
    <w:p>
      <w:pPr>
        <w:adjustRightInd w:val="0"/>
        <w:snapToGrid w:val="0"/>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落实国家、省、市的重大发展战略、主体功能定位，立足自然地理格局，统筹优化山水林田湖草等保护类要素以及城乡、产业、交通等发展类要素布局，形成开放式、网络化、集约型、生态化的“一核三心双轴、两廊三区一屏障”的国土空间开发保护总体格局。</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一核：由广水街道办事处、应山街道办事处、十里街道办事处、城郊街道办事处以及武胜关镇构成的</w:t>
      </w:r>
      <w:r>
        <w:rPr>
          <w:rFonts w:hint="eastAsia" w:ascii="仿宋" w:hAnsi="仿宋" w:eastAsia="仿宋" w:cs="Times New Roman"/>
          <w:bCs/>
          <w:color w:val="000000" w:themeColor="text1"/>
          <w:highlight w:val="none"/>
          <w14:textFill>
            <w14:solidFill>
              <w14:schemeClr w14:val="tx1"/>
            </w14:solidFill>
          </w14:textFill>
        </w:rPr>
        <w:t>中心城区</w:t>
      </w:r>
      <w:r>
        <w:rPr>
          <w:rFonts w:hint="eastAsia" w:ascii="仿宋" w:hAnsi="仿宋" w:eastAsia="仿宋" w:cs="Times New Roman"/>
          <w:color w:val="000000" w:themeColor="text1"/>
          <w:highlight w:val="none"/>
          <w14:textFill>
            <w14:solidFill>
              <w14:schemeClr w14:val="tx1"/>
            </w14:solidFill>
          </w14:textFill>
        </w:rPr>
        <w:t>。</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三心：以</w:t>
      </w:r>
      <w:r>
        <w:rPr>
          <w:rFonts w:hint="eastAsia" w:ascii="仿宋" w:hAnsi="仿宋" w:eastAsia="仿宋" w:cs="Times New Roman"/>
          <w:bCs/>
          <w:color w:val="000000" w:themeColor="text1"/>
          <w:highlight w:val="none"/>
          <w14:textFill>
            <w14:solidFill>
              <w14:schemeClr w14:val="tx1"/>
            </w14:solidFill>
          </w14:textFill>
        </w:rPr>
        <w:t>长岭镇、杨寨镇、郝店镇</w:t>
      </w:r>
      <w:r>
        <w:rPr>
          <w:rFonts w:hint="eastAsia" w:ascii="仿宋" w:hAnsi="仿宋" w:eastAsia="仿宋" w:cs="Times New Roman"/>
          <w:color w:val="000000" w:themeColor="text1"/>
          <w:highlight w:val="none"/>
          <w14:textFill>
            <w14:solidFill>
              <w14:schemeClr w14:val="tx1"/>
            </w14:solidFill>
          </w14:textFill>
        </w:rPr>
        <w:t>为发展中心，结合周边特色资源打造的三个重点发展副中心。</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双轴：指联通吴店镇、郝店镇、蔡河镇、中心城区和杨寨镇的</w:t>
      </w:r>
      <w:r>
        <w:rPr>
          <w:rFonts w:hint="eastAsia" w:ascii="仿宋" w:hAnsi="仿宋" w:eastAsia="仿宋" w:cs="Times New Roman"/>
          <w:bCs/>
          <w:color w:val="000000" w:themeColor="text1"/>
          <w:highlight w:val="none"/>
          <w14:textFill>
            <w14:solidFill>
              <w14:schemeClr w14:val="tx1"/>
            </w14:solidFill>
          </w14:textFill>
        </w:rPr>
        <w:t>人文旅游及工业发展轴</w:t>
      </w:r>
      <w:r>
        <w:rPr>
          <w:rFonts w:hint="eastAsia" w:ascii="仿宋" w:hAnsi="仿宋" w:eastAsia="仿宋" w:cs="Times New Roman"/>
          <w:color w:val="000000" w:themeColor="text1"/>
          <w:highlight w:val="none"/>
          <w14:textFill>
            <w14:solidFill>
              <w14:schemeClr w14:val="tx1"/>
            </w14:solidFill>
          </w14:textFill>
        </w:rPr>
        <w:t>；联通长岭镇和中心城区的</w:t>
      </w:r>
      <w:r>
        <w:rPr>
          <w:rFonts w:hint="eastAsia" w:ascii="仿宋" w:hAnsi="仿宋" w:eastAsia="仿宋" w:cs="Times New Roman"/>
          <w:bCs/>
          <w:color w:val="000000" w:themeColor="text1"/>
          <w:highlight w:val="none"/>
          <w14:textFill>
            <w14:solidFill>
              <w14:schemeClr w14:val="tx1"/>
            </w14:solidFill>
          </w14:textFill>
        </w:rPr>
        <w:t>生态旅游发展轴。</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两廊：</w:t>
      </w:r>
      <w:r>
        <w:rPr>
          <w:rFonts w:hint="eastAsia" w:ascii="仿宋" w:hAnsi="仿宋" w:eastAsia="仿宋" w:cs="Times New Roman"/>
          <w:bCs/>
          <w:color w:val="000000" w:themeColor="text1"/>
          <w:highlight w:val="none"/>
          <w14:textFill>
            <w14:solidFill>
              <w14:schemeClr w14:val="tx1"/>
            </w14:solidFill>
          </w14:textFill>
        </w:rPr>
        <w:t>应山河、广水河</w:t>
      </w:r>
      <w:r>
        <w:rPr>
          <w:rFonts w:hint="eastAsia" w:ascii="仿宋" w:hAnsi="仿宋" w:eastAsia="仿宋" w:cs="Times New Roman"/>
          <w:color w:val="000000" w:themeColor="text1"/>
          <w:highlight w:val="none"/>
          <w14:textFill>
            <w14:solidFill>
              <w14:schemeClr w14:val="tx1"/>
            </w14:solidFill>
          </w14:textFill>
        </w:rPr>
        <w:t>两条水系廊道。</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bCs/>
          <w:color w:val="000000" w:themeColor="text1"/>
          <w:highlight w:val="none"/>
          <w14:textFill>
            <w14:solidFill>
              <w14:schemeClr w14:val="tx1"/>
            </w14:solidFill>
          </w14:textFill>
        </w:rPr>
        <w:t>三区：北部山地生态保育区、中部城镇生态协调发展区、南部徐家河生态水源涵养片区。</w:t>
      </w:r>
      <w:r>
        <w:rPr>
          <w:rFonts w:ascii="仿宋" w:hAnsi="仿宋" w:eastAsia="仿宋" w:cs="Times New Roman"/>
          <w:color w:val="000000" w:themeColor="text1"/>
          <w:highlight w:val="none"/>
          <w14:textFill>
            <w14:solidFill>
              <w14:schemeClr w14:val="tx1"/>
            </w14:solidFill>
          </w14:textFill>
        </w:rPr>
        <w:t xml:space="preserve"> </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bCs/>
          <w:color w:val="000000" w:themeColor="text1"/>
          <w:highlight w:val="none"/>
          <w14:textFill>
            <w14:solidFill>
              <w14:schemeClr w14:val="tx1"/>
            </w14:solidFill>
          </w14:textFill>
        </w:rPr>
        <w:t>一屏障：</w:t>
      </w:r>
      <w:r>
        <w:rPr>
          <w:rFonts w:hint="eastAsia" w:ascii="仿宋" w:hAnsi="仿宋" w:eastAsia="仿宋" w:cs="Times New Roman"/>
          <w:color w:val="000000" w:themeColor="text1"/>
          <w:highlight w:val="none"/>
          <w14:textFill>
            <w14:solidFill>
              <w14:schemeClr w14:val="tx1"/>
            </w14:solidFill>
          </w14:textFill>
        </w:rPr>
        <w:t>依托广水市北部山脉形成</w:t>
      </w:r>
      <w:r>
        <w:rPr>
          <w:rFonts w:hint="eastAsia" w:ascii="仿宋" w:hAnsi="仿宋" w:eastAsia="仿宋" w:cs="Times New Roman"/>
          <w:bCs/>
          <w:color w:val="000000" w:themeColor="text1"/>
          <w:highlight w:val="none"/>
          <w14:textFill>
            <w14:solidFill>
              <w14:schemeClr w14:val="tx1"/>
            </w14:solidFill>
          </w14:textFill>
        </w:rPr>
        <w:t>桐柏山生态屏障。</w:t>
      </w:r>
    </w:p>
    <w:p>
      <w:pPr>
        <w:pStyle w:val="4"/>
        <w:rPr>
          <w:rFonts w:ascii="仿宋" w:hAnsi="仿宋" w:eastAsia="仿宋"/>
          <w:color w:val="000000" w:themeColor="text1"/>
          <w:highlight w:val="none"/>
          <w14:textFill>
            <w14:solidFill>
              <w14:schemeClr w14:val="tx1"/>
            </w14:solidFill>
          </w14:textFill>
        </w:rPr>
      </w:pPr>
      <w:bookmarkStart w:id="18" w:name="_Toc389"/>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3</w:t>
      </w:r>
      <w:r>
        <w:rPr>
          <w:rFonts w:hint="eastAsia" w:ascii="仿宋" w:hAnsi="仿宋" w:eastAsia="仿宋"/>
          <w:color w:val="000000" w:themeColor="text1"/>
          <w:highlight w:val="none"/>
          <w14:textFill>
            <w14:solidFill>
              <w14:schemeClr w14:val="tx1"/>
            </w14:solidFill>
          </w14:textFill>
        </w:rPr>
        <w:t>节 统筹三线划定</w:t>
      </w:r>
      <w:bookmarkEnd w:id="18"/>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w:t>
      </w:r>
      <w:r>
        <w:rPr>
          <w:rFonts w:ascii="仿宋" w:hAnsi="仿宋" w:eastAsia="仿宋"/>
          <w:b/>
          <w:bCs/>
          <w:color w:val="000000" w:themeColor="text1"/>
          <w:highlight w:val="none"/>
          <w14:textFill>
            <w14:solidFill>
              <w14:schemeClr w14:val="tx1"/>
            </w14:solidFill>
          </w14:textFill>
        </w:rPr>
        <w:t>永久基本农田</w:t>
      </w:r>
      <w:r>
        <w:rPr>
          <w:rFonts w:hint="eastAsia" w:ascii="仿宋" w:hAnsi="仿宋" w:eastAsia="仿宋"/>
          <w:b/>
          <w:bCs/>
          <w:color w:val="000000" w:themeColor="text1"/>
          <w:highlight w:val="none"/>
          <w14:textFill>
            <w14:solidFill>
              <w14:schemeClr w14:val="tx1"/>
            </w14:solidFill>
          </w14:textFill>
        </w:rPr>
        <w:t>保护线的划定及管控要求</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严格落实上级下达的永久基本农田保护任务</w:t>
      </w:r>
      <w:r>
        <w:rPr>
          <w:rFonts w:ascii="Times New Roman" w:hAnsi="Times New Roman" w:eastAsia="仿宋" w:cs="Times New Roman"/>
          <w:color w:val="000000" w:themeColor="text1"/>
          <w:highlight w:val="none"/>
          <w14:textFill>
            <w14:solidFill>
              <w14:schemeClr w14:val="tx1"/>
            </w14:solidFill>
          </w14:textFill>
        </w:rPr>
        <w:t>，</w:t>
      </w:r>
      <w:r>
        <w:rPr>
          <w:rFonts w:hint="eastAsia" w:ascii="Times New Roman" w:hAnsi="Times New Roman" w:eastAsia="仿宋" w:cs="Times New Roman"/>
          <w:color w:val="000000" w:themeColor="text1"/>
          <w:highlight w:val="none"/>
          <w14:textFill>
            <w14:solidFill>
              <w14:schemeClr w14:val="tx1"/>
            </w14:solidFill>
          </w14:textFill>
        </w:rPr>
        <w:t>至2035年，全市</w:t>
      </w:r>
      <w:r>
        <w:rPr>
          <w:rFonts w:ascii="Times New Roman" w:hAnsi="Times New Roman" w:eastAsia="仿宋" w:cs="Times New Roman"/>
          <w:color w:val="000000" w:themeColor="text1"/>
          <w:highlight w:val="none"/>
          <w14:textFill>
            <w14:solidFill>
              <w14:schemeClr w14:val="tx1"/>
            </w14:solidFill>
          </w14:textFill>
        </w:rPr>
        <w:t>永久基本农田</w:t>
      </w:r>
      <w:r>
        <w:rPr>
          <w:rFonts w:hint="eastAsia" w:ascii="Times New Roman" w:hAnsi="Times New Roman" w:eastAsia="仿宋" w:cs="Times New Roman"/>
          <w:color w:val="000000" w:themeColor="text1"/>
          <w:highlight w:val="none"/>
          <w14:textFill>
            <w14:solidFill>
              <w14:schemeClr w14:val="tx1"/>
            </w14:solidFill>
          </w14:textFill>
        </w:rPr>
        <w:t>保护面积不低于647.91平方公里</w:t>
      </w:r>
      <w:r>
        <w:rPr>
          <w:rFonts w:ascii="Times New Roman" w:hAnsi="Times New Roman" w:eastAsia="仿宋" w:cs="Times New Roman"/>
          <w:color w:val="000000" w:themeColor="text1"/>
          <w:highlight w:val="none"/>
          <w14:textFill>
            <w14:solidFill>
              <w14:schemeClr w14:val="tx1"/>
            </w14:solidFill>
          </w14:textFill>
        </w:rPr>
        <w:t>，占</w:t>
      </w:r>
      <w:r>
        <w:rPr>
          <w:rFonts w:hint="eastAsia" w:ascii="Times New Roman" w:hAnsi="Times New Roman" w:eastAsia="仿宋" w:cs="Times New Roman"/>
          <w:color w:val="000000" w:themeColor="text1"/>
          <w:highlight w:val="none"/>
          <w14:textFill>
            <w14:solidFill>
              <w14:schemeClr w14:val="tx1"/>
            </w14:solidFill>
          </w14:textFill>
        </w:rPr>
        <w:t>耕地</w:t>
      </w:r>
      <w:r>
        <w:rPr>
          <w:rFonts w:ascii="Times New Roman" w:hAnsi="Times New Roman" w:eastAsia="仿宋" w:cs="Times New Roman"/>
          <w:color w:val="000000" w:themeColor="text1"/>
          <w:highlight w:val="none"/>
          <w14:textFill>
            <w14:solidFill>
              <w14:schemeClr w14:val="tx1"/>
            </w14:solidFill>
          </w14:textFill>
        </w:rPr>
        <w:t>面积的85.57%。</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永久基本农田一经划定，任何单位和个人不得擅自占用或改变用途。严格落实永久基本农田保护责任，定期开展永久基本农田质量评价，鼓励培肥土壤、提升质量，提高生产能力。交通、能源、水利、通信、国防等建设项目确实无法避让永久基本农田的，必须严格论证</w:t>
      </w:r>
      <w:r>
        <w:rPr>
          <w:rFonts w:hint="eastAsia" w:ascii="Times New Roman" w:hAnsi="Times New Roman" w:eastAsia="仿宋" w:cs="Times New Roman"/>
          <w:color w:val="000000" w:themeColor="text1"/>
          <w:highlight w:val="none"/>
          <w14:textFill>
            <w14:solidFill>
              <w14:schemeClr w14:val="tx1"/>
            </w14:solidFill>
          </w14:textFill>
        </w:rPr>
        <w:t>补划，保证永久基本农田面积不减少，质量不降低，</w:t>
      </w:r>
      <w:r>
        <w:rPr>
          <w:rFonts w:ascii="Times New Roman" w:hAnsi="Times New Roman" w:eastAsia="仿宋" w:cs="Times New Roman"/>
          <w:color w:val="000000" w:themeColor="text1"/>
          <w:highlight w:val="none"/>
          <w14:textFill>
            <w14:solidFill>
              <w14:schemeClr w14:val="tx1"/>
            </w14:solidFill>
          </w14:textFill>
        </w:rPr>
        <w:t>坚决防止永久基本农田</w:t>
      </w:r>
      <w:r>
        <w:rPr>
          <w:rFonts w:hint="eastAsia" w:ascii="Times New Roman" w:hAnsi="Times New Roman" w:eastAsia="仿宋" w:cs="Times New Roman"/>
          <w:color w:val="000000" w:themeColor="text1"/>
          <w:highlight w:val="none"/>
          <w14:textFill>
            <w14:solidFill>
              <w14:schemeClr w14:val="tx1"/>
            </w14:solidFill>
          </w14:textFill>
        </w:rPr>
        <w:t>“</w:t>
      </w:r>
      <w:r>
        <w:rPr>
          <w:rFonts w:ascii="Times New Roman" w:hAnsi="Times New Roman" w:eastAsia="仿宋" w:cs="Times New Roman"/>
          <w:color w:val="000000" w:themeColor="text1"/>
          <w:highlight w:val="none"/>
          <w14:textFill>
            <w14:solidFill>
              <w14:schemeClr w14:val="tx1"/>
            </w14:solidFill>
          </w14:textFill>
        </w:rPr>
        <w:t>非</w:t>
      </w:r>
      <w:r>
        <w:rPr>
          <w:rFonts w:hint="eastAsia" w:ascii="Times New Roman" w:hAnsi="Times New Roman" w:eastAsia="仿宋" w:cs="Times New Roman"/>
          <w:color w:val="000000" w:themeColor="text1"/>
          <w:highlight w:val="none"/>
          <w14:textFill>
            <w14:solidFill>
              <w14:schemeClr w14:val="tx1"/>
            </w14:solidFill>
          </w14:textFill>
        </w:rPr>
        <w:t>粮</w:t>
      </w:r>
      <w:r>
        <w:rPr>
          <w:rFonts w:ascii="Times New Roman" w:hAnsi="Times New Roman" w:eastAsia="仿宋" w:cs="Times New Roman"/>
          <w:color w:val="000000" w:themeColor="text1"/>
          <w:highlight w:val="none"/>
          <w14:textFill>
            <w14:solidFill>
              <w14:schemeClr w14:val="tx1"/>
            </w14:solidFill>
          </w14:textFill>
        </w:rPr>
        <w:t>化</w:t>
      </w:r>
      <w:r>
        <w:rPr>
          <w:rFonts w:hint="eastAsia" w:ascii="Times New Roman" w:hAnsi="Times New Roman" w:eastAsia="仿宋" w:cs="Times New Roman"/>
          <w:color w:val="000000" w:themeColor="text1"/>
          <w:highlight w:val="none"/>
          <w14:textFill>
            <w14:solidFill>
              <w14:schemeClr w14:val="tx1"/>
            </w14:solidFill>
          </w14:textFill>
        </w:rPr>
        <w:t>”</w:t>
      </w:r>
      <w:r>
        <w:rPr>
          <w:rFonts w:ascii="Times New Roman" w:hAnsi="Times New Roman" w:eastAsia="仿宋" w:cs="Times New Roman"/>
          <w:color w:val="000000" w:themeColor="text1"/>
          <w:highlight w:val="none"/>
          <w14:textFill>
            <w14:solidFill>
              <w14:schemeClr w14:val="tx1"/>
            </w14:solidFill>
          </w14:textFill>
        </w:rPr>
        <w:t>，确保永久基本农田</w:t>
      </w:r>
      <w:r>
        <w:rPr>
          <w:rFonts w:hint="eastAsia" w:ascii="Times New Roman" w:hAnsi="Times New Roman" w:eastAsia="仿宋" w:cs="Times New Roman"/>
          <w:color w:val="000000" w:themeColor="text1"/>
          <w:highlight w:val="none"/>
          <w14:textFill>
            <w14:solidFill>
              <w14:schemeClr w14:val="tx1"/>
            </w14:solidFill>
          </w14:textFill>
        </w:rPr>
        <w:t>“</w:t>
      </w:r>
      <w:r>
        <w:rPr>
          <w:rFonts w:ascii="Times New Roman" w:hAnsi="Times New Roman" w:eastAsia="仿宋" w:cs="Times New Roman"/>
          <w:color w:val="000000" w:themeColor="text1"/>
          <w:highlight w:val="none"/>
          <w14:textFill>
            <w14:solidFill>
              <w14:schemeClr w14:val="tx1"/>
            </w14:solidFill>
          </w14:textFill>
        </w:rPr>
        <w:t>数量不减、质量不降、布局稳定</w:t>
      </w:r>
      <w:r>
        <w:rPr>
          <w:rFonts w:hint="eastAsia" w:ascii="Times New Roman" w:hAnsi="Times New Roman" w:eastAsia="仿宋" w:cs="Times New Roman"/>
          <w:color w:val="000000" w:themeColor="text1"/>
          <w:highlight w:val="none"/>
          <w14:textFill>
            <w14:solidFill>
              <w14:schemeClr w14:val="tx1"/>
            </w14:solidFill>
          </w14:textFill>
        </w:rPr>
        <w:t>”</w:t>
      </w:r>
      <w:r>
        <w:rPr>
          <w:rFonts w:ascii="Times New Roman" w:hAnsi="Times New Roman" w:eastAsia="仿宋" w:cs="Times New Roman"/>
          <w:color w:val="000000" w:themeColor="text1"/>
          <w:highlight w:val="none"/>
          <w14:textFill>
            <w14:solidFill>
              <w14:schemeClr w14:val="tx1"/>
            </w14:solidFill>
          </w14:textFill>
        </w:rPr>
        <w:t>。加快推进永久基本农田信息化管理，实时更新和共享永久基本农田占用、补划信息及永久基本农田储备区信息，实现动态管理。</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2</w:t>
      </w:r>
      <w:r>
        <w:rPr>
          <w:rFonts w:ascii="仿宋" w:hAnsi="仿宋" w:eastAsia="仿宋"/>
          <w:b/>
          <w:bCs/>
          <w:color w:val="000000" w:themeColor="text1"/>
          <w:highlight w:val="none"/>
          <w14:textFill>
            <w14:solidFill>
              <w14:schemeClr w14:val="tx1"/>
            </w14:solidFill>
          </w14:textFill>
        </w:rPr>
        <w:t>）生态保护红线</w:t>
      </w:r>
      <w:r>
        <w:rPr>
          <w:rFonts w:hint="eastAsia" w:ascii="仿宋" w:hAnsi="仿宋" w:eastAsia="仿宋"/>
          <w:b/>
          <w:bCs/>
          <w:color w:val="000000" w:themeColor="text1"/>
          <w:highlight w:val="none"/>
          <w14:textFill>
            <w14:solidFill>
              <w14:schemeClr w14:val="tx1"/>
            </w14:solidFill>
          </w14:textFill>
        </w:rPr>
        <w:t>的划定及管控要求</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严格落实上级下达的生态保护红线保护任务</w:t>
      </w:r>
      <w:r>
        <w:rPr>
          <w:rFonts w:ascii="Times New Roman" w:hAnsi="Times New Roman" w:eastAsia="仿宋" w:cs="Times New Roman"/>
          <w:color w:val="000000" w:themeColor="text1"/>
          <w:highlight w:val="none"/>
          <w14:textFill>
            <w14:solidFill>
              <w14:schemeClr w14:val="tx1"/>
            </w14:solidFill>
          </w14:textFill>
        </w:rPr>
        <w:t>，</w:t>
      </w:r>
      <w:r>
        <w:rPr>
          <w:rFonts w:hint="eastAsia" w:ascii="Times New Roman" w:hAnsi="Times New Roman" w:eastAsia="仿宋" w:cs="Times New Roman"/>
          <w:color w:val="000000" w:themeColor="text1"/>
          <w:highlight w:val="none"/>
          <w14:textFill>
            <w14:solidFill>
              <w14:schemeClr w14:val="tx1"/>
            </w14:solidFill>
          </w14:textFill>
        </w:rPr>
        <w:t>至2035年，</w:t>
      </w:r>
      <w:r>
        <w:rPr>
          <w:rFonts w:ascii="Times New Roman" w:hAnsi="Times New Roman" w:eastAsia="仿宋" w:cs="Times New Roman"/>
          <w:color w:val="000000" w:themeColor="text1"/>
          <w:highlight w:val="none"/>
          <w14:textFill>
            <w14:solidFill>
              <w14:schemeClr w14:val="tx1"/>
            </w14:solidFill>
          </w14:textFill>
        </w:rPr>
        <w:t>全市</w:t>
      </w:r>
      <w:r>
        <w:rPr>
          <w:rFonts w:hint="eastAsia" w:ascii="Times New Roman" w:hAnsi="Times New Roman" w:eastAsia="仿宋" w:cs="Times New Roman"/>
          <w:color w:val="000000" w:themeColor="text1"/>
          <w:highlight w:val="none"/>
          <w14:textFill>
            <w14:solidFill>
              <w14:schemeClr w14:val="tx1"/>
            </w14:solidFill>
          </w14:textFill>
        </w:rPr>
        <w:t>划定</w:t>
      </w:r>
      <w:r>
        <w:rPr>
          <w:rFonts w:ascii="Times New Roman" w:hAnsi="Times New Roman" w:eastAsia="仿宋" w:cs="Times New Roman"/>
          <w:color w:val="000000" w:themeColor="text1"/>
          <w:highlight w:val="none"/>
          <w14:textFill>
            <w14:solidFill>
              <w14:schemeClr w14:val="tx1"/>
            </w14:solidFill>
          </w14:textFill>
        </w:rPr>
        <w:t>生态保护红线</w:t>
      </w:r>
      <w:r>
        <w:rPr>
          <w:rFonts w:hint="eastAsia" w:ascii="Times New Roman" w:hAnsi="Times New Roman" w:eastAsia="仿宋" w:cs="Times New Roman"/>
          <w:color w:val="000000" w:themeColor="text1"/>
          <w:highlight w:val="none"/>
          <w14:textFill>
            <w14:solidFill>
              <w14:schemeClr w14:val="tx1"/>
            </w14:solidFill>
          </w14:textFill>
        </w:rPr>
        <w:t>209</w:t>
      </w:r>
      <w:r>
        <w:rPr>
          <w:rFonts w:ascii="Times New Roman" w:hAnsi="Times New Roman" w:eastAsia="仿宋" w:cs="Times New Roman"/>
          <w:color w:val="000000" w:themeColor="text1"/>
          <w:highlight w:val="none"/>
          <w14:textFill>
            <w14:solidFill>
              <w14:schemeClr w14:val="tx1"/>
            </w14:solidFill>
          </w14:textFill>
        </w:rPr>
        <w:t>.50</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，占国土面积的7.</w:t>
      </w:r>
      <w:r>
        <w:rPr>
          <w:rFonts w:hint="eastAsia" w:ascii="Times New Roman" w:hAnsi="Times New Roman" w:eastAsia="仿宋" w:cs="Times New Roman"/>
          <w:color w:val="000000" w:themeColor="text1"/>
          <w:highlight w:val="none"/>
          <w14:textFill>
            <w14:solidFill>
              <w14:schemeClr w14:val="tx1"/>
            </w14:solidFill>
          </w14:textFill>
        </w:rPr>
        <w:t>92</w:t>
      </w:r>
      <w:r>
        <w:rPr>
          <w:rFonts w:ascii="Times New Roman" w:hAnsi="Times New Roman" w:eastAsia="仿宋" w:cs="Times New Roman"/>
          <w:color w:val="000000" w:themeColor="text1"/>
          <w:highlight w:val="none"/>
          <w14:textFill>
            <w14:solidFill>
              <w14:schemeClr w14:val="tx1"/>
            </w14:solidFill>
          </w14:textFill>
        </w:rPr>
        <w:t>%；主要包括徐家河国家湿地公园、湖北中华山鸟类自然保护区、三潭森林自然公园、飞沙河水库、黑洞湾水库、花山水库、霞家河水库、先觉庙水库及生态极重要区。</w:t>
      </w:r>
    </w:p>
    <w:p>
      <w:pPr>
        <w:ind w:firstLine="560" w:firstLineChars="200"/>
        <w:rPr>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生态保护红线内严格禁止开发性、生产性建设活动，原则上自然保护地核心保护区内禁止人为活动，其他区域在符合现行法律法规前提下，除国家重大战略项目外，仅允许对生态功能不造成破坏的有限人为活动：零星的原住民在不扩大现有建设用地和耕地规模前提下，修缮生产生活设施，保留</w:t>
      </w:r>
      <w:r>
        <w:rPr>
          <w:rFonts w:hint="eastAsia" w:ascii="Times New Roman" w:hAnsi="Times New Roman" w:eastAsia="仿宋" w:cs="Times New Roman"/>
          <w:color w:val="000000" w:themeColor="text1"/>
          <w:highlight w:val="none"/>
          <w14:textFill>
            <w14:solidFill>
              <w14:schemeClr w14:val="tx1"/>
            </w14:solidFill>
          </w14:textFill>
        </w:rPr>
        <w:t>生活必需</w:t>
      </w:r>
      <w:r>
        <w:rPr>
          <w:rFonts w:ascii="Times New Roman" w:hAnsi="Times New Roman" w:eastAsia="仿宋" w:cs="Times New Roman"/>
          <w:color w:val="000000" w:themeColor="text1"/>
          <w:highlight w:val="none"/>
          <w14:textFill>
            <w14:solidFill>
              <w14:schemeClr w14:val="tx1"/>
            </w14:solidFill>
          </w14:textFill>
        </w:rPr>
        <w:t>的少量种植、放牧、捕捞、养殖；因国家重大能源资源安全需要开展的战略性能源</w:t>
      </w:r>
      <w:r>
        <w:rPr>
          <w:rFonts w:hint="eastAsia" w:ascii="Times New Roman" w:hAnsi="Times New Roman" w:eastAsia="仿宋" w:cs="Times New Roman"/>
          <w:color w:val="000000" w:themeColor="text1"/>
          <w:highlight w:val="none"/>
          <w14:textFill>
            <w14:solidFill>
              <w14:schemeClr w14:val="tx1"/>
            </w14:solidFill>
          </w14:textFill>
        </w:rPr>
        <w:t>资源勘察</w:t>
      </w:r>
      <w:r>
        <w:rPr>
          <w:rFonts w:ascii="Times New Roman" w:hAnsi="Times New Roman" w:eastAsia="仿宋" w:cs="Times New Roman"/>
          <w:color w:val="000000" w:themeColor="text1"/>
          <w:highlight w:val="none"/>
          <w14:textFill>
            <w14:solidFill>
              <w14:schemeClr w14:val="tx1"/>
            </w14:solidFill>
          </w14:textFill>
        </w:rPr>
        <w:t>、公益性自然资源调查和地质勘探；自然资源、生态环境监测和执法，灾害防治和应急抢险活动；经依法批准进行的非破坏性科学研究观测、标本采集；经依法批准的考古调查发掘和文物保护活动；不破坏生态功能的适度参观旅游和自然公园内必要的公共设施建设；</w:t>
      </w:r>
      <w:r>
        <w:rPr>
          <w:rFonts w:hint="eastAsia" w:ascii="Times New Roman" w:hAnsi="Times New Roman" w:eastAsia="仿宋" w:cs="Times New Roman"/>
          <w:color w:val="000000" w:themeColor="text1"/>
          <w:highlight w:val="none"/>
          <w14:textFill>
            <w14:solidFill>
              <w14:schemeClr w14:val="tx1"/>
            </w14:solidFill>
          </w14:textFill>
        </w:rPr>
        <w:t>必需</w:t>
      </w:r>
      <w:r>
        <w:rPr>
          <w:rFonts w:ascii="Times New Roman" w:hAnsi="Times New Roman" w:eastAsia="仿宋" w:cs="Times New Roman"/>
          <w:color w:val="000000" w:themeColor="text1"/>
          <w:highlight w:val="none"/>
          <w14:textFill>
            <w14:solidFill>
              <w14:schemeClr w14:val="tx1"/>
            </w14:solidFill>
          </w14:textFill>
        </w:rPr>
        <w:t>且无法避让、符合县级以上国土空间规划的线性基础设施、堤防防洪和供水设施建设</w:t>
      </w:r>
      <w:r>
        <w:rPr>
          <w:rFonts w:hint="eastAsia" w:ascii="Times New Roman" w:hAnsi="Times New Roman" w:eastAsia="仿宋" w:cs="Times New Roman"/>
          <w:color w:val="000000" w:themeColor="text1"/>
          <w:highlight w:val="none"/>
          <w14:textFill>
            <w14:solidFill>
              <w14:schemeClr w14:val="tx1"/>
            </w14:solidFill>
          </w14:textFill>
        </w:rPr>
        <w:t>及</w:t>
      </w:r>
      <w:r>
        <w:rPr>
          <w:rFonts w:ascii="Times New Roman" w:hAnsi="Times New Roman" w:eastAsia="仿宋" w:cs="Times New Roman"/>
          <w:color w:val="000000" w:themeColor="text1"/>
          <w:highlight w:val="none"/>
          <w14:textFill>
            <w14:solidFill>
              <w14:schemeClr w14:val="tx1"/>
            </w14:solidFill>
          </w14:textFill>
        </w:rPr>
        <w:t>重要生态修复工程。</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（3）城镇开发边界线的划定及管控要求</w:t>
      </w:r>
    </w:p>
    <w:p>
      <w:pPr>
        <w:ind w:firstLine="560" w:firstLineChars="200"/>
        <w:rPr>
          <w:rFonts w:eastAsia="仿宋"/>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到2035年，全市城镇开发边界划定面积为</w:t>
      </w:r>
      <w:r>
        <w:rPr>
          <w:rFonts w:hint="eastAsia" w:ascii="Times New Roman" w:hAnsi="Times New Roman" w:eastAsia="仿宋" w:cs="Times New Roman"/>
          <w:bCs/>
          <w:color w:val="000000" w:themeColor="text1"/>
          <w:highlight w:val="none"/>
          <w14:textFill>
            <w14:solidFill>
              <w14:schemeClr w14:val="tx1"/>
            </w14:solidFill>
          </w14:textFill>
        </w:rPr>
        <w:t>61</w:t>
      </w:r>
      <w:r>
        <w:rPr>
          <w:rFonts w:ascii="Times New Roman" w:hAnsi="Times New Roman" w:eastAsia="仿宋" w:cs="Times New Roman"/>
          <w:bCs/>
          <w:color w:val="000000" w:themeColor="text1"/>
          <w:highlight w:val="none"/>
          <w14:textFill>
            <w14:solidFill>
              <w14:schemeClr w14:val="tx1"/>
            </w14:solidFill>
          </w14:textFill>
        </w:rPr>
        <w:t>.</w:t>
      </w:r>
      <w:r>
        <w:rPr>
          <w:rFonts w:hint="eastAsia" w:ascii="Times New Roman" w:hAnsi="Times New Roman" w:eastAsia="仿宋" w:cs="Times New Roman"/>
          <w:bCs/>
          <w:color w:val="000000" w:themeColor="text1"/>
          <w:highlight w:val="none"/>
          <w14:textFill>
            <w14:solidFill>
              <w14:schemeClr w14:val="tx1"/>
            </w14:solidFill>
          </w14:textFill>
        </w:rPr>
        <w:t>9</w:t>
      </w:r>
      <w:r>
        <w:rPr>
          <w:rFonts w:ascii="Times New Roman" w:hAnsi="Times New Roman" w:eastAsia="仿宋" w:cs="Times New Roman"/>
          <w:bCs/>
          <w:color w:val="000000" w:themeColor="text1"/>
          <w:highlight w:val="none"/>
          <w14:textFill>
            <w14:solidFill>
              <w14:schemeClr w14:val="tx1"/>
            </w14:solidFill>
          </w14:textFill>
        </w:rPr>
        <w:t>3</w:t>
      </w:r>
      <w:r>
        <w:rPr>
          <w:rFonts w:hint="eastAsia" w:ascii="Times New Roman" w:hAnsi="Times New Roman" w:eastAsia="仿宋" w:cs="Times New Roman"/>
          <w:color w:val="000000" w:themeColor="text1"/>
          <w:highlight w:val="none"/>
          <w14:textFill>
            <w14:solidFill>
              <w14:schemeClr w14:val="tx1"/>
            </w14:solidFill>
          </w14:textFill>
        </w:rPr>
        <w:t>平方公里。</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在城镇开发边界内建设，实行“详细规划+规划许可”的管制方式，并加强与水体保护线、绿地系统线、基础设施建设控制线、历史文化保护线等控制线的协同管控。</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在不突破规划城镇建设用地规模的前提下，城镇建设用地布局可在城镇弹性发展区范围内进行调整。同时相应核减城镇集中建设区用地规模。</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特别用途区原则上禁止任何城镇集中建设行为，实施建设用地总量控制，原则上不得新增除市政基础设施、交通基础设施、生态修复工程、必要的配套及游憩设施外的其他城镇建设用地</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城镇开发边界外空间主导用途为农业和生态，是开展农业生产、实施乡村振兴和加强生态保护的主要区域。</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城镇开发边界是在国土空间规划中划定的，一定时期内因城镇发展需要，可以集中进行城镇开发建设，完善城镇功能、提升空间品质的区域边界，涉及城市、建制镇以及各类开发区。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城镇开发边界以及特别用途区原则上不得调整。因国家重大战略调整、国家重大项目建设、行政区划调整等确需调整的，按国土空间规划的调整程序进行。调整内容要及时纳入自然资源部国土空间规划监测评估预警管理系统实施动态监管。</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规划实施中因地形差异、用地勘界、产权范围界定、比例尺衔接等情况需要局部勘误的，不视为边界调整。</w:t>
      </w:r>
    </w:p>
    <w:p>
      <w:pPr>
        <w:pStyle w:val="4"/>
        <w:rPr>
          <w:rFonts w:ascii="仿宋" w:hAnsi="仿宋" w:eastAsia="仿宋"/>
          <w:color w:val="000000" w:themeColor="text1"/>
          <w:highlight w:val="none"/>
          <w14:textFill>
            <w14:solidFill>
              <w14:schemeClr w14:val="tx1"/>
            </w14:solidFill>
          </w14:textFill>
        </w:rPr>
      </w:pPr>
      <w:bookmarkStart w:id="19" w:name="_Toc32458"/>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4</w:t>
      </w:r>
      <w:r>
        <w:rPr>
          <w:rFonts w:hint="eastAsia" w:ascii="仿宋" w:hAnsi="仿宋" w:eastAsia="仿宋"/>
          <w:color w:val="000000" w:themeColor="text1"/>
          <w:highlight w:val="none"/>
          <w14:textFill>
            <w14:solidFill>
              <w14:schemeClr w14:val="tx1"/>
            </w14:solidFill>
          </w14:textFill>
        </w:rPr>
        <w:t>节 规划分区与国土空间功能结构调整</w:t>
      </w:r>
      <w:bookmarkEnd w:id="19"/>
    </w:p>
    <w:p>
      <w:pPr>
        <w:pStyle w:val="4"/>
        <w:rPr>
          <w:rFonts w:ascii="仿宋" w:hAnsi="仿宋" w:eastAsia="仿宋"/>
          <w:color w:val="000000" w:themeColor="text1"/>
          <w:highlight w:val="none"/>
          <w14:textFill>
            <w14:solidFill>
              <w14:schemeClr w14:val="tx1"/>
            </w14:solidFill>
          </w14:textFill>
        </w:rPr>
      </w:pPr>
      <w:bookmarkStart w:id="20" w:name="_Toc8089"/>
      <w:r>
        <w:rPr>
          <w:rFonts w:hint="eastAsia" w:ascii="仿宋" w:hAnsi="仿宋" w:eastAsia="仿宋"/>
          <w:color w:val="000000" w:themeColor="text1"/>
          <w:highlight w:val="none"/>
          <w14:textFill>
            <w14:solidFill>
              <w14:schemeClr w14:val="tx1"/>
            </w14:solidFill>
          </w14:textFill>
        </w:rPr>
        <w:t>（1）国土空间规划分区</w:t>
      </w:r>
      <w:bookmarkEnd w:id="20"/>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落实主体功能战略，综合考虑自然地理条件、人口分布、城镇发展、产业布局、资源开发利用、生态环境保护修复等因素，以国土空间保护修复、开发利用为基础科学配置空间资源，</w:t>
      </w:r>
      <w:r>
        <w:rPr>
          <w:rFonts w:hint="eastAsia" w:ascii="Times New Roman" w:hAnsi="Times New Roman" w:eastAsia="仿宋" w:cs="Times New Roman"/>
          <w:color w:val="000000" w:themeColor="text1"/>
          <w:highlight w:val="none"/>
          <w14:textFill>
            <w14:solidFill>
              <w14:schemeClr w14:val="tx1"/>
            </w14:solidFill>
          </w14:textFill>
        </w:rPr>
        <w:t>将县域</w:t>
      </w:r>
      <w:r>
        <w:rPr>
          <w:rFonts w:ascii="Times New Roman" w:hAnsi="Times New Roman" w:eastAsia="仿宋" w:cs="Times New Roman"/>
          <w:color w:val="000000" w:themeColor="text1"/>
          <w:highlight w:val="none"/>
          <w14:textFill>
            <w14:solidFill>
              <w14:schemeClr w14:val="tx1"/>
            </w14:solidFill>
          </w14:textFill>
        </w:rPr>
        <w:t>划分生态保护区、</w:t>
      </w:r>
      <w:r>
        <w:rPr>
          <w:rFonts w:hint="eastAsia" w:ascii="Times New Roman" w:hAnsi="Times New Roman" w:eastAsia="仿宋" w:cs="Times New Roman"/>
          <w:color w:val="000000" w:themeColor="text1"/>
          <w:highlight w:val="none"/>
          <w14:textFill>
            <w14:solidFill>
              <w14:schemeClr w14:val="tx1"/>
            </w14:solidFill>
          </w14:textFill>
        </w:rPr>
        <w:t>生态控制区、农田保护区、城镇发展区、乡村发展区、矿产能源发展区六大分区</w:t>
      </w:r>
      <w:r>
        <w:rPr>
          <w:rFonts w:ascii="Times New Roman" w:hAnsi="Times New Roman" w:eastAsia="仿宋" w:cs="Times New Roman"/>
          <w:color w:val="000000" w:themeColor="text1"/>
          <w:highlight w:val="none"/>
          <w14:textFill>
            <w14:solidFill>
              <w14:schemeClr w14:val="tx1"/>
            </w14:solidFill>
          </w14:textFill>
        </w:rPr>
        <w:t>，并实行分区管制制度，实现差异化管理。</w:t>
      </w:r>
    </w:p>
    <w:p>
      <w:pPr>
        <w:pStyle w:val="4"/>
        <w:rPr>
          <w:rFonts w:eastAsia="仿宋"/>
          <w:color w:val="000000" w:themeColor="text1"/>
          <w:highlight w:val="none"/>
          <w14:textFill>
            <w14:solidFill>
              <w14:schemeClr w14:val="tx1"/>
            </w14:solidFill>
          </w14:textFill>
        </w:rPr>
      </w:pPr>
      <w:bookmarkStart w:id="21" w:name="_Toc16772"/>
      <w:r>
        <w:rPr>
          <w:rFonts w:hint="eastAsia" w:ascii="Times New Roman" w:hAnsi="Times New Roman" w:eastAsia="仿宋" w:cs="Times New Roman"/>
          <w:color w:val="000000" w:themeColor="text1"/>
          <w:highlight w:val="none"/>
          <w14:textFill>
            <w14:solidFill>
              <w14:schemeClr w14:val="tx1"/>
            </w14:solidFill>
          </w14:textFill>
        </w:rPr>
        <w:t>（2）分区划定与管控</w:t>
      </w:r>
      <w:bookmarkEnd w:id="21"/>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生态保护区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将</w:t>
      </w:r>
      <w:r>
        <w:rPr>
          <w:rFonts w:ascii="Times New Roman" w:hAnsi="Times New Roman" w:eastAsia="仿宋" w:cs="Times New Roman"/>
          <w:color w:val="000000" w:themeColor="text1"/>
          <w:highlight w:val="none"/>
          <w14:textFill>
            <w14:solidFill>
              <w14:schemeClr w14:val="tx1"/>
            </w14:solidFill>
          </w14:textFill>
        </w:rPr>
        <w:t>生态功能极重要的区域划入生态保护区。全市划定生态保护区</w:t>
      </w:r>
      <w:r>
        <w:rPr>
          <w:rFonts w:hint="eastAsia" w:ascii="Times New Roman" w:hAnsi="Times New Roman" w:eastAsia="仿宋" w:cs="Times New Roman"/>
          <w:color w:val="000000" w:themeColor="text1"/>
          <w:highlight w:val="none"/>
          <w14:textFill>
            <w14:solidFill>
              <w14:schemeClr w14:val="tx1"/>
            </w14:solidFill>
          </w14:textFill>
        </w:rPr>
        <w:t>209</w:t>
      </w:r>
      <w:r>
        <w:rPr>
          <w:rFonts w:ascii="Times New Roman" w:hAnsi="Times New Roman" w:eastAsia="仿宋" w:cs="Times New Roman"/>
          <w:color w:val="000000" w:themeColor="text1"/>
          <w:highlight w:val="none"/>
          <w14:textFill>
            <w14:solidFill>
              <w14:schemeClr w14:val="tx1"/>
            </w14:solidFill>
          </w14:textFill>
        </w:rPr>
        <w:t>.50</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，占国土面积的7.92%，</w:t>
      </w:r>
      <w:r>
        <w:rPr>
          <w:rFonts w:hint="eastAsia" w:ascii="Times New Roman" w:hAnsi="Times New Roman" w:eastAsia="仿宋" w:cs="Times New Roman"/>
          <w:color w:val="000000" w:themeColor="text1"/>
          <w:highlight w:val="none"/>
          <w14:textFill>
            <w14:solidFill>
              <w14:schemeClr w14:val="tx1"/>
            </w14:solidFill>
          </w14:textFill>
        </w:rPr>
        <w:t>主要为生态保护红线区域</w:t>
      </w:r>
      <w:r>
        <w:rPr>
          <w:rFonts w:ascii="Times New Roman" w:hAnsi="Times New Roman" w:eastAsia="仿宋" w:cs="Times New Roman"/>
          <w:color w:val="000000" w:themeColor="text1"/>
          <w:highlight w:val="none"/>
          <w14:textFill>
            <w14:solidFill>
              <w14:schemeClr w14:val="tx1"/>
            </w14:solidFill>
          </w14:textFill>
        </w:rPr>
        <w:t>。</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生态保护区实行分类管控。生态保护红线按照严格保护、禁止开发区域进行管理。</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生态控制区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生态功能重要的区域、国家、省级公益林</w:t>
      </w:r>
      <w:r>
        <w:rPr>
          <w:rFonts w:hint="eastAsia" w:ascii="Times New Roman" w:hAnsi="Times New Roman" w:eastAsia="仿宋" w:cs="Times New Roman"/>
          <w:color w:val="000000" w:themeColor="text1"/>
          <w:highlight w:val="none"/>
          <w14:textFill>
            <w14:solidFill>
              <w14:schemeClr w14:val="tx1"/>
            </w14:solidFill>
          </w14:textFill>
        </w:rPr>
        <w:t>、</w:t>
      </w:r>
      <w:r>
        <w:rPr>
          <w:rFonts w:ascii="Times New Roman" w:hAnsi="Times New Roman" w:eastAsia="仿宋" w:cs="Times New Roman"/>
          <w:color w:val="000000" w:themeColor="text1"/>
          <w:highlight w:val="none"/>
          <w14:textFill>
            <w14:solidFill>
              <w14:schemeClr w14:val="tx1"/>
            </w14:solidFill>
          </w14:textFill>
        </w:rPr>
        <w:t>天然林</w:t>
      </w:r>
      <w:r>
        <w:rPr>
          <w:rFonts w:hint="eastAsia" w:ascii="Times New Roman" w:hAnsi="Times New Roman" w:eastAsia="仿宋" w:cs="Times New Roman"/>
          <w:color w:val="000000" w:themeColor="text1"/>
          <w:highlight w:val="none"/>
          <w14:textFill>
            <w14:solidFill>
              <w14:schemeClr w14:val="tx1"/>
            </w14:solidFill>
          </w14:textFill>
        </w:rPr>
        <w:t>和重点河流、水库</w:t>
      </w:r>
      <w:r>
        <w:rPr>
          <w:rFonts w:ascii="Times New Roman" w:hAnsi="Times New Roman" w:eastAsia="仿宋" w:cs="Times New Roman"/>
          <w:color w:val="000000" w:themeColor="text1"/>
          <w:highlight w:val="none"/>
          <w14:textFill>
            <w14:solidFill>
              <w14:schemeClr w14:val="tx1"/>
            </w14:solidFill>
          </w14:textFill>
        </w:rPr>
        <w:t>划入生态控制区。全市划定生态控制区513.75</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，占国土面积的19.42%。</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生态控制区实行分类管控。国家、省级公益林和天然林根据林业管理相关规范进行管理，限制各类新增开发建设行为不得擅自改变地形地貌及其他自然生态环境原有状态。</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农田保护区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全市划定</w:t>
      </w:r>
      <w:r>
        <w:rPr>
          <w:rFonts w:hint="eastAsia" w:ascii="Times New Roman" w:hAnsi="Times New Roman" w:eastAsia="仿宋" w:cs="Times New Roman"/>
          <w:color w:val="000000" w:themeColor="text1"/>
          <w:highlight w:val="none"/>
          <w14:textFill>
            <w14:solidFill>
              <w14:schemeClr w14:val="tx1"/>
            </w14:solidFill>
          </w14:textFill>
        </w:rPr>
        <w:t>农田保护区729.05平方公里</w:t>
      </w:r>
      <w:r>
        <w:rPr>
          <w:rFonts w:ascii="Times New Roman" w:hAnsi="Times New Roman" w:eastAsia="仿宋" w:cs="Times New Roman"/>
          <w:color w:val="000000" w:themeColor="text1"/>
          <w:highlight w:val="none"/>
          <w14:textFill>
            <w14:solidFill>
              <w14:schemeClr w14:val="tx1"/>
            </w14:solidFill>
          </w14:textFill>
        </w:rPr>
        <w:t>，占国土面积的27.56%</w:t>
      </w:r>
      <w:r>
        <w:rPr>
          <w:rFonts w:hint="eastAsia" w:ascii="Times New Roman" w:hAnsi="Times New Roman" w:eastAsia="仿宋" w:cs="Times New Roman"/>
          <w:color w:val="000000" w:themeColor="text1"/>
          <w:highlight w:val="none"/>
          <w14:textFill>
            <w14:solidFill>
              <w14:schemeClr w14:val="tx1"/>
            </w14:solidFill>
          </w14:textFill>
        </w:rPr>
        <w:t>，</w:t>
      </w:r>
      <w:r>
        <w:rPr>
          <w:rFonts w:ascii="Times New Roman" w:hAnsi="Times New Roman" w:eastAsia="仿宋" w:cs="Times New Roman"/>
          <w:color w:val="000000" w:themeColor="text1"/>
          <w:highlight w:val="none"/>
          <w14:textFill>
            <w14:solidFill>
              <w14:schemeClr w14:val="tx1"/>
            </w14:solidFill>
          </w14:textFill>
        </w:rPr>
        <w:t>是全市</w:t>
      </w:r>
      <w:r>
        <w:rPr>
          <w:rFonts w:hint="eastAsia" w:ascii="Times New Roman" w:hAnsi="Times New Roman" w:eastAsia="仿宋" w:cs="Times New Roman"/>
          <w:color w:val="000000" w:themeColor="text1"/>
          <w:highlight w:val="none"/>
          <w14:textFill>
            <w14:solidFill>
              <w14:schemeClr w14:val="tx1"/>
            </w14:solidFill>
          </w14:textFill>
        </w:rPr>
        <w:t>长期稳定利用耕地</w:t>
      </w:r>
      <w:r>
        <w:rPr>
          <w:rFonts w:ascii="Times New Roman" w:hAnsi="Times New Roman" w:eastAsia="仿宋" w:cs="Times New Roman"/>
          <w:color w:val="000000" w:themeColor="text1"/>
          <w:highlight w:val="none"/>
          <w14:textFill>
            <w14:solidFill>
              <w14:schemeClr w14:val="tx1"/>
            </w14:solidFill>
          </w14:textFill>
        </w:rPr>
        <w:t>分布相对集中的区域。</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落实对永久基本农田实行特殊保护的要求，区内从严管控非农建设占用永久基本农田，鼓励开展高标准农田建设和土地整治，提高永久基本农田质量。</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乡村发展区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全市划定</w:t>
      </w:r>
      <w:r>
        <w:rPr>
          <w:rFonts w:hint="eastAsia" w:ascii="Times New Roman" w:hAnsi="Times New Roman" w:eastAsia="仿宋" w:cs="Times New Roman"/>
          <w:color w:val="000000" w:themeColor="text1"/>
          <w:highlight w:val="none"/>
          <w14:textFill>
            <w14:solidFill>
              <w14:schemeClr w14:val="tx1"/>
            </w14:solidFill>
          </w14:textFill>
        </w:rPr>
        <w:t>乡村</w:t>
      </w:r>
      <w:r>
        <w:rPr>
          <w:rFonts w:ascii="Times New Roman" w:hAnsi="Times New Roman" w:eastAsia="仿宋" w:cs="Times New Roman"/>
          <w:color w:val="000000" w:themeColor="text1"/>
          <w:highlight w:val="none"/>
          <w14:textFill>
            <w14:solidFill>
              <w14:schemeClr w14:val="tx1"/>
            </w14:solidFill>
          </w14:textFill>
        </w:rPr>
        <w:t>发展区1056.08</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，占国土面积的39.92%，是满足农林牧渔等农业发展、农民生产生活为主要功能的区域，包括</w:t>
      </w:r>
      <w:r>
        <w:rPr>
          <w:rFonts w:hint="eastAsia" w:ascii="Times New Roman" w:hAnsi="Times New Roman" w:eastAsia="仿宋" w:cs="Times New Roman"/>
          <w:color w:val="000000" w:themeColor="text1"/>
          <w:highlight w:val="none"/>
          <w14:textFill>
            <w14:solidFill>
              <w14:schemeClr w14:val="tx1"/>
            </w14:solidFill>
          </w14:textFill>
        </w:rPr>
        <w:t>农田保护区</w:t>
      </w:r>
      <w:r>
        <w:rPr>
          <w:rFonts w:ascii="Times New Roman" w:hAnsi="Times New Roman" w:eastAsia="仿宋" w:cs="Times New Roman"/>
          <w:color w:val="000000" w:themeColor="text1"/>
          <w:highlight w:val="none"/>
          <w14:textFill>
            <w14:solidFill>
              <w14:schemeClr w14:val="tx1"/>
            </w14:solidFill>
          </w14:textFill>
        </w:rPr>
        <w:t>以外的耕地、园地、林地、草地等农用地，农业和乡村特色产业发展所需的各类配套设施用地，以及现状和规划的村庄建设用地。</w:t>
      </w:r>
      <w:r>
        <w:rPr>
          <w:rFonts w:hint="eastAsia" w:ascii="Times New Roman" w:hAnsi="Times New Roman" w:eastAsia="仿宋" w:cs="Times New Roman"/>
          <w:color w:val="000000" w:themeColor="text1"/>
          <w:highlight w:val="none"/>
          <w14:textFill>
            <w14:solidFill>
              <w14:schemeClr w14:val="tx1"/>
            </w14:solidFill>
          </w14:textFill>
        </w:rPr>
        <w:t>其中现状和规划的村庄建设范围划为村庄建设区，面积1</w:t>
      </w:r>
      <w:r>
        <w:rPr>
          <w:rFonts w:ascii="Times New Roman" w:hAnsi="Times New Roman" w:eastAsia="仿宋" w:cs="Times New Roman"/>
          <w:color w:val="000000" w:themeColor="text1"/>
          <w:highlight w:val="none"/>
          <w14:textFill>
            <w14:solidFill>
              <w14:schemeClr w14:val="tx1"/>
            </w14:solidFill>
          </w14:textFill>
        </w:rPr>
        <w:t>78.21</w:t>
      </w:r>
      <w:r>
        <w:rPr>
          <w:rFonts w:hint="eastAsia" w:ascii="Times New Roman" w:hAnsi="Times New Roman" w:eastAsia="仿宋" w:cs="Times New Roman"/>
          <w:color w:val="000000" w:themeColor="text1"/>
          <w:highlight w:val="none"/>
          <w14:textFill>
            <w14:solidFill>
              <w14:schemeClr w14:val="tx1"/>
            </w14:solidFill>
          </w14:textFill>
        </w:rPr>
        <w:t>平方公里；主要是生态控制区和生态保护区之外的林地</w:t>
      </w:r>
      <w:r>
        <w:rPr>
          <w:rFonts w:hint="eastAsia" w:ascii="Times New Roman" w:hAnsi="Times New Roman" w:eastAsia="仿宋" w:cs="Times New Roman"/>
          <w:color w:val="000000" w:themeColor="text1"/>
          <w:highlight w:val="none"/>
          <w:lang w:eastAsia="zh-CN"/>
          <w14:textFill>
            <w14:solidFill>
              <w14:schemeClr w14:val="tx1"/>
            </w14:solidFill>
          </w14:textFill>
        </w:rPr>
        <w:t>划</w:t>
      </w:r>
      <w:r>
        <w:rPr>
          <w:rFonts w:hint="eastAsia" w:ascii="Times New Roman" w:hAnsi="Times New Roman" w:eastAsia="仿宋" w:cs="Times New Roman"/>
          <w:color w:val="000000" w:themeColor="text1"/>
          <w:highlight w:val="none"/>
          <w14:textFill>
            <w14:solidFill>
              <w14:schemeClr w14:val="tx1"/>
            </w14:solidFill>
          </w14:textFill>
        </w:rPr>
        <w:t>为林业发展区，面积</w:t>
      </w:r>
      <w:r>
        <w:rPr>
          <w:rFonts w:ascii="Times New Roman" w:hAnsi="Times New Roman" w:eastAsia="仿宋" w:cs="Times New Roman"/>
          <w:color w:val="000000" w:themeColor="text1"/>
          <w:highlight w:val="none"/>
          <w14:textFill>
            <w14:solidFill>
              <w14:schemeClr w14:val="tx1"/>
            </w14:solidFill>
          </w14:textFill>
        </w:rPr>
        <w:t>590.44</w:t>
      </w:r>
      <w:r>
        <w:rPr>
          <w:rFonts w:hint="eastAsia" w:ascii="Times New Roman" w:hAnsi="Times New Roman" w:eastAsia="仿宋" w:cs="Times New Roman"/>
          <w:color w:val="000000" w:themeColor="text1"/>
          <w:highlight w:val="none"/>
          <w14:textFill>
            <w14:solidFill>
              <w14:schemeClr w14:val="tx1"/>
            </w14:solidFill>
          </w14:textFill>
        </w:rPr>
        <w:t>平方公里；其他划为一般农业区，面积</w:t>
      </w:r>
      <w:r>
        <w:rPr>
          <w:rFonts w:ascii="Times New Roman" w:hAnsi="Times New Roman" w:eastAsia="仿宋" w:cs="Times New Roman"/>
          <w:color w:val="000000" w:themeColor="text1"/>
          <w:highlight w:val="none"/>
          <w14:textFill>
            <w14:solidFill>
              <w14:schemeClr w14:val="tx1"/>
            </w14:solidFill>
          </w14:textFill>
        </w:rPr>
        <w:t>287.43</w:t>
      </w:r>
      <w:r>
        <w:rPr>
          <w:rFonts w:hint="eastAsia" w:ascii="Times New Roman" w:hAnsi="Times New Roman" w:eastAsia="仿宋" w:cs="Times New Roman"/>
          <w:color w:val="000000" w:themeColor="text1"/>
          <w:highlight w:val="none"/>
          <w14:textFill>
            <w14:solidFill>
              <w14:schemeClr w14:val="tx1"/>
            </w14:solidFill>
          </w14:textFill>
        </w:rPr>
        <w:t>平方公里</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以促进农业农村产业发展、改善农民生产生活条件为导向，按照“详细规划＋规划许可”和“约束指标＋分区准入”的方式，依据具体类型进行管理，统筹协调村庄建设、生态保护，有效保障农业生产发展配套设施用地。村庄建设用地和各类配套设施用地，按照规划人均村庄建设用地指标进行管控。允许为改善农村人居环境进行村庄建设与整治，严禁集中连片的城镇开发建设。</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城镇发展区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全市划定城镇发展区</w:t>
      </w:r>
      <w:r>
        <w:rPr>
          <w:rFonts w:ascii="Times New Roman" w:hAnsi="Times New Roman" w:eastAsia="仿宋" w:cs="Times New Roman"/>
          <w:bCs/>
          <w:color w:val="000000" w:themeColor="text1"/>
          <w:highlight w:val="none"/>
          <w14:textFill>
            <w14:solidFill>
              <w14:schemeClr w14:val="tx1"/>
            </w14:solidFill>
          </w14:textFill>
        </w:rPr>
        <w:t>81.98</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，占国土面积的3.10%，是满足城市居民居住、就业、游憩、通勤、交流为主要功能的区域，包括城镇开发边界和城镇开发边界外相对独立的城镇建设区。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纳入城镇开发边界的，按照城镇集中建设区、城镇弹性发展区和特别用途区的管控要求执行。在城镇开发边界以外的其他城镇发展区，以节约集约用地为原则，加强建设用地布局引导和强度管控，明确建设规模、时序、类型和强度，保障城镇发展区功能得到有效发挥。建设开发应有效避让永久基本农田和生态保护红线，鼓励开展低效建设用地有序腾退或实施空间置换。</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矿产能源发展区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全市划定矿产能源发展区55.17</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，占国土面积的2.09%，是为适应国家能源安全与矿业发展的重要采矿区、战略性矿产储量区等区域。</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禁止在城市建设用地范围、重要基础设施周边、集中式饮用水源地一</w:t>
      </w:r>
      <w:r>
        <w:rPr>
          <w:rFonts w:hint="eastAsia" w:ascii="Times New Roman" w:hAnsi="Times New Roman" w:eastAsia="仿宋" w:cs="Times New Roman"/>
          <w:color w:val="000000" w:themeColor="text1"/>
          <w:highlight w:val="none"/>
          <w14:textFill>
            <w14:solidFill>
              <w14:schemeClr w14:val="tx1"/>
            </w14:solidFill>
          </w14:textFill>
        </w:rPr>
        <w:t>、二</w:t>
      </w:r>
      <w:r>
        <w:rPr>
          <w:rFonts w:ascii="Times New Roman" w:hAnsi="Times New Roman" w:eastAsia="仿宋" w:cs="Times New Roman"/>
          <w:color w:val="000000" w:themeColor="text1"/>
          <w:highlight w:val="none"/>
          <w14:textFill>
            <w14:solidFill>
              <w14:schemeClr w14:val="tx1"/>
            </w14:solidFill>
          </w14:textFill>
        </w:rPr>
        <w:t>级保护区内开展矿产资源开发活动。拟设立矿业权区域需</w:t>
      </w:r>
      <w:r>
        <w:rPr>
          <w:rFonts w:hint="eastAsia" w:ascii="Times New Roman" w:hAnsi="Times New Roman" w:eastAsia="仿宋" w:cs="Times New Roman"/>
          <w:color w:val="000000" w:themeColor="text1"/>
          <w:highlight w:val="none"/>
          <w:lang w:eastAsia="zh-CN"/>
          <w14:textFill>
            <w14:solidFill>
              <w14:schemeClr w14:val="tx1"/>
            </w14:solidFill>
          </w14:textFill>
        </w:rPr>
        <w:t>协调</w:t>
      </w:r>
      <w:r>
        <w:rPr>
          <w:rFonts w:hint="eastAsia" w:ascii="Times New Roman" w:hAnsi="Times New Roman" w:eastAsia="仿宋" w:cs="Times New Roman"/>
          <w:color w:val="000000" w:themeColor="text1"/>
          <w:highlight w:val="none"/>
          <w14:textFill>
            <w14:solidFill>
              <w14:schemeClr w14:val="tx1"/>
            </w14:solidFill>
          </w14:textFill>
        </w:rPr>
        <w:t>衔接</w:t>
      </w:r>
      <w:r>
        <w:rPr>
          <w:rFonts w:ascii="Times New Roman" w:hAnsi="Times New Roman" w:eastAsia="仿宋" w:cs="Times New Roman"/>
          <w:color w:val="000000" w:themeColor="text1"/>
          <w:highlight w:val="none"/>
          <w14:textFill>
            <w14:solidFill>
              <w14:schemeClr w14:val="tx1"/>
            </w14:solidFill>
          </w14:textFill>
        </w:rPr>
        <w:t>好与生态保护红线、基本农田红线、公益林的关系，采矿用地禁止占用生态保护红线、基本农田红线、公益林。</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（3）国土空间功能结构调整</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总体结构调整</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 xml:space="preserve">结合广水市发展战略、城镇体系和各类产业发展，合理调整土地用途结构，优化土地利用空间布局，实现土地资源的集约高效利用，促进经济结构的优化和经济发展方式的转变。根据各阶段土地利用目标和土地利用基本方针，结合各类用地供需趋势分析，通过全面协调、平衡，对全市2035年土地用途结构进行优化调整。 </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 xml:space="preserve">根据上级下达指标，严格控制建设用地规模，保证耕地和基本农田保护面积数量。在不影响生态环境前提下，适度开发其他土地，鼓励利用闲置低效用地，集约节约利用建设用地，调整用途结构比例。 </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规划到 2035 年末，全市农林用地面积</w:t>
      </w:r>
      <w:r>
        <w:rPr>
          <w:rFonts w:hint="eastAsia" w:ascii="Times New Roman" w:hAnsi="Times New Roman" w:eastAsia="仿宋" w:cs="Times New Roman"/>
          <w:color w:val="000000" w:themeColor="text1"/>
          <w:highlight w:val="none"/>
          <w14:textFill>
            <w14:solidFill>
              <w14:schemeClr w14:val="tx1"/>
            </w14:solidFill>
          </w14:textFill>
        </w:rPr>
        <w:t>减少</w:t>
      </w:r>
      <w:r>
        <w:rPr>
          <w:rFonts w:ascii="Times New Roman" w:hAnsi="Times New Roman" w:eastAsia="仿宋" w:cs="Times New Roman"/>
          <w:color w:val="000000" w:themeColor="text1"/>
          <w:highlight w:val="none"/>
          <w14:textFill>
            <w14:solidFill>
              <w14:schemeClr w14:val="tx1"/>
            </w14:solidFill>
          </w14:textFill>
        </w:rPr>
        <w:t>31.23</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，全市农林用地面积为1953.34</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 xml:space="preserve">，占土地总面积的73.83 %。 </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规划到 2035 年末，全市建设用地面积增加69.96</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，全市建设用地面积为371.58</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，占土地总面积的12 %。</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规划到 2035 年末，全市自然保护与保留用地面积</w:t>
      </w:r>
      <w:r>
        <w:rPr>
          <w:rFonts w:hint="eastAsia" w:ascii="Times New Roman" w:hAnsi="Times New Roman" w:eastAsia="仿宋" w:cs="Times New Roman"/>
          <w:color w:val="000000" w:themeColor="text1"/>
          <w:highlight w:val="none"/>
          <w14:textFill>
            <w14:solidFill>
              <w14:schemeClr w14:val="tx1"/>
            </w14:solidFill>
          </w14:textFill>
        </w:rPr>
        <w:t>减少</w:t>
      </w:r>
      <w:r>
        <w:rPr>
          <w:rFonts w:ascii="Times New Roman" w:hAnsi="Times New Roman" w:eastAsia="仿宋" w:cs="Times New Roman"/>
          <w:color w:val="000000" w:themeColor="text1"/>
          <w:highlight w:val="none"/>
          <w14:textFill>
            <w14:solidFill>
              <w14:schemeClr w14:val="tx1"/>
            </w14:solidFill>
          </w14:textFill>
        </w:rPr>
        <w:t>38.64</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，全市自然保护与保留用地面积为374.61</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，占土地总面积的14.16%。</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 xml:space="preserve">优化农林用地结构 </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严格保护农林用地，落实最严格的耕地保护，切实加强永久基本农田建设。以农业发展区为主体，稳定粮食和蔬菜等城市主要农产品生产，合理保障设施用地，促进现代农业发展。高度重视林地保护，加强林地资源培育和公益林保护，推进林种树种结构调整，提高森林质量，充分发挥林地生态调节功能。</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至2035年，农林用地面积1953.34</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，占土地总面积的73.83 %。其中，耕地面积755.42</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，占土地总面积的28.55%；林地面积1129.98</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，占土地总面积的42.71%；园地面积46.86</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，占土地总面积的1.77%；农业设施建设用地面积21.08</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，占土地总面积的0.80%。</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 xml:space="preserve">合理确定建设用地结构 </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严格保护生态空间，尽量避开优质耕地和永久基本农田,以增存并举的思路，合理确定建设用地结构。建设用地中，城镇用地适度扩大，城乡建设用地结构进一步优化,保障交通、市政等基础设施落地。</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至2035年，建设用地总量控制在317.58</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，占土地总面积的12%，国土开发强度控制在12%左右。其中，城乡建设用地面积251.88</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，占土地总面积的9.52%；；区域基础设施用地面积54.61</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，占土地总面积的2.06%；其他</w:t>
      </w:r>
      <w:r>
        <w:rPr>
          <w:rFonts w:hint="eastAsia" w:ascii="Times New Roman" w:hAnsi="Times New Roman" w:eastAsia="仿宋" w:cs="Times New Roman"/>
          <w:color w:val="000000" w:themeColor="text1"/>
          <w:highlight w:val="none"/>
          <w14:textFill>
            <w14:solidFill>
              <w14:schemeClr w14:val="tx1"/>
            </w14:solidFill>
          </w14:textFill>
        </w:rPr>
        <w:t>建设</w:t>
      </w:r>
      <w:r>
        <w:rPr>
          <w:rFonts w:ascii="Times New Roman" w:hAnsi="Times New Roman" w:eastAsia="仿宋" w:cs="Times New Roman"/>
          <w:color w:val="000000" w:themeColor="text1"/>
          <w:highlight w:val="none"/>
          <w14:textFill>
            <w14:solidFill>
              <w14:schemeClr w14:val="tx1"/>
            </w14:solidFill>
          </w14:textFill>
        </w:rPr>
        <w:t>用地面积11.09</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，占土地总面积的0.42%。</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 xml:space="preserve">稳定自然保护与保留用地 </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湿地面积保持不变，陆地水域面积略有减少，裸土地、裸盐石砾地、荒草地等其他自然保留地略有减少。</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至2035年，自然保护与保留用地374.61</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，占土地总面积的14.16%。其中，草地面积73.91</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，占土地总面积的2.79%；</w:t>
      </w:r>
      <w:r>
        <w:rPr>
          <w:rFonts w:hint="eastAsia" w:ascii="Times New Roman" w:hAnsi="Times New Roman" w:eastAsia="仿宋" w:cs="Times New Roman"/>
          <w:color w:val="000000" w:themeColor="text1"/>
          <w:highlight w:val="none"/>
          <w14:textFill>
            <w14:solidFill>
              <w14:schemeClr w14:val="tx1"/>
            </w14:solidFill>
          </w14:textFill>
        </w:rPr>
        <w:t>湿地</w:t>
      </w:r>
      <w:r>
        <w:rPr>
          <w:rFonts w:ascii="Times New Roman" w:hAnsi="Times New Roman" w:eastAsia="仿宋" w:cs="Times New Roman"/>
          <w:color w:val="000000" w:themeColor="text1"/>
          <w:highlight w:val="none"/>
          <w14:textFill>
            <w14:solidFill>
              <w14:schemeClr w14:val="tx1"/>
            </w14:solidFill>
          </w14:textFill>
        </w:rPr>
        <w:t>面积2.84</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，占土地总面积的0.11%；陆地水域面积255.75</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，占土地总面积的9.67%；其他土地面积42.11</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，占土地总面积的1.59%。</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（3）建设用地规模与结构优化</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按“总量锁定、增量递减、流量增效、存量优化、质量提高”的基本导向，依据“双评价”，合理确定建设用地和城乡建设用地规模、人均城镇建设用地标准，分解至中心城区和各乡镇。</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明确建设用地总量</w:t>
      </w:r>
    </w:p>
    <w:p>
      <w:pPr>
        <w:ind w:firstLine="562"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b/>
          <w:bCs/>
          <w:color w:val="000000" w:themeColor="text1"/>
          <w:highlight w:val="none"/>
          <w14:textFill>
            <w14:solidFill>
              <w14:schemeClr w14:val="tx1"/>
            </w14:solidFill>
          </w14:textFill>
        </w:rPr>
        <w:t>建设用地总量。</w:t>
      </w:r>
      <w:r>
        <w:rPr>
          <w:rFonts w:hint="eastAsia" w:ascii="Times New Roman" w:hAnsi="Times New Roman" w:eastAsia="仿宋" w:cs="Times New Roman"/>
          <w:color w:val="000000" w:themeColor="text1"/>
          <w:highlight w:val="none"/>
          <w14:textFill>
            <w14:solidFill>
              <w14:schemeClr w14:val="tx1"/>
            </w14:solidFill>
          </w14:textFill>
        </w:rPr>
        <w:t>广水市</w:t>
      </w:r>
      <w:r>
        <w:rPr>
          <w:rFonts w:ascii="Times New Roman" w:hAnsi="Times New Roman" w:eastAsia="仿宋" w:cs="Times New Roman"/>
          <w:color w:val="000000" w:themeColor="text1"/>
          <w:highlight w:val="none"/>
          <w14:textFill>
            <w14:solidFill>
              <w14:schemeClr w14:val="tx1"/>
            </w14:solidFill>
          </w14:textFill>
        </w:rPr>
        <w:t>202</w:t>
      </w:r>
      <w:r>
        <w:rPr>
          <w:rFonts w:hint="eastAsia" w:ascii="Times New Roman" w:hAnsi="Times New Roman" w:eastAsia="仿宋" w:cs="Times New Roman"/>
          <w:color w:val="000000" w:themeColor="text1"/>
          <w:highlight w:val="none"/>
          <w14:textFill>
            <w14:solidFill>
              <w14:schemeClr w14:val="tx1"/>
            </w14:solidFill>
          </w14:textFill>
        </w:rPr>
        <w:t>0年建设用地总规模</w:t>
      </w:r>
      <w:r>
        <w:rPr>
          <w:rFonts w:ascii="Times New Roman" w:hAnsi="Times New Roman" w:eastAsia="仿宋" w:cs="Times New Roman"/>
          <w:color w:val="000000" w:themeColor="text1"/>
          <w:highlight w:val="none"/>
          <w14:textFill>
            <w14:solidFill>
              <w14:schemeClr w14:val="tx1"/>
            </w14:solidFill>
          </w14:textFill>
        </w:rPr>
        <w:t>247.62</w:t>
      </w:r>
      <w:r>
        <w:rPr>
          <w:rFonts w:hint="eastAsia" w:ascii="Times New Roman" w:hAnsi="Times New Roman" w:eastAsia="仿宋" w:cs="Times New Roman"/>
          <w:color w:val="000000" w:themeColor="text1"/>
          <w:highlight w:val="none"/>
          <w14:textFill>
            <w14:solidFill>
              <w14:schemeClr w14:val="tx1"/>
            </w14:solidFill>
          </w14:textFill>
        </w:rPr>
        <w:t>平方公里，国土开发强度为</w:t>
      </w:r>
      <w:r>
        <w:rPr>
          <w:rFonts w:ascii="Times New Roman" w:hAnsi="Times New Roman" w:eastAsia="仿宋" w:cs="Times New Roman"/>
          <w:color w:val="000000" w:themeColor="text1"/>
          <w:highlight w:val="none"/>
          <w14:textFill>
            <w14:solidFill>
              <w14:schemeClr w14:val="tx1"/>
            </w14:solidFill>
          </w14:textFill>
        </w:rPr>
        <w:t>9.36</w:t>
      </w:r>
      <w:r>
        <w:rPr>
          <w:rFonts w:hint="eastAsia" w:ascii="Times New Roman" w:hAnsi="Times New Roman" w:eastAsia="仿宋" w:cs="Times New Roman"/>
          <w:color w:val="000000" w:themeColor="text1"/>
          <w:highlight w:val="none"/>
          <w14:textFill>
            <w14:solidFill>
              <w14:schemeClr w14:val="tx1"/>
            </w14:solidFill>
          </w14:textFill>
        </w:rPr>
        <w:t>%。规划到2035年，全市建设用地总规模为</w:t>
      </w:r>
      <w:r>
        <w:rPr>
          <w:rFonts w:ascii="Times New Roman" w:hAnsi="Times New Roman" w:eastAsia="仿宋" w:cs="Times New Roman"/>
          <w:color w:val="000000" w:themeColor="text1"/>
          <w:highlight w:val="none"/>
          <w14:textFill>
            <w14:solidFill>
              <w14:schemeClr w14:val="tx1"/>
            </w14:solidFill>
          </w14:textFill>
        </w:rPr>
        <w:t>317.58</w:t>
      </w:r>
      <w:r>
        <w:rPr>
          <w:rFonts w:hint="eastAsia" w:ascii="Times New Roman" w:hAnsi="Times New Roman" w:eastAsia="仿宋" w:cs="Times New Roman"/>
          <w:color w:val="000000" w:themeColor="text1"/>
          <w:highlight w:val="none"/>
          <w14:textFill>
            <w14:solidFill>
              <w14:schemeClr w14:val="tx1"/>
            </w14:solidFill>
          </w14:textFill>
        </w:rPr>
        <w:t>平方公里，国土开发强度为</w:t>
      </w:r>
      <w:r>
        <w:rPr>
          <w:rFonts w:ascii="Times New Roman" w:hAnsi="Times New Roman" w:eastAsia="仿宋" w:cs="Times New Roman"/>
          <w:color w:val="000000" w:themeColor="text1"/>
          <w:highlight w:val="none"/>
          <w14:textFill>
            <w14:solidFill>
              <w14:schemeClr w14:val="tx1"/>
            </w14:solidFill>
          </w14:textFill>
        </w:rPr>
        <w:t>12</w:t>
      </w:r>
      <w:r>
        <w:rPr>
          <w:rFonts w:hint="eastAsia" w:ascii="Times New Roman" w:hAnsi="Times New Roman" w:eastAsia="仿宋" w:cs="Times New Roman"/>
          <w:color w:val="000000" w:themeColor="text1"/>
          <w:highlight w:val="none"/>
          <w14:textFill>
            <w14:solidFill>
              <w14:schemeClr w14:val="tx1"/>
            </w14:solidFill>
          </w14:textFill>
        </w:rPr>
        <w:t>%。</w:t>
      </w:r>
    </w:p>
    <w:p>
      <w:pPr>
        <w:autoSpaceDE w:val="0"/>
        <w:autoSpaceDN w:val="0"/>
        <w:adjustRightInd w:val="0"/>
        <w:spacing w:before="0" w:after="0" w:line="240" w:lineRule="auto"/>
        <w:ind w:firstLine="562"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b/>
          <w:bCs/>
          <w:color w:val="000000" w:themeColor="text1"/>
          <w:highlight w:val="none"/>
          <w14:textFill>
            <w14:solidFill>
              <w14:schemeClr w14:val="tx1"/>
            </w14:solidFill>
          </w14:textFill>
        </w:rPr>
        <w:t>城乡建设用地总量。</w:t>
      </w:r>
      <w:r>
        <w:rPr>
          <w:rFonts w:hint="eastAsia" w:ascii="Times New Roman" w:hAnsi="Times New Roman" w:eastAsia="仿宋" w:cs="Times New Roman"/>
          <w:color w:val="000000" w:themeColor="text1"/>
          <w:highlight w:val="none"/>
          <w14:textFill>
            <w14:solidFill>
              <w14:schemeClr w14:val="tx1"/>
            </w14:solidFill>
          </w14:textFill>
        </w:rPr>
        <w:t>广水市2020年城乡建设用地规模</w:t>
      </w:r>
      <w:r>
        <w:rPr>
          <w:rFonts w:ascii="Times New Roman" w:hAnsi="Times New Roman" w:eastAsia="仿宋" w:cs="Times New Roman"/>
          <w:color w:val="000000" w:themeColor="text1"/>
          <w:highlight w:val="none"/>
          <w14:textFill>
            <w14:solidFill>
              <w14:schemeClr w14:val="tx1"/>
            </w14:solidFill>
          </w14:textFill>
        </w:rPr>
        <w:t>215.61</w:t>
      </w:r>
      <w:r>
        <w:rPr>
          <w:rFonts w:hint="eastAsia" w:ascii="Times New Roman" w:hAnsi="Times New Roman" w:eastAsia="仿宋" w:cs="Times New Roman"/>
          <w:color w:val="000000" w:themeColor="text1"/>
          <w:highlight w:val="none"/>
          <w14:textFill>
            <w14:solidFill>
              <w14:schemeClr w14:val="tx1"/>
            </w14:solidFill>
          </w14:textFill>
        </w:rPr>
        <w:t>平方公里，城镇建设用地规模为36.95平方公里。规划到</w:t>
      </w:r>
      <w:r>
        <w:rPr>
          <w:rFonts w:ascii="Times New Roman" w:hAnsi="Times New Roman" w:eastAsia="仿宋" w:cs="Times New Roman"/>
          <w:color w:val="000000" w:themeColor="text1"/>
          <w:highlight w:val="none"/>
          <w14:textFill>
            <w14:solidFill>
              <w14:schemeClr w14:val="tx1"/>
            </w14:solidFill>
          </w14:textFill>
        </w:rPr>
        <w:t>2035</w:t>
      </w:r>
      <w:r>
        <w:rPr>
          <w:rFonts w:hint="eastAsia" w:ascii="Times New Roman" w:hAnsi="Times New Roman" w:eastAsia="仿宋" w:cs="Times New Roman"/>
          <w:color w:val="000000" w:themeColor="text1"/>
          <w:highlight w:val="none"/>
          <w14:textFill>
            <w14:solidFill>
              <w14:schemeClr w14:val="tx1"/>
            </w14:solidFill>
          </w14:textFill>
        </w:rPr>
        <w:t>年，全市城乡建设用地规模为</w:t>
      </w:r>
      <w:r>
        <w:rPr>
          <w:rFonts w:ascii="Times New Roman" w:hAnsi="Times New Roman" w:eastAsia="仿宋" w:cs="Times New Roman"/>
          <w:color w:val="000000" w:themeColor="text1"/>
          <w:highlight w:val="none"/>
          <w14:textFill>
            <w14:solidFill>
              <w14:schemeClr w14:val="tx1"/>
            </w14:solidFill>
          </w14:textFill>
        </w:rPr>
        <w:t>251.88</w:t>
      </w:r>
      <w:r>
        <w:rPr>
          <w:rFonts w:hint="eastAsia" w:ascii="Times New Roman" w:hAnsi="Times New Roman" w:eastAsia="仿宋" w:cs="Times New Roman"/>
          <w:color w:val="000000" w:themeColor="text1"/>
          <w:highlight w:val="none"/>
          <w14:textFill>
            <w14:solidFill>
              <w14:schemeClr w14:val="tx1"/>
            </w14:solidFill>
          </w14:textFill>
        </w:rPr>
        <w:t>平方公里，其中城镇建设用地规模为</w:t>
      </w:r>
      <w:r>
        <w:rPr>
          <w:rFonts w:ascii="Times New Roman" w:hAnsi="Times New Roman" w:eastAsia="仿宋" w:cs="Times New Roman"/>
          <w:color w:val="000000" w:themeColor="text1"/>
          <w:highlight w:val="none"/>
          <w14:textFill>
            <w14:solidFill>
              <w14:schemeClr w14:val="tx1"/>
            </w14:solidFill>
          </w14:textFill>
        </w:rPr>
        <w:t>73.67</w:t>
      </w:r>
      <w:r>
        <w:rPr>
          <w:rFonts w:hint="eastAsia" w:ascii="Times New Roman" w:hAnsi="Times New Roman" w:eastAsia="仿宋" w:cs="Times New Roman"/>
          <w:color w:val="000000" w:themeColor="text1"/>
          <w:highlight w:val="none"/>
          <w14:textFill>
            <w14:solidFill>
              <w14:schemeClr w14:val="tx1"/>
            </w14:solidFill>
          </w14:textFill>
        </w:rPr>
        <w:t>平方公里。到</w:t>
      </w:r>
      <w:r>
        <w:rPr>
          <w:rFonts w:ascii="Times New Roman" w:hAnsi="Times New Roman" w:eastAsia="仿宋" w:cs="Times New Roman"/>
          <w:color w:val="000000" w:themeColor="text1"/>
          <w:highlight w:val="none"/>
          <w14:textFill>
            <w14:solidFill>
              <w14:schemeClr w14:val="tx1"/>
            </w14:solidFill>
          </w14:textFill>
        </w:rPr>
        <w:t>2035</w:t>
      </w:r>
      <w:r>
        <w:rPr>
          <w:rFonts w:hint="eastAsia" w:ascii="Times New Roman" w:hAnsi="Times New Roman" w:eastAsia="仿宋" w:cs="Times New Roman"/>
          <w:color w:val="000000" w:themeColor="text1"/>
          <w:highlight w:val="none"/>
          <w14:textFill>
            <w14:solidFill>
              <w14:schemeClr w14:val="tx1"/>
            </w14:solidFill>
          </w14:textFill>
        </w:rPr>
        <w:t>年，人均城镇用地面积控制在</w:t>
      </w:r>
      <w:r>
        <w:rPr>
          <w:rFonts w:ascii="Times New Roman" w:hAnsi="Times New Roman" w:eastAsia="仿宋" w:cs="Times New Roman"/>
          <w:color w:val="000000" w:themeColor="text1"/>
          <w:highlight w:val="none"/>
          <w14:textFill>
            <w14:solidFill>
              <w14:schemeClr w14:val="tx1"/>
            </w14:solidFill>
          </w14:textFill>
        </w:rPr>
        <w:t>7</w:t>
      </w:r>
      <w:r>
        <w:rPr>
          <w:rFonts w:hint="eastAsia" w:ascii="Times New Roman" w:hAnsi="Times New Roman" w:eastAsia="仿宋" w:cs="Times New Roman"/>
          <w:color w:val="000000" w:themeColor="text1"/>
          <w:highlight w:val="none"/>
          <w14:textFill>
            <w14:solidFill>
              <w14:schemeClr w14:val="tx1"/>
            </w14:solidFill>
          </w14:textFill>
        </w:rPr>
        <w:t>5</w:t>
      </w:r>
      <w:r>
        <w:rPr>
          <w:rFonts w:hint="eastAsia" w:ascii="Times New Roman" w:hAnsi="Times New Roman" w:eastAsia="仿宋" w:cs="Times New Roman"/>
          <w:b/>
          <w:bCs/>
          <w:color w:val="000000" w:themeColor="text1"/>
          <w:highlight w:val="none"/>
          <w14:textFill>
            <w14:solidFill>
              <w14:schemeClr w14:val="tx1"/>
            </w14:solidFill>
          </w14:textFill>
        </w:rPr>
        <w:t>平方米</w:t>
      </w:r>
      <w:r>
        <w:rPr>
          <w:rFonts w:hint="eastAsia" w:ascii="Times New Roman" w:hAnsi="Times New Roman" w:eastAsia="仿宋" w:cs="Times New Roman"/>
          <w:color w:val="000000" w:themeColor="text1"/>
          <w:highlight w:val="none"/>
          <w14:textFill>
            <w14:solidFill>
              <w14:schemeClr w14:val="tx1"/>
            </w14:solidFill>
          </w14:textFill>
        </w:rPr>
        <w:t>。人均农村居民点用地面积控制在</w:t>
      </w:r>
      <w:r>
        <w:rPr>
          <w:rFonts w:ascii="Times New Roman" w:hAnsi="Times New Roman" w:eastAsia="仿宋" w:cs="Times New Roman"/>
          <w:color w:val="000000" w:themeColor="text1"/>
          <w:highlight w:val="none"/>
          <w14:textFill>
            <w14:solidFill>
              <w14:schemeClr w14:val="tx1"/>
            </w14:solidFill>
          </w14:textFill>
        </w:rPr>
        <w:t>219</w:t>
      </w:r>
      <w:r>
        <w:rPr>
          <w:rFonts w:hint="eastAsia" w:ascii="Times New Roman" w:hAnsi="Times New Roman" w:eastAsia="仿宋" w:cs="Times New Roman"/>
          <w:color w:val="000000" w:themeColor="text1"/>
          <w:highlight w:val="none"/>
          <w14:textFill>
            <w14:solidFill>
              <w14:schemeClr w14:val="tx1"/>
            </w14:solidFill>
          </w14:textFill>
        </w:rPr>
        <w:t>平方米。</w:t>
      </w:r>
    </w:p>
    <w:p>
      <w:pPr>
        <w:autoSpaceDE w:val="0"/>
        <w:autoSpaceDN w:val="0"/>
        <w:adjustRightInd w:val="0"/>
        <w:spacing w:before="0" w:after="0" w:line="240" w:lineRule="auto"/>
        <w:ind w:firstLine="562"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b/>
          <w:bCs/>
          <w:color w:val="000000" w:themeColor="text1"/>
          <w:highlight w:val="none"/>
          <w14:textFill>
            <w14:solidFill>
              <w14:schemeClr w14:val="tx1"/>
            </w14:solidFill>
          </w14:textFill>
        </w:rPr>
        <w:t>区域基础设施用地。</w:t>
      </w:r>
      <w:r>
        <w:rPr>
          <w:rFonts w:hint="eastAsia" w:ascii="Times New Roman" w:hAnsi="Times New Roman" w:eastAsia="仿宋" w:cs="Times New Roman"/>
          <w:color w:val="000000" w:themeColor="text1"/>
          <w:highlight w:val="none"/>
          <w14:textFill>
            <w14:solidFill>
              <w14:schemeClr w14:val="tx1"/>
            </w14:solidFill>
          </w14:textFill>
        </w:rPr>
        <w:t>广水市2020年区域基础设施用地规模</w:t>
      </w:r>
      <w:r>
        <w:rPr>
          <w:rFonts w:ascii="Times New Roman" w:hAnsi="Times New Roman" w:eastAsia="仿宋" w:cs="Times New Roman"/>
          <w:color w:val="000000" w:themeColor="text1"/>
          <w:highlight w:val="none"/>
          <w14:textFill>
            <w14:solidFill>
              <w14:schemeClr w14:val="tx1"/>
            </w14:solidFill>
          </w14:textFill>
        </w:rPr>
        <w:t>21.04</w:t>
      </w:r>
      <w:r>
        <w:rPr>
          <w:rFonts w:hint="eastAsia" w:ascii="Times New Roman" w:hAnsi="Times New Roman" w:eastAsia="仿宋" w:cs="Times New Roman"/>
          <w:color w:val="000000" w:themeColor="text1"/>
          <w:highlight w:val="none"/>
          <w14:textFill>
            <w14:solidFill>
              <w14:schemeClr w14:val="tx1"/>
            </w14:solidFill>
          </w14:textFill>
        </w:rPr>
        <w:t>平方公里，规划到2035年，全市区域基础设施用地规模为</w:t>
      </w:r>
      <w:r>
        <w:rPr>
          <w:rFonts w:ascii="Times New Roman" w:hAnsi="Times New Roman" w:eastAsia="仿宋" w:cs="Times New Roman"/>
          <w:color w:val="000000" w:themeColor="text1"/>
          <w:highlight w:val="none"/>
          <w14:textFill>
            <w14:solidFill>
              <w14:schemeClr w14:val="tx1"/>
            </w14:solidFill>
          </w14:textFill>
        </w:rPr>
        <w:t>54.61</w:t>
      </w:r>
      <w:r>
        <w:rPr>
          <w:rFonts w:hint="eastAsia" w:ascii="Times New Roman" w:hAnsi="Times New Roman" w:eastAsia="仿宋" w:cs="Times New Roman"/>
          <w:color w:val="000000" w:themeColor="text1"/>
          <w:highlight w:val="none"/>
          <w14:textFill>
            <w14:solidFill>
              <w14:schemeClr w14:val="tx1"/>
            </w14:solidFill>
          </w14:textFill>
        </w:rPr>
        <w:t>平方公里其他建设用地。</w:t>
      </w:r>
    </w:p>
    <w:p>
      <w:pPr>
        <w:autoSpaceDE w:val="0"/>
        <w:autoSpaceDN w:val="0"/>
        <w:adjustRightInd w:val="0"/>
        <w:spacing w:before="0" w:after="0" w:line="240" w:lineRule="auto"/>
        <w:ind w:firstLine="562"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b/>
          <w:bCs/>
          <w:color w:val="000000" w:themeColor="text1"/>
          <w:highlight w:val="none"/>
          <w14:textFill>
            <w14:solidFill>
              <w14:schemeClr w14:val="tx1"/>
            </w14:solidFill>
          </w14:textFill>
        </w:rPr>
        <w:t>其他建设用地。</w:t>
      </w:r>
      <w:r>
        <w:rPr>
          <w:rFonts w:hint="eastAsia" w:ascii="Times New Roman" w:hAnsi="Times New Roman" w:eastAsia="仿宋" w:cs="Times New Roman"/>
          <w:color w:val="000000" w:themeColor="text1"/>
          <w:highlight w:val="none"/>
          <w14:textFill>
            <w14:solidFill>
              <w14:schemeClr w14:val="tx1"/>
            </w14:solidFill>
          </w14:textFill>
        </w:rPr>
        <w:t>广水市2020年其他建设用地规模</w:t>
      </w:r>
      <w:r>
        <w:rPr>
          <w:rFonts w:ascii="Times New Roman" w:hAnsi="Times New Roman" w:eastAsia="仿宋" w:cs="Times New Roman"/>
          <w:color w:val="000000" w:themeColor="text1"/>
          <w:highlight w:val="none"/>
          <w14:textFill>
            <w14:solidFill>
              <w14:schemeClr w14:val="tx1"/>
            </w14:solidFill>
          </w14:textFill>
        </w:rPr>
        <w:t>10.97</w:t>
      </w:r>
      <w:r>
        <w:rPr>
          <w:rFonts w:hint="eastAsia" w:ascii="Times New Roman" w:hAnsi="Times New Roman" w:eastAsia="仿宋" w:cs="Times New Roman"/>
          <w:color w:val="000000" w:themeColor="text1"/>
          <w:highlight w:val="none"/>
          <w14:textFill>
            <w14:solidFill>
              <w14:schemeClr w14:val="tx1"/>
            </w14:solidFill>
          </w14:textFill>
        </w:rPr>
        <w:t>平方公里，规划到2035年，全市其他建设用地规模为</w:t>
      </w:r>
      <w:r>
        <w:rPr>
          <w:rFonts w:ascii="Times New Roman" w:hAnsi="Times New Roman" w:eastAsia="仿宋" w:cs="Times New Roman"/>
          <w:color w:val="000000" w:themeColor="text1"/>
          <w:highlight w:val="none"/>
          <w14:textFill>
            <w14:solidFill>
              <w14:schemeClr w14:val="tx1"/>
            </w14:solidFill>
          </w14:textFill>
        </w:rPr>
        <w:t>11.09</w:t>
      </w:r>
      <w:r>
        <w:rPr>
          <w:rFonts w:hint="eastAsia" w:ascii="Times New Roman" w:hAnsi="Times New Roman" w:eastAsia="仿宋" w:cs="Times New Roman"/>
          <w:color w:val="000000" w:themeColor="text1"/>
          <w:highlight w:val="none"/>
          <w14:textFill>
            <w14:solidFill>
              <w14:schemeClr w14:val="tx1"/>
            </w14:solidFill>
          </w14:textFill>
        </w:rPr>
        <w:t>平方公里。</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4</w:t>
      </w:r>
      <w:r>
        <w:rPr>
          <w:rFonts w:hint="eastAsia" w:ascii="仿宋" w:hAnsi="仿宋" w:eastAsia="仿宋"/>
          <w:b/>
          <w:bCs/>
          <w:color w:val="000000" w:themeColor="text1"/>
          <w:highlight w:val="none"/>
          <w14:textFill>
            <w14:solidFill>
              <w14:schemeClr w14:val="tx1"/>
            </w14:solidFill>
          </w14:textFill>
        </w:rPr>
        <w:t>）配置建设用地增量</w:t>
      </w:r>
    </w:p>
    <w:p>
      <w:pPr>
        <w:widowControl/>
        <w:ind w:firstLine="560" w:firstLineChars="200"/>
        <w:jc w:val="left"/>
        <w:rPr>
          <w:rFonts w:ascii="Times New Roman" w:hAnsi="Times New Roman" w:eastAsia="仿宋" w:cs="Times New Roman"/>
          <w:color w:val="000000" w:themeColor="text1"/>
          <w:highlight w:val="none"/>
          <w14:textFill>
            <w14:solidFill>
              <w14:schemeClr w14:val="tx1"/>
            </w14:solidFill>
          </w14:textFill>
        </w:rPr>
        <w:sectPr>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 w:cs="Times New Roman"/>
          <w:color w:val="000000" w:themeColor="text1"/>
          <w:highlight w:val="none"/>
          <w14:textFill>
            <w14:solidFill>
              <w14:schemeClr w14:val="tx1"/>
            </w14:solidFill>
          </w14:textFill>
        </w:rPr>
        <w:t>以2020年全市建设用地总规模为基础，以2</w:t>
      </w:r>
      <w:r>
        <w:rPr>
          <w:rFonts w:ascii="Times New Roman" w:hAnsi="Times New Roman" w:eastAsia="仿宋" w:cs="Times New Roman"/>
          <w:color w:val="000000" w:themeColor="text1"/>
          <w:highlight w:val="none"/>
          <w14:textFill>
            <w14:solidFill>
              <w14:schemeClr w14:val="tx1"/>
            </w14:solidFill>
          </w14:textFill>
        </w:rPr>
        <w:t>035</w:t>
      </w:r>
      <w:r>
        <w:rPr>
          <w:rFonts w:hint="eastAsia" w:ascii="Times New Roman" w:hAnsi="Times New Roman" w:eastAsia="仿宋" w:cs="Times New Roman"/>
          <w:color w:val="000000" w:themeColor="text1"/>
          <w:highlight w:val="none"/>
          <w14:textFill>
            <w14:solidFill>
              <w14:schemeClr w14:val="tx1"/>
            </w14:solidFill>
          </w14:textFill>
        </w:rPr>
        <w:t>年全市建设用地总规模为约束，分析各镇办</w:t>
      </w:r>
      <w:r>
        <w:rPr>
          <w:rFonts w:ascii="Times New Roman" w:hAnsi="Times New Roman" w:eastAsia="仿宋" w:cs="Times New Roman"/>
          <w:color w:val="000000" w:themeColor="text1"/>
          <w:highlight w:val="none"/>
          <w14:textFill>
            <w14:solidFill>
              <w14:schemeClr w14:val="tx1"/>
            </w14:solidFill>
          </w14:textFill>
        </w:rPr>
        <w:t>2010</w:t>
      </w:r>
      <w:r>
        <w:rPr>
          <w:rFonts w:hint="eastAsia" w:ascii="Times New Roman" w:hAnsi="Times New Roman" w:eastAsia="仿宋" w:cs="Times New Roman"/>
          <w:color w:val="000000" w:themeColor="text1"/>
          <w:highlight w:val="none"/>
          <w14:textFill>
            <w14:solidFill>
              <w14:schemeClr w14:val="tx1"/>
            </w14:solidFill>
          </w14:textFill>
        </w:rPr>
        <w:t>年以来年均建设用地增加量、相关规划、十四五规划发展潜力、历年年均征地、现行土地利用总体规划剩余指标等因素，再结合现行规划中各镇、街道办事处建设用地规模占广水市建设用地总规模的比例来分解新增城镇建设用地，根据各镇、街道办事处农村建设用地整治潜力，结合重点项目、城镇开发边界</w:t>
      </w:r>
      <w:r>
        <w:rPr>
          <w:rFonts w:hint="eastAsia" w:ascii="Times New Roman" w:hAnsi="Times New Roman" w:eastAsia="仿宋" w:cs="Times New Roman"/>
          <w:color w:val="000000" w:themeColor="text1"/>
          <w:highlight w:val="none"/>
          <w:lang w:eastAsia="zh-CN"/>
          <w14:textFill>
            <w14:solidFill>
              <w14:schemeClr w14:val="tx1"/>
            </w14:solidFill>
          </w14:textFill>
        </w:rPr>
        <w:t>外用的需求</w:t>
      </w:r>
      <w:r>
        <w:rPr>
          <w:rFonts w:hint="eastAsia" w:ascii="Times New Roman" w:hAnsi="Times New Roman" w:eastAsia="仿宋" w:cs="Times New Roman"/>
          <w:color w:val="000000" w:themeColor="text1"/>
          <w:highlight w:val="none"/>
          <w14:textFill>
            <w14:solidFill>
              <w14:schemeClr w14:val="tx1"/>
            </w14:solidFill>
          </w14:textFill>
        </w:rPr>
        <w:t>，确定各镇办农村建设用地整治规模，从而确定各镇办建设用地总规模。</w:t>
      </w:r>
    </w:p>
    <w:p>
      <w:pPr>
        <w:pStyle w:val="3"/>
        <w:pageBreakBefore/>
        <w:rPr>
          <w:rFonts w:ascii="仿宋" w:hAnsi="仿宋" w:eastAsia="仿宋"/>
          <w:color w:val="000000" w:themeColor="text1"/>
          <w:highlight w:val="none"/>
          <w14:textFill>
            <w14:solidFill>
              <w14:schemeClr w14:val="tx1"/>
            </w14:solidFill>
          </w14:textFill>
        </w:rPr>
      </w:pPr>
      <w:bookmarkStart w:id="22" w:name="_Toc9263"/>
      <w:r>
        <w:rPr>
          <w:rFonts w:hint="eastAsia" w:ascii="仿宋" w:hAnsi="仿宋" w:eastAsia="仿宋"/>
          <w:color w:val="000000" w:themeColor="text1"/>
          <w:highlight w:val="none"/>
          <w14:textFill>
            <w14:solidFill>
              <w14:schemeClr w14:val="tx1"/>
            </w14:solidFill>
          </w14:textFill>
        </w:rPr>
        <w:t>第五章 农业空间</w:t>
      </w:r>
      <w:bookmarkEnd w:id="22"/>
    </w:p>
    <w:p>
      <w:pPr>
        <w:pStyle w:val="4"/>
        <w:rPr>
          <w:rFonts w:ascii="仿宋" w:hAnsi="仿宋" w:eastAsia="仿宋"/>
          <w:color w:val="000000" w:themeColor="text1"/>
          <w:highlight w:val="none"/>
          <w14:textFill>
            <w14:solidFill>
              <w14:schemeClr w14:val="tx1"/>
            </w14:solidFill>
          </w14:textFill>
        </w:rPr>
      </w:pPr>
      <w:bookmarkStart w:id="23" w:name="_Toc25241"/>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1</w:t>
      </w:r>
      <w:r>
        <w:rPr>
          <w:rFonts w:hint="eastAsia" w:ascii="仿宋" w:hAnsi="仿宋" w:eastAsia="仿宋"/>
          <w:color w:val="000000" w:themeColor="text1"/>
          <w:highlight w:val="none"/>
          <w14:textFill>
            <w14:solidFill>
              <w14:schemeClr w14:val="tx1"/>
            </w14:solidFill>
          </w14:textFill>
        </w:rPr>
        <w:t>节 农业生产空间</w:t>
      </w:r>
      <w:bookmarkEnd w:id="23"/>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放大农业“融合+”效应，促进农工、农旅、农商深度对接，</w:t>
      </w:r>
      <w:r>
        <w:rPr>
          <w:rFonts w:ascii="Times New Roman" w:hAnsi="Times New Roman" w:eastAsia="仿宋" w:cs="Times New Roman"/>
          <w:color w:val="000000" w:themeColor="text1"/>
          <w:highlight w:val="none"/>
          <w14:textFill>
            <w14:solidFill>
              <w14:schemeClr w14:val="tx1"/>
            </w14:solidFill>
          </w14:textFill>
        </w:rPr>
        <w:t>培育</w:t>
      </w:r>
      <w:r>
        <w:rPr>
          <w:rFonts w:hint="eastAsia" w:ascii="Times New Roman" w:hAnsi="Times New Roman" w:eastAsia="仿宋" w:cs="Times New Roman"/>
          <w:color w:val="000000" w:themeColor="text1"/>
          <w:highlight w:val="none"/>
          <w14:textFill>
            <w14:solidFill>
              <w14:schemeClr w14:val="tx1"/>
            </w14:solidFill>
          </w14:textFill>
        </w:rPr>
        <w:t>新产业</w:t>
      </w:r>
      <w:r>
        <w:rPr>
          <w:rFonts w:ascii="Times New Roman" w:hAnsi="Times New Roman" w:eastAsia="仿宋" w:cs="Times New Roman"/>
          <w:color w:val="000000" w:themeColor="text1"/>
          <w:highlight w:val="none"/>
          <w14:textFill>
            <w14:solidFill>
              <w14:schemeClr w14:val="tx1"/>
            </w14:solidFill>
          </w14:textFill>
        </w:rPr>
        <w:t>、</w:t>
      </w:r>
      <w:r>
        <w:rPr>
          <w:rFonts w:hint="eastAsia" w:ascii="Times New Roman" w:hAnsi="Times New Roman" w:eastAsia="仿宋" w:cs="Times New Roman"/>
          <w:color w:val="000000" w:themeColor="text1"/>
          <w:highlight w:val="none"/>
          <w14:textFill>
            <w14:solidFill>
              <w14:schemeClr w14:val="tx1"/>
            </w14:solidFill>
          </w14:textFill>
        </w:rPr>
        <w:t>新业态</w:t>
      </w:r>
      <w:r>
        <w:rPr>
          <w:rFonts w:ascii="Times New Roman" w:hAnsi="Times New Roman" w:eastAsia="仿宋" w:cs="Times New Roman"/>
          <w:color w:val="000000" w:themeColor="text1"/>
          <w:highlight w:val="none"/>
          <w14:textFill>
            <w14:solidFill>
              <w14:schemeClr w14:val="tx1"/>
            </w14:solidFill>
          </w14:textFill>
        </w:rPr>
        <w:t>、</w:t>
      </w:r>
      <w:r>
        <w:rPr>
          <w:rFonts w:hint="eastAsia" w:ascii="Times New Roman" w:hAnsi="Times New Roman" w:eastAsia="仿宋" w:cs="Times New Roman"/>
          <w:color w:val="000000" w:themeColor="text1"/>
          <w:highlight w:val="none"/>
          <w14:textFill>
            <w14:solidFill>
              <w14:schemeClr w14:val="tx1"/>
            </w14:solidFill>
          </w14:textFill>
        </w:rPr>
        <w:t>新模式，延伸农业产业链、价值链和利益链，加快农村</w:t>
      </w:r>
      <w:r>
        <w:rPr>
          <w:rFonts w:hint="eastAsia" w:ascii="Times New Roman" w:hAnsi="Times New Roman" w:eastAsia="仿宋" w:cs="Times New Roman"/>
          <w:color w:val="000000" w:themeColor="text1"/>
          <w:highlight w:val="none"/>
          <w:lang w:eastAsia="zh-CN"/>
          <w14:textFill>
            <w14:solidFill>
              <w14:schemeClr w14:val="tx1"/>
            </w14:solidFill>
          </w14:textFill>
        </w:rPr>
        <w:t>一、二、三产业</w:t>
      </w:r>
      <w:r>
        <w:rPr>
          <w:rFonts w:hint="eastAsia" w:ascii="Times New Roman" w:hAnsi="Times New Roman" w:eastAsia="仿宋" w:cs="Times New Roman"/>
          <w:color w:val="000000" w:themeColor="text1"/>
          <w:highlight w:val="none"/>
          <w14:textFill>
            <w14:solidFill>
              <w14:schemeClr w14:val="tx1"/>
            </w14:solidFill>
          </w14:textFill>
        </w:rPr>
        <w:t>融合发展，打造</w:t>
      </w:r>
      <w:r>
        <w:rPr>
          <w:rFonts w:ascii="Times New Roman" w:hAnsi="Times New Roman" w:eastAsia="仿宋" w:cs="Times New Roman"/>
          <w:color w:val="000000" w:themeColor="text1"/>
          <w:highlight w:val="none"/>
          <w14:textFill>
            <w14:solidFill>
              <w14:schemeClr w14:val="tx1"/>
            </w14:solidFill>
          </w14:textFill>
        </w:rPr>
        <w:t>特色农业增长极。</w:t>
      </w:r>
    </w:p>
    <w:p>
      <w:pPr>
        <w:pStyle w:val="21"/>
        <w:tabs>
          <w:tab w:val="left" w:pos="1203"/>
        </w:tabs>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（1）农业产业发展布局</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打造市域“一心、四区、多点”的农业发展格局。</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一心：市域农产品农业综合服务中心。</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四区：北部农林茶菜生态农业片区、西部粮油果蔬集中产区、南部农林果渔生态农业片区、东部现代农业综合产区。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多点：由陈巷“吉阳大蒜”种植基地、余店“三白蔬菜”小镇、吴店玉皇顶油茶种植基地以及武胜关杨树沟茶场等多个产业平台组成。</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（2）打造六大十亿产业链</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特色蔬菜产业链。依托广水“吉阳大蒜”国家地理标志产品和广水“三白”国家绿色蔬菜品牌，重点发展余店“三白”蔬菜，316国道沿线的萝卜和马铃薯，太平、李店、陈巷等地的吉阳大蒜。</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林果油茶产业链。依托林业加快发展传统的香菇、木耳、白灵菇栽培，结合代料栽培发展反季节香菇、巴西菇、双孢菇等新型菌菇栽培，形成以吴店镇、郝店镇、蔡河镇、武胜关镇等北部镇和西南部镇为主的特色食用菌生产示范基地。</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食用菌产业链。依托林业加快发展传统的香菇、木耳、白灵菇栽培，结合代料栽培发展反季节香菇、巴西菇、双孢菇等新型菌菇栽培，形成以吴店镇、郝店镇、蔡河镇、武胜关镇等北部镇和西南部镇为主的特色食用菌生产示范基地。</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中药材产业链。以蔡河镇、余店镇、城郊办事处、骆店镇、李店镇为重点，大力发展苍术、艾叶、夏枯球、野菊花、栀子等优质中药材和富硒中药材种植。</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特色禽畜产业链。按照“稳生猪、拓牛羊、增肉鸽，兴蜜蜂、壮加工，强种业”的总体原则，立足广水地方畜禽种质资源优势，鼓励发展山羊、肉牛、肉鸽、蜜蜂、土鸡等特色畜牧业。</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名优特产产业链。以绿色生态和名特优水产品为重点，稳定发展草鱼、鳊鱼、鲫鱼、鳙鱼、鲢鱼等大宗水产品，大力发展小龙虾、泥鳅、黄颡鱼、鳜鱼、中华鳖等优势特色水产品种。</w:t>
      </w:r>
    </w:p>
    <w:p>
      <w:pPr>
        <w:ind w:firstLine="480" w:firstLineChars="200"/>
        <w:jc w:val="center"/>
        <w:rPr>
          <w:rFonts w:ascii="Times New Roman" w:hAnsi="Times New Roman" w:eastAsia="仿宋" w:cs="Times New Roman"/>
          <w:color w:val="000000" w:themeColor="text1"/>
          <w:sz w:val="24"/>
          <w:szCs w:val="21"/>
          <w:highlight w:val="none"/>
          <w14:textFill>
            <w14:solidFill>
              <w14:schemeClr w14:val="tx1"/>
            </w14:solidFill>
          </w14:textFill>
        </w:rPr>
      </w:pPr>
      <w:r>
        <w:rPr>
          <w:rFonts w:hint="eastAsia" w:ascii="Times New Roman" w:hAnsi="Times New Roman" w:eastAsia="仿宋" w:cs="Times New Roman"/>
          <w:color w:val="000000" w:themeColor="text1"/>
          <w:sz w:val="24"/>
          <w:szCs w:val="21"/>
          <w:highlight w:val="none"/>
          <w14:textFill>
            <w14:solidFill>
              <w14:schemeClr w14:val="tx1"/>
            </w14:solidFill>
          </w14:textFill>
        </w:rPr>
        <w:t>广水市六大特色产业链主要分布地区一览表</w:t>
      </w:r>
    </w:p>
    <w:tbl>
      <w:tblPr>
        <w:tblStyle w:val="13"/>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110"/>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1218" w:type="dxa"/>
            <w:vAlign w:val="center"/>
          </w:tcPr>
          <w:p>
            <w:pPr>
              <w:widowControl/>
              <w:spacing w:before="0" w:after="0" w:line="240" w:lineRule="auto"/>
              <w:jc w:val="center"/>
              <w:textAlignment w:val="bottom"/>
              <w:rPr>
                <w:rFonts w:ascii="仿宋" w:hAnsi="仿宋" w:eastAsia="仿宋" w:cs="宋体"/>
                <w:bCs/>
                <w:color w:val="000000" w:themeColor="text1"/>
                <w:sz w:val="22"/>
                <w:highlight w:val="none"/>
                <w14:textFill>
                  <w14:solidFill>
                    <w14:schemeClr w14:val="tx1"/>
                  </w14:solidFill>
                </w14:textFill>
              </w:rPr>
            </w:pPr>
            <w:r>
              <w:rPr>
                <w:rFonts w:ascii="仿宋" w:hAnsi="仿宋" w:eastAsia="仿宋" w:cs="宋体"/>
                <w:bCs/>
                <w:color w:val="000000" w:themeColor="text1"/>
                <w:kern w:val="0"/>
                <w:sz w:val="22"/>
                <w:highlight w:val="none"/>
                <w:lang w:bidi="ar"/>
                <w14:textFill>
                  <w14:solidFill>
                    <w14:schemeClr w14:val="tx1"/>
                  </w14:solidFill>
                </w14:textFill>
              </w:rPr>
              <w:t>产业</w:t>
            </w:r>
            <w:r>
              <w:rPr>
                <w:rFonts w:hint="eastAsia" w:ascii="仿宋" w:hAnsi="仿宋" w:eastAsia="仿宋" w:cs="宋体"/>
                <w:bCs/>
                <w:color w:val="000000" w:themeColor="text1"/>
                <w:kern w:val="0"/>
                <w:sz w:val="22"/>
                <w:highlight w:val="none"/>
                <w:lang w:bidi="ar"/>
                <w14:textFill>
                  <w14:solidFill>
                    <w14:schemeClr w14:val="tx1"/>
                  </w14:solidFill>
                </w14:textFill>
              </w:rPr>
              <w:t>链</w:t>
            </w:r>
          </w:p>
        </w:tc>
        <w:tc>
          <w:tcPr>
            <w:tcW w:w="2110" w:type="dxa"/>
            <w:vAlign w:val="center"/>
          </w:tcPr>
          <w:p>
            <w:pPr>
              <w:widowControl/>
              <w:spacing w:before="0" w:after="0" w:line="240" w:lineRule="auto"/>
              <w:jc w:val="center"/>
              <w:textAlignment w:val="bottom"/>
              <w:rPr>
                <w:rFonts w:ascii="仿宋" w:hAnsi="仿宋" w:eastAsia="仿宋" w:cs="宋体"/>
                <w:bCs/>
                <w:color w:val="000000" w:themeColor="text1"/>
                <w:sz w:val="22"/>
                <w:highlight w:val="none"/>
                <w14:textFill>
                  <w14:solidFill>
                    <w14:schemeClr w14:val="tx1"/>
                  </w14:solidFill>
                </w14:textFill>
              </w:rPr>
            </w:pPr>
            <w:r>
              <w:rPr>
                <w:rFonts w:ascii="仿宋" w:hAnsi="仿宋" w:eastAsia="仿宋" w:cs="宋体"/>
                <w:bCs/>
                <w:color w:val="000000" w:themeColor="text1"/>
                <w:kern w:val="0"/>
                <w:sz w:val="22"/>
                <w:highlight w:val="none"/>
                <w:lang w:bidi="ar"/>
                <w14:textFill>
                  <w14:solidFill>
                    <w14:schemeClr w14:val="tx1"/>
                  </w14:solidFill>
                </w14:textFill>
              </w:rPr>
              <w:t>产业</w:t>
            </w:r>
            <w:r>
              <w:rPr>
                <w:rFonts w:hint="eastAsia" w:ascii="仿宋" w:hAnsi="仿宋" w:eastAsia="仿宋" w:cs="宋体"/>
                <w:bCs/>
                <w:color w:val="000000" w:themeColor="text1"/>
                <w:kern w:val="0"/>
                <w:sz w:val="22"/>
                <w:highlight w:val="none"/>
                <w:lang w:bidi="ar"/>
                <w14:textFill>
                  <w14:solidFill>
                    <w14:schemeClr w14:val="tx1"/>
                  </w14:solidFill>
                </w14:textFill>
              </w:rPr>
              <w:t>名称</w:t>
            </w:r>
          </w:p>
        </w:tc>
        <w:tc>
          <w:tcPr>
            <w:tcW w:w="5010" w:type="dxa"/>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主要</w:t>
            </w:r>
            <w:r>
              <w:rPr>
                <w:rFonts w:ascii="仿宋" w:hAnsi="仿宋" w:eastAsia="仿宋" w:cs="宋体"/>
                <w:bCs/>
                <w:color w:val="000000" w:themeColor="text1"/>
                <w:kern w:val="0"/>
                <w:sz w:val="22"/>
                <w:highlight w:val="none"/>
                <w:lang w:bidi="ar"/>
                <w14:textFill>
                  <w14:solidFill>
                    <w14:schemeClr w14:val="tx1"/>
                  </w14:solidFill>
                </w14:textFill>
              </w:rPr>
              <w:t>分布地区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18" w:type="dxa"/>
            <w:vMerge w:val="restart"/>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eastAsia="zh-TW"/>
                <w14:textFill>
                  <w14:solidFill>
                    <w14:schemeClr w14:val="tx1"/>
                  </w14:solidFill>
                </w14:textFill>
              </w:rPr>
            </w:pPr>
            <w:r>
              <w:rPr>
                <w:rFonts w:ascii="仿宋" w:hAnsi="仿宋" w:eastAsia="仿宋" w:cs="宋体"/>
                <w:bCs/>
                <w:color w:val="000000" w:themeColor="text1"/>
                <w:kern w:val="0"/>
                <w:sz w:val="22"/>
                <w:highlight w:val="none"/>
                <w:lang w:bidi="ar"/>
                <w14:textFill>
                  <w14:solidFill>
                    <w14:schemeClr w14:val="tx1"/>
                  </w14:solidFill>
                </w14:textFill>
              </w:rPr>
              <w:t>特色蔬菜产业</w:t>
            </w: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“三白”蔬菜</w:t>
            </w:r>
          </w:p>
        </w:tc>
        <w:tc>
          <w:tcPr>
            <w:tcW w:w="5010"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ascii="仿宋" w:hAnsi="仿宋" w:eastAsia="仿宋" w:cs="宋体"/>
                <w:color w:val="000000" w:themeColor="text1"/>
                <w:sz w:val="22"/>
                <w:highlight w:val="none"/>
                <w:lang w:eastAsia="zh-TW"/>
                <w14:textFill>
                  <w14:solidFill>
                    <w14:schemeClr w14:val="tx1"/>
                  </w14:solidFill>
                </w14:textFill>
              </w:rPr>
              <w:t>余店镇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218" w:type="dxa"/>
            <w:vMerge w:val="continue"/>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eastAsia="zh-TW"/>
                <w14:textFill>
                  <w14:solidFill>
                    <w14:schemeClr w14:val="tx1"/>
                  </w14:solidFill>
                </w14:textFill>
              </w:rPr>
            </w:pP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吉阳大蒜</w:t>
            </w:r>
          </w:p>
        </w:tc>
        <w:tc>
          <w:tcPr>
            <w:tcW w:w="5010" w:type="dxa"/>
            <w:vAlign w:val="center"/>
          </w:tcPr>
          <w:p>
            <w:pPr>
              <w:spacing w:before="0" w:after="0" w:line="240" w:lineRule="auto"/>
              <w:jc w:val="center"/>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太平镇、李店镇、陈巷镇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18" w:type="dxa"/>
            <w:vMerge w:val="continue"/>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萝卜和马铃薯</w:t>
            </w:r>
          </w:p>
        </w:tc>
        <w:tc>
          <w:tcPr>
            <w:tcW w:w="5010" w:type="dxa"/>
            <w:vAlign w:val="center"/>
          </w:tcPr>
          <w:p>
            <w:pPr>
              <w:spacing w:before="0" w:after="0" w:line="240" w:lineRule="auto"/>
              <w:jc w:val="center"/>
              <w:rPr>
                <w:rFonts w:ascii="仿宋" w:hAnsi="仿宋" w:eastAsia="仿宋" w:cs="宋体"/>
                <w:color w:val="000000" w:themeColor="text1"/>
                <w:sz w:val="22"/>
                <w:highlight w:val="none"/>
                <w:lang w:val="zh-TW" w:eastAsia="zh-TW"/>
                <w14:textFill>
                  <w14:solidFill>
                    <w14:schemeClr w14:val="tx1"/>
                  </w14:solidFill>
                </w14:textFill>
              </w:rPr>
            </w:pPr>
            <w:r>
              <w:rPr>
                <w:rFonts w:ascii="仿宋" w:hAnsi="仿宋" w:eastAsia="仿宋" w:cs="宋体"/>
                <w:color w:val="000000" w:themeColor="text1"/>
                <w:sz w:val="22"/>
                <w:highlight w:val="none"/>
                <w:lang w:eastAsia="zh-TW"/>
                <w14:textFill>
                  <w14:solidFill>
                    <w14:schemeClr w14:val="tx1"/>
                  </w14:solidFill>
                </w14:textFill>
              </w:rPr>
              <w:t>316国道沿线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18" w:type="dxa"/>
            <w:vMerge w:val="restart"/>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r>
              <w:rPr>
                <w:rFonts w:hint="eastAsia" w:ascii="仿宋" w:hAnsi="仿宋" w:eastAsia="仿宋" w:cs="宋体"/>
                <w:bCs/>
                <w:color w:val="000000" w:themeColor="text1"/>
                <w:sz w:val="22"/>
                <w:highlight w:val="none"/>
                <w:lang w:val="zh-TW" w:eastAsia="zh-TW"/>
                <w14:textFill>
                  <w14:solidFill>
                    <w14:schemeClr w14:val="tx1"/>
                  </w14:solidFill>
                </w14:textFill>
              </w:rPr>
              <w:t>林果油茶产业</w:t>
            </w: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“胭脂红鲜桃”</w:t>
            </w:r>
          </w:p>
        </w:tc>
        <w:tc>
          <w:tcPr>
            <w:tcW w:w="50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十里街道、蔡河镇、李店镇、武胜关镇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18" w:type="dxa"/>
            <w:vMerge w:val="continue"/>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中华猕猴桃</w:t>
            </w:r>
          </w:p>
        </w:tc>
        <w:tc>
          <w:tcPr>
            <w:tcW w:w="5010" w:type="dxa"/>
            <w:vAlign w:val="center"/>
          </w:tcPr>
          <w:p>
            <w:pPr>
              <w:widowControl/>
              <w:spacing w:before="0" w:after="0" w:line="240" w:lineRule="auto"/>
              <w:jc w:val="center"/>
              <w:textAlignment w:val="bottom"/>
              <w:rPr>
                <w:rFonts w:ascii="仿宋" w:hAnsi="仿宋" w:eastAsia="仿宋" w:cs="宋体"/>
                <w:color w:val="000000" w:themeColor="text1"/>
                <w:kern w:val="0"/>
                <w:sz w:val="22"/>
                <w:highlight w:val="none"/>
                <w:lang w:bidi="ar"/>
                <w14:textFill>
                  <w14:solidFill>
                    <w14:schemeClr w14:val="tx1"/>
                  </w14:solidFill>
                </w14:textFill>
              </w:rPr>
            </w:pPr>
            <w:r>
              <w:rPr>
                <w:rFonts w:hint="eastAsia" w:ascii="仿宋" w:hAnsi="仿宋" w:eastAsia="仿宋" w:cs="宋体"/>
                <w:color w:val="000000" w:themeColor="text1"/>
                <w:kern w:val="0"/>
                <w:sz w:val="22"/>
                <w:highlight w:val="none"/>
                <w:lang w:bidi="ar"/>
                <w14:textFill>
                  <w14:solidFill>
                    <w14:schemeClr w14:val="tx1"/>
                  </w14:solidFill>
                </w14:textFill>
              </w:rPr>
              <w:t>蔡河</w:t>
            </w:r>
            <w:r>
              <w:rPr>
                <w:rFonts w:ascii="仿宋" w:hAnsi="仿宋" w:eastAsia="仿宋" w:cs="宋体"/>
                <w:color w:val="000000" w:themeColor="text1"/>
                <w:kern w:val="0"/>
                <w:sz w:val="22"/>
                <w:highlight w:val="none"/>
                <w:lang w:bidi="ar"/>
                <w14:textFill>
                  <w14:solidFill>
                    <w14:schemeClr w14:val="tx1"/>
                  </w14:solidFill>
                </w14:textFill>
              </w:rPr>
              <w:t>镇</w:t>
            </w:r>
            <w:r>
              <w:rPr>
                <w:rFonts w:hint="eastAsia" w:ascii="仿宋" w:hAnsi="仿宋" w:eastAsia="仿宋" w:cs="宋体"/>
                <w:color w:val="000000" w:themeColor="text1"/>
                <w:kern w:val="0"/>
                <w:sz w:val="22"/>
                <w:highlight w:val="none"/>
                <w:lang w:bidi="ar"/>
                <w14:textFill>
                  <w14:solidFill>
                    <w14:schemeClr w14:val="tx1"/>
                  </w14:solidFill>
                </w14:textFill>
              </w:rPr>
              <w:t>及十蔡线沿线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218" w:type="dxa"/>
            <w:vMerge w:val="continue"/>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优质板栗</w:t>
            </w:r>
            <w:r>
              <w:rPr>
                <w:rFonts w:ascii="仿宋" w:hAnsi="仿宋" w:eastAsia="仿宋" w:cs="宋体"/>
                <w:color w:val="000000" w:themeColor="text1"/>
                <w:sz w:val="22"/>
                <w:highlight w:val="none"/>
                <w:lang w:eastAsia="zh-TW"/>
                <w14:textFill>
                  <w14:solidFill>
                    <w14:schemeClr w14:val="tx1"/>
                  </w14:solidFill>
                </w14:textFill>
              </w:rPr>
              <w:t>、</w:t>
            </w:r>
            <w:r>
              <w:rPr>
                <w:rFonts w:hint="eastAsia" w:ascii="仿宋" w:hAnsi="仿宋" w:eastAsia="仿宋" w:cs="宋体"/>
                <w:color w:val="000000" w:themeColor="text1"/>
                <w:sz w:val="22"/>
                <w:highlight w:val="none"/>
                <w:lang w:val="zh-TW" w:eastAsia="zh-TW"/>
                <w14:textFill>
                  <w14:solidFill>
                    <w14:schemeClr w14:val="tx1"/>
                  </w14:solidFill>
                </w14:textFill>
              </w:rPr>
              <w:t>茶叶</w:t>
            </w:r>
          </w:p>
        </w:tc>
        <w:tc>
          <w:tcPr>
            <w:tcW w:w="5010" w:type="dxa"/>
            <w:vAlign w:val="center"/>
          </w:tcPr>
          <w:p>
            <w:pPr>
              <w:spacing w:before="0" w:after="0" w:line="240" w:lineRule="auto"/>
              <w:jc w:val="center"/>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武胜关镇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18" w:type="dxa"/>
            <w:vMerge w:val="continue"/>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优质高产油茶、核桃</w:t>
            </w:r>
          </w:p>
        </w:tc>
        <w:tc>
          <w:tcPr>
            <w:tcW w:w="5010" w:type="dxa"/>
            <w:vAlign w:val="center"/>
          </w:tcPr>
          <w:p>
            <w:pPr>
              <w:spacing w:before="0" w:after="0" w:line="240" w:lineRule="auto"/>
              <w:jc w:val="center"/>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长岭镇、陈巷镇、城郊街道办事处、骆店镇、关庙镇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18" w:type="dxa"/>
            <w:vMerge w:val="continue"/>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大型苗木花卉盆景</w:t>
            </w:r>
          </w:p>
        </w:tc>
        <w:tc>
          <w:tcPr>
            <w:tcW w:w="50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蔡河镇和大贵寺、中华山林场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18" w:type="dxa"/>
            <w:vMerge w:val="continue"/>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多肉植物</w:t>
            </w:r>
          </w:p>
        </w:tc>
        <w:tc>
          <w:tcPr>
            <w:tcW w:w="50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应山街道办事处、十里街道办事处、长岭镇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18" w:type="dxa"/>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eastAsia="zh-TW"/>
                <w14:textFill>
                  <w14:solidFill>
                    <w14:schemeClr w14:val="tx1"/>
                  </w14:solidFill>
                </w14:textFill>
              </w:rPr>
            </w:pPr>
            <w:r>
              <w:rPr>
                <w:rFonts w:ascii="仿宋" w:hAnsi="仿宋" w:eastAsia="仿宋" w:cs="宋体"/>
                <w:bCs/>
                <w:color w:val="000000" w:themeColor="text1"/>
                <w:sz w:val="22"/>
                <w:highlight w:val="none"/>
                <w:lang w:eastAsia="zh-TW"/>
                <w14:textFill>
                  <w14:solidFill>
                    <w14:schemeClr w14:val="tx1"/>
                  </w14:solidFill>
                </w14:textFill>
              </w:rPr>
              <w:t>食用菌产业</w:t>
            </w: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特色食用菌</w:t>
            </w:r>
          </w:p>
        </w:tc>
        <w:tc>
          <w:tcPr>
            <w:tcW w:w="5010" w:type="dxa"/>
            <w:vAlign w:val="center"/>
          </w:tcPr>
          <w:p>
            <w:pPr>
              <w:spacing w:before="0" w:after="0" w:line="240" w:lineRule="auto"/>
              <w:jc w:val="center"/>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吴店镇、郝店镇、蔡河镇、武胜关镇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18" w:type="dxa"/>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eastAsia="zh-TW"/>
                <w14:textFill>
                  <w14:solidFill>
                    <w14:schemeClr w14:val="tx1"/>
                  </w14:solidFill>
                </w14:textFill>
              </w:rPr>
            </w:pPr>
            <w:r>
              <w:rPr>
                <w:rFonts w:ascii="仿宋" w:hAnsi="仿宋" w:eastAsia="仿宋" w:cs="宋体"/>
                <w:bCs/>
                <w:color w:val="000000" w:themeColor="text1"/>
                <w:sz w:val="22"/>
                <w:highlight w:val="none"/>
                <w:lang w:eastAsia="zh-TW"/>
                <w14:textFill>
                  <w14:solidFill>
                    <w14:schemeClr w14:val="tx1"/>
                  </w14:solidFill>
                </w14:textFill>
              </w:rPr>
              <w:t>中药材产业</w:t>
            </w: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s="宋体"/>
                <w:color w:val="000000" w:themeColor="text1"/>
                <w:sz w:val="22"/>
                <w:highlight w:val="none"/>
                <w:lang w:eastAsia="zh-TW"/>
                <w14:textFill>
                  <w14:solidFill>
                    <w14:schemeClr w14:val="tx1"/>
                  </w14:solidFill>
                </w14:textFill>
              </w:rPr>
              <w:t>优质中药材和富硒中药材</w:t>
            </w:r>
          </w:p>
        </w:tc>
        <w:tc>
          <w:tcPr>
            <w:tcW w:w="5010" w:type="dxa"/>
            <w:vAlign w:val="center"/>
          </w:tcPr>
          <w:p>
            <w:pPr>
              <w:spacing w:before="0" w:after="0" w:line="240" w:lineRule="auto"/>
              <w:jc w:val="center"/>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eastAsia="zh-TW"/>
                <w14:textFill>
                  <w14:solidFill>
                    <w14:schemeClr w14:val="tx1"/>
                  </w14:solidFill>
                </w14:textFill>
              </w:rPr>
              <w:t>蔡河镇、余店镇、城郊办事处、骆店镇、李店镇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218" w:type="dxa"/>
            <w:vMerge w:val="restart"/>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eastAsia="zh-TW"/>
                <w14:textFill>
                  <w14:solidFill>
                    <w14:schemeClr w14:val="tx1"/>
                  </w14:solidFill>
                </w14:textFill>
              </w:rPr>
            </w:pPr>
            <w:r>
              <w:rPr>
                <w:rFonts w:ascii="仿宋" w:hAnsi="仿宋" w:eastAsia="仿宋" w:cs="宋体"/>
                <w:bCs/>
                <w:color w:val="000000" w:themeColor="text1"/>
                <w:sz w:val="22"/>
                <w:highlight w:val="none"/>
                <w:lang w:eastAsia="zh-TW"/>
                <w14:textFill>
                  <w14:solidFill>
                    <w14:schemeClr w14:val="tx1"/>
                  </w14:solidFill>
                </w14:textFill>
              </w:rPr>
              <w:t>特色畜禽产业</w:t>
            </w: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生猪、家禽、牛羊特色养殖和王鸽特种养殖</w:t>
            </w:r>
          </w:p>
        </w:tc>
        <w:tc>
          <w:tcPr>
            <w:tcW w:w="50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城郊办事处、吴店镇、郝店镇、蔡河镇、武胜关镇、十里街道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18" w:type="dxa"/>
            <w:vMerge w:val="continue"/>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p>
        </w:tc>
        <w:tc>
          <w:tcPr>
            <w:tcW w:w="2110" w:type="dxa"/>
            <w:vAlign w:val="center"/>
          </w:tcPr>
          <w:p>
            <w:pPr>
              <w:widowControl/>
              <w:spacing w:before="0" w:after="0" w:line="240" w:lineRule="auto"/>
              <w:jc w:val="center"/>
              <w:textAlignment w:val="bottom"/>
              <w:rPr>
                <w:rFonts w:ascii="仿宋" w:hAnsi="仿宋" w:eastAsia="仿宋" w:cs="宋体"/>
                <w:color w:val="000000" w:themeColor="text1"/>
                <w:sz w:val="22"/>
                <w:highlight w:val="none"/>
                <w:lang w:eastAsia="zh-TW"/>
                <w14:textFill>
                  <w14:solidFill>
                    <w14:schemeClr w14:val="tx1"/>
                  </w14:solidFill>
                </w14:textFill>
              </w:rPr>
            </w:pPr>
            <w:r>
              <w:rPr>
                <w:rFonts w:ascii="仿宋" w:hAnsi="仿宋" w:eastAsia="仿宋" w:cs="宋体"/>
                <w:color w:val="000000" w:themeColor="text1"/>
                <w:sz w:val="22"/>
                <w:highlight w:val="none"/>
                <w:lang w:eastAsia="zh-TW"/>
                <w14:textFill>
                  <w14:solidFill>
                    <w14:schemeClr w14:val="tx1"/>
                  </w14:solidFill>
                </w14:textFill>
              </w:rPr>
              <w:t>蜂产业</w:t>
            </w:r>
          </w:p>
        </w:tc>
        <w:tc>
          <w:tcPr>
            <w:tcW w:w="5010" w:type="dxa"/>
            <w:vAlign w:val="center"/>
          </w:tcPr>
          <w:p>
            <w:pPr>
              <w:spacing w:before="0" w:after="0" w:line="240" w:lineRule="auto"/>
              <w:jc w:val="center"/>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郝店镇</w:t>
            </w:r>
            <w:r>
              <w:rPr>
                <w:rFonts w:ascii="仿宋" w:hAnsi="仿宋" w:eastAsia="仿宋" w:cs="宋体"/>
                <w:color w:val="000000" w:themeColor="text1"/>
                <w:sz w:val="22"/>
                <w:highlight w:val="none"/>
                <w:lang w:eastAsia="zh-TW"/>
                <w14:textFill>
                  <w14:solidFill>
                    <w14:schemeClr w14:val="tx1"/>
                  </w14:solidFill>
                </w14:textFill>
              </w:rPr>
              <w:t>、</w:t>
            </w:r>
            <w:r>
              <w:rPr>
                <w:rFonts w:hint="eastAsia" w:ascii="仿宋" w:hAnsi="仿宋" w:eastAsia="仿宋" w:cs="宋体"/>
                <w:color w:val="000000" w:themeColor="text1"/>
                <w:sz w:val="22"/>
                <w:highlight w:val="none"/>
                <w:lang w:val="zh-TW" w:eastAsia="zh-TW"/>
                <w14:textFill>
                  <w14:solidFill>
                    <w14:schemeClr w14:val="tx1"/>
                  </w14:solidFill>
                </w14:textFill>
              </w:rPr>
              <w:t>武胜关镇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21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ascii="仿宋" w:hAnsi="仿宋" w:eastAsia="仿宋" w:cs="宋体"/>
                <w:bCs/>
                <w:color w:val="000000" w:themeColor="text1"/>
                <w:kern w:val="0"/>
                <w:sz w:val="22"/>
                <w:highlight w:val="none"/>
                <w:lang w:bidi="ar"/>
                <w14:textFill>
                  <w14:solidFill>
                    <w14:schemeClr w14:val="tx1"/>
                  </w14:solidFill>
                </w14:textFill>
              </w:rPr>
              <w:t>名特优水产产业</w:t>
            </w:r>
          </w:p>
        </w:tc>
        <w:tc>
          <w:tcPr>
            <w:tcW w:w="2110" w:type="dxa"/>
            <w:vAlign w:val="center"/>
          </w:tcPr>
          <w:p>
            <w:pPr>
              <w:widowControl/>
              <w:spacing w:before="0" w:after="0" w:line="240" w:lineRule="auto"/>
              <w:jc w:val="center"/>
              <w:textAlignment w:val="bottom"/>
              <w:rPr>
                <w:rFonts w:ascii="仿宋" w:hAnsi="仿宋" w:eastAsia="仿宋" w:cs="宋体"/>
                <w:color w:val="000000" w:themeColor="text1"/>
                <w:kern w:val="0"/>
                <w:sz w:val="22"/>
                <w:highlight w:val="none"/>
                <w:lang w:bidi="ar"/>
                <w14:textFill>
                  <w14:solidFill>
                    <w14:schemeClr w14:val="tx1"/>
                  </w14:solidFill>
                </w14:textFill>
              </w:rPr>
            </w:pPr>
            <w:r>
              <w:rPr>
                <w:rFonts w:ascii="仿宋" w:hAnsi="仿宋" w:eastAsia="仿宋" w:cs="宋体"/>
                <w:color w:val="000000" w:themeColor="text1"/>
                <w:kern w:val="0"/>
                <w:sz w:val="22"/>
                <w:highlight w:val="none"/>
                <w:lang w:bidi="ar"/>
                <w14:textFill>
                  <w14:solidFill>
                    <w14:schemeClr w14:val="tx1"/>
                  </w14:solidFill>
                </w14:textFill>
              </w:rPr>
              <w:t>小龙虾</w:t>
            </w:r>
          </w:p>
        </w:tc>
        <w:tc>
          <w:tcPr>
            <w:tcW w:w="5010" w:type="dxa"/>
            <w:vAlign w:val="center"/>
          </w:tcPr>
          <w:p>
            <w:pPr>
              <w:spacing w:before="0" w:after="0" w:line="240" w:lineRule="auto"/>
              <w:jc w:val="center"/>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kern w:val="0"/>
                <w:sz w:val="22"/>
                <w:highlight w:val="none"/>
                <w:lang w:bidi="ar"/>
                <w14:textFill>
                  <w14:solidFill>
                    <w14:schemeClr w14:val="tx1"/>
                  </w14:solidFill>
                </w14:textFill>
              </w:rPr>
              <w:t>郝店</w:t>
            </w:r>
            <w:r>
              <w:rPr>
                <w:rFonts w:ascii="仿宋" w:hAnsi="仿宋" w:eastAsia="仿宋" w:cs="宋体"/>
                <w:color w:val="000000" w:themeColor="text1"/>
                <w:kern w:val="0"/>
                <w:sz w:val="22"/>
                <w:highlight w:val="none"/>
                <w:lang w:bidi="ar"/>
                <w14:textFill>
                  <w14:solidFill>
                    <w14:schemeClr w14:val="tx1"/>
                  </w14:solidFill>
                </w14:textFill>
              </w:rPr>
              <w:t>镇</w:t>
            </w:r>
            <w:r>
              <w:rPr>
                <w:rFonts w:hint="eastAsia" w:ascii="仿宋" w:hAnsi="仿宋" w:eastAsia="仿宋" w:cs="宋体"/>
                <w:color w:val="000000" w:themeColor="text1"/>
                <w:kern w:val="0"/>
                <w:sz w:val="22"/>
                <w:highlight w:val="none"/>
                <w:lang w:bidi="ar"/>
                <w14:textFill>
                  <w14:solidFill>
                    <w14:schemeClr w14:val="tx1"/>
                  </w14:solidFill>
                </w14:textFill>
              </w:rPr>
              <w:t>、蔡河</w:t>
            </w:r>
            <w:r>
              <w:rPr>
                <w:rFonts w:ascii="仿宋" w:hAnsi="仿宋" w:eastAsia="仿宋" w:cs="宋体"/>
                <w:color w:val="000000" w:themeColor="text1"/>
                <w:kern w:val="0"/>
                <w:sz w:val="22"/>
                <w:highlight w:val="none"/>
                <w:lang w:bidi="ar"/>
                <w14:textFill>
                  <w14:solidFill>
                    <w14:schemeClr w14:val="tx1"/>
                  </w14:solidFill>
                </w14:textFill>
              </w:rPr>
              <w:t>镇</w:t>
            </w:r>
            <w:r>
              <w:rPr>
                <w:rFonts w:hint="eastAsia" w:ascii="仿宋" w:hAnsi="仿宋" w:eastAsia="仿宋" w:cs="宋体"/>
                <w:color w:val="000000" w:themeColor="text1"/>
                <w:kern w:val="0"/>
                <w:sz w:val="22"/>
                <w:highlight w:val="none"/>
                <w:lang w:bidi="ar"/>
                <w14:textFill>
                  <w14:solidFill>
                    <w14:schemeClr w14:val="tx1"/>
                  </w14:solidFill>
                </w14:textFill>
              </w:rPr>
              <w:t>、陈巷</w:t>
            </w:r>
            <w:r>
              <w:rPr>
                <w:rFonts w:ascii="仿宋" w:hAnsi="仿宋" w:eastAsia="仿宋" w:cs="宋体"/>
                <w:color w:val="000000" w:themeColor="text1"/>
                <w:kern w:val="0"/>
                <w:sz w:val="22"/>
                <w:highlight w:val="none"/>
                <w:lang w:bidi="ar"/>
                <w14:textFill>
                  <w14:solidFill>
                    <w14:schemeClr w14:val="tx1"/>
                  </w14:solidFill>
                </w14:textFill>
              </w:rPr>
              <w:t>镇</w:t>
            </w:r>
            <w:r>
              <w:rPr>
                <w:rFonts w:hint="eastAsia" w:ascii="仿宋" w:hAnsi="仿宋" w:eastAsia="仿宋" w:cs="宋体"/>
                <w:color w:val="000000" w:themeColor="text1"/>
                <w:kern w:val="0"/>
                <w:sz w:val="22"/>
                <w:highlight w:val="none"/>
                <w:lang w:bidi="ar"/>
                <w14:textFill>
                  <w14:solidFill>
                    <w14:schemeClr w14:val="tx1"/>
                  </w14:solidFill>
                </w14:textFill>
              </w:rPr>
              <w:t>、骆店</w:t>
            </w:r>
            <w:r>
              <w:rPr>
                <w:rFonts w:ascii="仿宋" w:hAnsi="仿宋" w:eastAsia="仿宋" w:cs="宋体"/>
                <w:color w:val="000000" w:themeColor="text1"/>
                <w:kern w:val="0"/>
                <w:sz w:val="22"/>
                <w:highlight w:val="none"/>
                <w:lang w:bidi="ar"/>
                <w14:textFill>
                  <w14:solidFill>
                    <w14:schemeClr w14:val="tx1"/>
                  </w14:solidFill>
                </w14:textFill>
              </w:rPr>
              <w:t>镇</w:t>
            </w:r>
            <w:r>
              <w:rPr>
                <w:rFonts w:hint="eastAsia" w:ascii="仿宋" w:hAnsi="仿宋" w:eastAsia="仿宋" w:cs="宋体"/>
                <w:color w:val="000000" w:themeColor="text1"/>
                <w:kern w:val="0"/>
                <w:sz w:val="22"/>
                <w:highlight w:val="none"/>
                <w:lang w:bidi="ar"/>
                <w14:textFill>
                  <w14:solidFill>
                    <w14:schemeClr w14:val="tx1"/>
                  </w14:solidFill>
                </w14:textFill>
              </w:rPr>
              <w:t>、城郊</w:t>
            </w:r>
            <w:r>
              <w:rPr>
                <w:rFonts w:ascii="仿宋" w:hAnsi="仿宋" w:eastAsia="仿宋" w:cs="宋体"/>
                <w:color w:val="000000" w:themeColor="text1"/>
                <w:kern w:val="0"/>
                <w:sz w:val="22"/>
                <w:highlight w:val="none"/>
                <w:lang w:bidi="ar"/>
                <w14:textFill>
                  <w14:solidFill>
                    <w14:schemeClr w14:val="tx1"/>
                  </w14:solidFill>
                </w14:textFill>
              </w:rPr>
              <w:t>办事处</w:t>
            </w:r>
            <w:r>
              <w:rPr>
                <w:rFonts w:hint="eastAsia" w:ascii="仿宋" w:hAnsi="仿宋" w:eastAsia="仿宋" w:cs="宋体"/>
                <w:color w:val="000000" w:themeColor="text1"/>
                <w:kern w:val="0"/>
                <w:sz w:val="22"/>
                <w:highlight w:val="none"/>
                <w:lang w:bidi="ar"/>
                <w14:textFill>
                  <w14:solidFill>
                    <w14:schemeClr w14:val="tx1"/>
                  </w14:solidFill>
                </w14:textFill>
              </w:rPr>
              <w:t>、李店</w:t>
            </w:r>
            <w:r>
              <w:rPr>
                <w:rFonts w:ascii="仿宋" w:hAnsi="仿宋" w:eastAsia="仿宋" w:cs="宋体"/>
                <w:color w:val="000000" w:themeColor="text1"/>
                <w:kern w:val="0"/>
                <w:sz w:val="22"/>
                <w:highlight w:val="none"/>
                <w:lang w:bidi="ar"/>
                <w14:textFill>
                  <w14:solidFill>
                    <w14:schemeClr w14:val="tx1"/>
                  </w14:solidFill>
                </w14:textFill>
              </w:rPr>
              <w:t>镇</w:t>
            </w:r>
          </w:p>
        </w:tc>
      </w:tr>
    </w:tbl>
    <w:p>
      <w:pPr>
        <w:pStyle w:val="4"/>
        <w:rPr>
          <w:rFonts w:ascii="仿宋" w:hAnsi="仿宋" w:eastAsia="仿宋"/>
          <w:color w:val="000000" w:themeColor="text1"/>
          <w:highlight w:val="none"/>
          <w14:textFill>
            <w14:solidFill>
              <w14:schemeClr w14:val="tx1"/>
            </w14:solidFill>
          </w14:textFill>
        </w:rPr>
      </w:pPr>
      <w:bookmarkStart w:id="24" w:name="_Toc29962"/>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2</w:t>
      </w:r>
      <w:r>
        <w:rPr>
          <w:rFonts w:hint="eastAsia" w:ascii="仿宋" w:hAnsi="仿宋" w:eastAsia="仿宋"/>
          <w:color w:val="000000" w:themeColor="text1"/>
          <w:highlight w:val="none"/>
          <w14:textFill>
            <w14:solidFill>
              <w14:schemeClr w14:val="tx1"/>
            </w14:solidFill>
          </w14:textFill>
        </w:rPr>
        <w:t>节 村庄布局指引</w:t>
      </w:r>
      <w:bookmarkEnd w:id="24"/>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广水市目前共有398个村级行政区，包括村345个、社区53个。其中城镇开发边界线内64个村级行政单元（社区43个、村庄15个）不纳入此次村庄分类。</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以落实功能单元主导功能为导向，结合村庄发展潜力，综合考虑区位交通、经济产业、生态环境、配套设施等要素，将城镇开发边界之外的33</w:t>
      </w:r>
      <w:r>
        <w:rPr>
          <w:rFonts w:hint="eastAsia" w:ascii="Times New Roman" w:hAnsi="Times New Roman" w:eastAsia="仿宋" w:cs="Times New Roman"/>
          <w:color w:val="000000" w:themeColor="text1"/>
          <w:highlight w:val="none"/>
          <w:lang w:val="en-US" w:eastAsia="zh-CN"/>
          <w14:textFill>
            <w14:solidFill>
              <w14:schemeClr w14:val="tx1"/>
            </w14:solidFill>
          </w14:textFill>
        </w:rPr>
        <w:t>4</w:t>
      </w:r>
      <w:r>
        <w:rPr>
          <w:rFonts w:hint="eastAsia" w:ascii="Times New Roman" w:hAnsi="Times New Roman" w:eastAsia="仿宋" w:cs="Times New Roman"/>
          <w:color w:val="000000" w:themeColor="text1"/>
          <w:highlight w:val="none"/>
          <w14:textFill>
            <w14:solidFill>
              <w14:schemeClr w14:val="tx1"/>
            </w14:solidFill>
          </w14:textFill>
        </w:rPr>
        <w:t>个村级行政单元（社区4个、村33</w:t>
      </w:r>
      <w:r>
        <w:rPr>
          <w:rFonts w:hint="eastAsia" w:ascii="Times New Roman" w:hAnsi="Times New Roman" w:eastAsia="仿宋" w:cs="Times New Roman"/>
          <w:color w:val="000000" w:themeColor="text1"/>
          <w:highlight w:val="none"/>
          <w:lang w:val="en-US" w:eastAsia="zh-CN"/>
          <w14:textFill>
            <w14:solidFill>
              <w14:schemeClr w14:val="tx1"/>
            </w14:solidFill>
          </w14:textFill>
        </w:rPr>
        <w:t>0</w:t>
      </w:r>
      <w:r>
        <w:rPr>
          <w:rFonts w:hint="eastAsia" w:ascii="Times New Roman" w:hAnsi="Times New Roman" w:eastAsia="仿宋" w:cs="Times New Roman"/>
          <w:color w:val="000000" w:themeColor="text1"/>
          <w:highlight w:val="none"/>
          <w14:textFill>
            <w14:solidFill>
              <w14:schemeClr w14:val="tx1"/>
            </w14:solidFill>
          </w14:textFill>
        </w:rPr>
        <w:t xml:space="preserve">个）划分为四类。分别为城郊融合类、集聚提升类、特色保护类、搬迁撤并类。 </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 xml:space="preserve">城郊融合类：共划定39个，包括2个社区和37个村庄。考虑位于中心城区附近，承接城镇人口疏解和功能外溢，与城镇共享水、电、路、信息等基础设施，以产业或服务业为主导功能的村庄。 </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集聚提升类：共划定27</w:t>
      </w:r>
      <w:r>
        <w:rPr>
          <w:rFonts w:hint="eastAsia" w:ascii="Times New Roman" w:hAnsi="Times New Roman" w:eastAsia="仿宋" w:cs="Times New Roman"/>
          <w:color w:val="000000" w:themeColor="text1"/>
          <w:highlight w:val="none"/>
          <w:lang w:val="en-US" w:eastAsia="zh-CN"/>
          <w14:textFill>
            <w14:solidFill>
              <w14:schemeClr w14:val="tx1"/>
            </w14:solidFill>
          </w14:textFill>
        </w:rPr>
        <w:t>3</w:t>
      </w:r>
      <w:r>
        <w:rPr>
          <w:rFonts w:hint="eastAsia" w:ascii="Times New Roman" w:hAnsi="Times New Roman" w:eastAsia="仿宋" w:cs="Times New Roman"/>
          <w:color w:val="000000" w:themeColor="text1"/>
          <w:highlight w:val="none"/>
          <w14:textFill>
            <w14:solidFill>
              <w14:schemeClr w14:val="tx1"/>
            </w14:solidFill>
          </w14:textFill>
        </w:rPr>
        <w:t>个，包括2个社区和27</w:t>
      </w:r>
      <w:r>
        <w:rPr>
          <w:rFonts w:hint="eastAsia" w:ascii="Times New Roman" w:hAnsi="Times New Roman" w:eastAsia="仿宋" w:cs="Times New Roman"/>
          <w:color w:val="000000" w:themeColor="text1"/>
          <w:highlight w:val="none"/>
          <w:lang w:val="en-US" w:eastAsia="zh-CN"/>
          <w14:textFill>
            <w14:solidFill>
              <w14:schemeClr w14:val="tx1"/>
            </w14:solidFill>
          </w14:textFill>
        </w:rPr>
        <w:t>1</w:t>
      </w:r>
      <w:r>
        <w:rPr>
          <w:rFonts w:hint="eastAsia" w:ascii="Times New Roman" w:hAnsi="Times New Roman" w:eastAsia="仿宋" w:cs="Times New Roman"/>
          <w:color w:val="000000" w:themeColor="text1"/>
          <w:highlight w:val="none"/>
          <w14:textFill>
            <w14:solidFill>
              <w14:schemeClr w14:val="tx1"/>
            </w14:solidFill>
          </w14:textFill>
        </w:rPr>
        <w:t>个村庄。分为集聚扩建和整治提升两个方向，集聚扩建类指现有规模较大，且有新增建设用地需求的村庄；整治提升类指人口相对集中，但村庄风貌相对较差，或居民点较为分散，可进一步集约发展的村庄。</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特色保护类：共划定22个，指历史文化名村、传统村落、少数民族特色村寨、特色景观旅游名村等自然历史文化资源丰富的村庄。</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搬迁撤并类：共划定0个，划分原则为生态环境脆弱、自然灾害频发地区的老少边穷村，因重大项目建设需要搬迁的村，没有保留价值的空心村。</w:t>
      </w:r>
    </w:p>
    <w:p>
      <w:pPr>
        <w:pStyle w:val="4"/>
        <w:rPr>
          <w:rFonts w:ascii="仿宋" w:hAnsi="仿宋" w:eastAsia="仿宋"/>
          <w:color w:val="000000" w:themeColor="text1"/>
          <w:highlight w:val="none"/>
          <w14:textFill>
            <w14:solidFill>
              <w14:schemeClr w14:val="tx1"/>
            </w14:solidFill>
          </w14:textFill>
        </w:rPr>
      </w:pPr>
      <w:bookmarkStart w:id="25" w:name="_Toc4575"/>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3</w:t>
      </w:r>
      <w:r>
        <w:rPr>
          <w:rFonts w:hint="eastAsia" w:ascii="仿宋" w:hAnsi="仿宋" w:eastAsia="仿宋"/>
          <w:color w:val="000000" w:themeColor="text1"/>
          <w:highlight w:val="none"/>
          <w14:textFill>
            <w14:solidFill>
              <w14:schemeClr w14:val="tx1"/>
            </w14:solidFill>
          </w14:textFill>
        </w:rPr>
        <w:t>节 村庄人居环境</w:t>
      </w:r>
      <w:bookmarkEnd w:id="25"/>
    </w:p>
    <w:p>
      <w:pPr>
        <w:pStyle w:val="21"/>
        <w:tabs>
          <w:tab w:val="left" w:pos="1144"/>
        </w:tabs>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w:t>
      </w:r>
      <w:r>
        <w:rPr>
          <w:rFonts w:ascii="仿宋" w:hAnsi="仿宋" w:eastAsia="仿宋"/>
          <w:b/>
          <w:bCs/>
          <w:color w:val="000000" w:themeColor="text1"/>
          <w:highlight w:val="none"/>
          <w14:textFill>
            <w14:solidFill>
              <w14:schemeClr w14:val="tx1"/>
            </w14:solidFill>
          </w14:textFill>
        </w:rPr>
        <w:t>美丽乡村</w:t>
      </w:r>
      <w:r>
        <w:rPr>
          <w:rFonts w:hint="eastAsia" w:ascii="仿宋" w:hAnsi="仿宋" w:eastAsia="仿宋"/>
          <w:b/>
          <w:bCs/>
          <w:color w:val="000000" w:themeColor="text1"/>
          <w:highlight w:val="none"/>
          <w14:textFill>
            <w14:solidFill>
              <w14:schemeClr w14:val="tx1"/>
            </w14:solidFill>
          </w14:textFill>
        </w:rPr>
        <w:t>目标</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规划至2035年建设省级美丽乡村20个以上，建设25个左右美丽乡村示范。</w:t>
      </w:r>
      <w:r>
        <w:rPr>
          <w:rFonts w:ascii="Times New Roman" w:hAnsi="Times New Roman" w:eastAsia="仿宋" w:cs="Times New Roman"/>
          <w:color w:val="000000" w:themeColor="text1"/>
          <w:highlight w:val="none"/>
          <w14:textFill>
            <w14:solidFill>
              <w14:schemeClr w14:val="tx1"/>
            </w14:solidFill>
          </w14:textFill>
        </w:rPr>
        <w:t>同时</w:t>
      </w:r>
      <w:r>
        <w:rPr>
          <w:rFonts w:hint="eastAsia" w:ascii="Times New Roman" w:hAnsi="Times New Roman" w:eastAsia="仿宋" w:cs="Times New Roman"/>
          <w:color w:val="000000" w:themeColor="text1"/>
          <w:highlight w:val="none"/>
          <w14:textFill>
            <w14:solidFill>
              <w14:schemeClr w14:val="tx1"/>
            </w14:solidFill>
          </w14:textFill>
        </w:rPr>
        <w:t>每年确定60个左右整治村，分阶段推进美丽乡村建设和环境整治。</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w:t>
      </w:r>
      <w:r>
        <w:rPr>
          <w:rFonts w:ascii="仿宋" w:hAnsi="仿宋" w:eastAsia="仿宋"/>
          <w:b/>
          <w:bCs/>
          <w:color w:val="000000" w:themeColor="text1"/>
          <w:highlight w:val="none"/>
          <w14:textFill>
            <w14:solidFill>
              <w14:schemeClr w14:val="tx1"/>
            </w14:solidFill>
          </w14:textFill>
        </w:rPr>
        <w:t>美丽乡村建设策略</w:t>
      </w:r>
    </w:p>
    <w:p>
      <w:pPr>
        <w:ind w:firstLine="420" w:firstLineChars="150"/>
        <w:rPr>
          <w:rFonts w:ascii="Times New Roman" w:hAnsi="Times New Roman" w:eastAsia="仿宋" w:cs="Times New Roman"/>
          <w:bCs/>
          <w:color w:val="000000" w:themeColor="text1"/>
          <w:highlight w:val="none"/>
          <w14:textFill>
            <w14:solidFill>
              <w14:schemeClr w14:val="tx1"/>
            </w14:solidFill>
          </w14:textFill>
        </w:rPr>
      </w:pPr>
      <w:r>
        <w:rPr>
          <w:rFonts w:hint="eastAsia" w:ascii="Times New Roman" w:hAnsi="Times New Roman" w:eastAsia="仿宋" w:cs="Times New Roman"/>
          <w:bCs/>
          <w:color w:val="000000" w:themeColor="text1"/>
          <w:highlight w:val="none"/>
          <w14:textFill>
            <w14:solidFill>
              <w14:schemeClr w14:val="tx1"/>
            </w14:solidFill>
          </w14:textFill>
        </w:rPr>
        <w:t>持续改善农村人居环境。以垃圾处理、污水治理、厕所改造、村容村貌提升和“四好农村路”建设为重点，全面提升农村人居环境质量。到</w:t>
      </w:r>
      <w:r>
        <w:rPr>
          <w:rFonts w:ascii="Times New Roman" w:hAnsi="Times New Roman" w:eastAsia="仿宋" w:cs="Times New Roman"/>
          <w:bCs/>
          <w:color w:val="000000" w:themeColor="text1"/>
          <w:highlight w:val="none"/>
          <w14:textFill>
            <w14:solidFill>
              <w14:schemeClr w14:val="tx1"/>
            </w14:solidFill>
          </w14:textFill>
        </w:rPr>
        <w:t>2035</w:t>
      </w:r>
      <w:r>
        <w:rPr>
          <w:rFonts w:hint="eastAsia" w:ascii="Times New Roman" w:hAnsi="Times New Roman" w:eastAsia="仿宋" w:cs="Times New Roman"/>
          <w:bCs/>
          <w:color w:val="000000" w:themeColor="text1"/>
          <w:highlight w:val="none"/>
          <w14:textFill>
            <w14:solidFill>
              <w14:schemeClr w14:val="tx1"/>
            </w14:solidFill>
          </w14:textFill>
        </w:rPr>
        <w:t>年，全市农村生活污水乱排乱放得到有效管控，农村无害化卫生厕所普及率达到</w:t>
      </w:r>
      <w:r>
        <w:rPr>
          <w:rFonts w:ascii="Times New Roman" w:hAnsi="Times New Roman" w:eastAsia="仿宋" w:cs="Times New Roman"/>
          <w:bCs/>
          <w:color w:val="000000" w:themeColor="text1"/>
          <w:highlight w:val="none"/>
          <w14:textFill>
            <w14:solidFill>
              <w14:schemeClr w14:val="tx1"/>
            </w14:solidFill>
          </w14:textFill>
        </w:rPr>
        <w:t>90%</w:t>
      </w:r>
      <w:r>
        <w:rPr>
          <w:rFonts w:hint="eastAsia" w:ascii="Times New Roman" w:hAnsi="Times New Roman" w:eastAsia="仿宋" w:cs="Times New Roman"/>
          <w:bCs/>
          <w:color w:val="000000" w:themeColor="text1"/>
          <w:highlight w:val="none"/>
          <w14:textFill>
            <w14:solidFill>
              <w14:schemeClr w14:val="tx1"/>
            </w14:solidFill>
          </w14:textFill>
        </w:rPr>
        <w:t>以上，全市山区村庄绿化覆盖率达到</w:t>
      </w:r>
      <w:r>
        <w:rPr>
          <w:rFonts w:ascii="Times New Roman" w:hAnsi="Times New Roman" w:eastAsia="仿宋" w:cs="Times New Roman"/>
          <w:bCs/>
          <w:color w:val="000000" w:themeColor="text1"/>
          <w:highlight w:val="none"/>
          <w14:textFill>
            <w14:solidFill>
              <w14:schemeClr w14:val="tx1"/>
            </w14:solidFill>
          </w14:textFill>
        </w:rPr>
        <w:t>40%</w:t>
      </w:r>
      <w:r>
        <w:rPr>
          <w:rFonts w:hint="eastAsia" w:ascii="Times New Roman" w:hAnsi="Times New Roman" w:eastAsia="仿宋" w:cs="Times New Roman"/>
          <w:bCs/>
          <w:color w:val="000000" w:themeColor="text1"/>
          <w:highlight w:val="none"/>
          <w14:textFill>
            <w14:solidFill>
              <w14:schemeClr w14:val="tx1"/>
            </w14:solidFill>
          </w14:textFill>
        </w:rPr>
        <w:t>，平原区村庄绿化覆盖率达到</w:t>
      </w:r>
      <w:r>
        <w:rPr>
          <w:rFonts w:ascii="Times New Roman" w:hAnsi="Times New Roman" w:eastAsia="仿宋" w:cs="Times New Roman"/>
          <w:bCs/>
          <w:color w:val="000000" w:themeColor="text1"/>
          <w:highlight w:val="none"/>
          <w14:textFill>
            <w14:solidFill>
              <w14:schemeClr w14:val="tx1"/>
            </w14:solidFill>
          </w14:textFill>
        </w:rPr>
        <w:t>35%</w:t>
      </w:r>
      <w:r>
        <w:rPr>
          <w:rFonts w:hint="eastAsia" w:ascii="Times New Roman" w:hAnsi="Times New Roman" w:eastAsia="仿宋" w:cs="Times New Roman"/>
          <w:bCs/>
          <w:color w:val="000000" w:themeColor="text1"/>
          <w:highlight w:val="none"/>
          <w14:textFill>
            <w14:solidFill>
              <w14:schemeClr w14:val="tx1"/>
            </w14:solidFill>
          </w14:textFill>
        </w:rPr>
        <w:t>，所有行政村完成街道硬化、夜间亮化和村庄美化建设任务。</w:t>
      </w:r>
    </w:p>
    <w:p>
      <w:pPr>
        <w:ind w:firstLine="560" w:firstLineChars="200"/>
        <w:rPr>
          <w:rFonts w:ascii="Times New Roman" w:hAnsi="Times New Roman" w:eastAsia="仿宋" w:cs="Times New Roman"/>
          <w:bCs/>
          <w:color w:val="000000" w:themeColor="text1"/>
          <w:highlight w:val="none"/>
          <w14:textFill>
            <w14:solidFill>
              <w14:schemeClr w14:val="tx1"/>
            </w14:solidFill>
          </w14:textFill>
        </w:rPr>
      </w:pPr>
      <w:r>
        <w:rPr>
          <w:rFonts w:hint="eastAsia" w:ascii="Times New Roman" w:hAnsi="Times New Roman" w:eastAsia="仿宋" w:cs="Times New Roman"/>
          <w:bCs/>
          <w:color w:val="000000" w:themeColor="text1"/>
          <w:highlight w:val="none"/>
          <w14:textFill>
            <w14:solidFill>
              <w14:schemeClr w14:val="tx1"/>
            </w14:solidFill>
          </w14:textFill>
        </w:rPr>
        <w:t>加强农村基础设施建设。加快农村供水、供气、电网、广播电视等基础设施建设，推动城乡基础设施互联互通。实施农村饮水安全巩固提升工程，到</w:t>
      </w:r>
      <w:r>
        <w:rPr>
          <w:rFonts w:ascii="Times New Roman" w:hAnsi="Times New Roman" w:eastAsia="仿宋" w:cs="Times New Roman"/>
          <w:bCs/>
          <w:color w:val="000000" w:themeColor="text1"/>
          <w:highlight w:val="none"/>
          <w14:textFill>
            <w14:solidFill>
              <w14:schemeClr w14:val="tx1"/>
            </w14:solidFill>
          </w14:textFill>
        </w:rPr>
        <w:t>2035</w:t>
      </w:r>
      <w:r>
        <w:rPr>
          <w:rFonts w:hint="eastAsia" w:ascii="Times New Roman" w:hAnsi="Times New Roman" w:eastAsia="仿宋" w:cs="Times New Roman"/>
          <w:bCs/>
          <w:color w:val="000000" w:themeColor="text1"/>
          <w:highlight w:val="none"/>
          <w14:textFill>
            <w14:solidFill>
              <w14:schemeClr w14:val="tx1"/>
            </w14:solidFill>
          </w14:textFill>
        </w:rPr>
        <w:t>年农村集中供水率达到</w:t>
      </w:r>
      <w:r>
        <w:rPr>
          <w:rFonts w:ascii="Times New Roman" w:hAnsi="Times New Roman" w:eastAsia="仿宋" w:cs="Times New Roman"/>
          <w:bCs/>
          <w:color w:val="000000" w:themeColor="text1"/>
          <w:highlight w:val="none"/>
          <w14:textFill>
            <w14:solidFill>
              <w14:schemeClr w14:val="tx1"/>
            </w14:solidFill>
          </w14:textFill>
        </w:rPr>
        <w:t>100%</w:t>
      </w:r>
      <w:r>
        <w:rPr>
          <w:rFonts w:hint="eastAsia" w:ascii="Times New Roman" w:hAnsi="Times New Roman" w:eastAsia="仿宋" w:cs="Times New Roman"/>
          <w:bCs/>
          <w:color w:val="000000" w:themeColor="text1"/>
          <w:highlight w:val="none"/>
          <w14:textFill>
            <w14:solidFill>
              <w14:schemeClr w14:val="tx1"/>
            </w14:solidFill>
          </w14:textFill>
        </w:rPr>
        <w:t>，自来水普及率达到</w:t>
      </w:r>
      <w:r>
        <w:rPr>
          <w:rFonts w:ascii="Times New Roman" w:hAnsi="Times New Roman" w:eastAsia="仿宋" w:cs="Times New Roman"/>
          <w:bCs/>
          <w:color w:val="000000" w:themeColor="text1"/>
          <w:highlight w:val="none"/>
          <w14:textFill>
            <w14:solidFill>
              <w14:schemeClr w14:val="tx1"/>
            </w14:solidFill>
          </w14:textFill>
        </w:rPr>
        <w:t>98%</w:t>
      </w:r>
      <w:r>
        <w:rPr>
          <w:rFonts w:hint="eastAsia" w:ascii="Times New Roman" w:hAnsi="Times New Roman" w:eastAsia="仿宋" w:cs="Times New Roman"/>
          <w:bCs/>
          <w:color w:val="000000" w:themeColor="text1"/>
          <w:highlight w:val="none"/>
          <w14:textFill>
            <w14:solidFill>
              <w14:schemeClr w14:val="tx1"/>
            </w14:solidFill>
          </w14:textFill>
        </w:rPr>
        <w:t>。</w:t>
      </w:r>
    </w:p>
    <w:p>
      <w:pPr>
        <w:ind w:firstLine="560" w:firstLineChars="200"/>
        <w:rPr>
          <w:rFonts w:hint="eastAsia" w:ascii="Times New Roman" w:hAnsi="Times New Roman" w:eastAsia="仿宋" w:cs="Times New Roman"/>
          <w:bCs/>
          <w:color w:val="000000" w:themeColor="text1"/>
          <w:highlight w:val="none"/>
          <w14:textFill>
            <w14:solidFill>
              <w14:schemeClr w14:val="tx1"/>
            </w14:solidFill>
          </w14:textFill>
        </w:rPr>
      </w:pPr>
      <w:r>
        <w:rPr>
          <w:rFonts w:hint="eastAsia" w:ascii="Times New Roman" w:hAnsi="Times New Roman" w:eastAsia="仿宋" w:cs="Times New Roman"/>
          <w:bCs/>
          <w:color w:val="000000" w:themeColor="text1"/>
          <w:highlight w:val="none"/>
          <w14:textFill>
            <w14:solidFill>
              <w14:schemeClr w14:val="tx1"/>
            </w14:solidFill>
          </w14:textFill>
        </w:rPr>
        <w:t>提升农村公共服务水平。优先发展农村教育事业，全面改善义务教育薄弱学校基本办学条件，普及高中阶段教育。推进健康乡村建设，改善乡镇卫生院和村卫生室设施设备条件，</w:t>
      </w:r>
      <w:r>
        <w:rPr>
          <w:rFonts w:ascii="Times New Roman" w:hAnsi="Times New Roman" w:eastAsia="仿宋" w:cs="Times New Roman"/>
          <w:bCs/>
          <w:color w:val="000000" w:themeColor="text1"/>
          <w:highlight w:val="none"/>
          <w14:textFill>
            <w14:solidFill>
              <w14:schemeClr w14:val="tx1"/>
            </w14:solidFill>
          </w14:textFill>
        </w:rPr>
        <w:t>2035</w:t>
      </w:r>
      <w:r>
        <w:rPr>
          <w:rFonts w:hint="eastAsia" w:ascii="Times New Roman" w:hAnsi="Times New Roman" w:eastAsia="仿宋" w:cs="Times New Roman"/>
          <w:bCs/>
          <w:color w:val="000000" w:themeColor="text1"/>
          <w:highlight w:val="none"/>
          <w14:textFill>
            <w14:solidFill>
              <w14:schemeClr w14:val="tx1"/>
            </w14:solidFill>
          </w14:textFill>
        </w:rPr>
        <w:t>年规范化村卫生室达到</w:t>
      </w:r>
      <w:r>
        <w:rPr>
          <w:rFonts w:ascii="Times New Roman" w:hAnsi="Times New Roman" w:eastAsia="仿宋" w:cs="Times New Roman"/>
          <w:bCs/>
          <w:color w:val="000000" w:themeColor="text1"/>
          <w:highlight w:val="none"/>
          <w14:textFill>
            <w14:solidFill>
              <w14:schemeClr w14:val="tx1"/>
            </w14:solidFill>
          </w14:textFill>
        </w:rPr>
        <w:t>95%</w:t>
      </w:r>
      <w:r>
        <w:rPr>
          <w:rFonts w:hint="eastAsia" w:ascii="Times New Roman" w:hAnsi="Times New Roman" w:eastAsia="仿宋" w:cs="Times New Roman"/>
          <w:bCs/>
          <w:color w:val="000000" w:themeColor="text1"/>
          <w:highlight w:val="none"/>
          <w14:textFill>
            <w14:solidFill>
              <w14:schemeClr w14:val="tx1"/>
            </w14:solidFill>
          </w14:textFill>
        </w:rPr>
        <w:t>。</w:t>
      </w:r>
    </w:p>
    <w:p>
      <w:pPr>
        <w:ind w:firstLine="560" w:firstLineChars="200"/>
        <w:rPr>
          <w:rFonts w:hint="eastAsia" w:ascii="Times New Roman" w:hAnsi="Times New Roman" w:eastAsia="仿宋" w:cs="Times New Roman"/>
          <w:bCs/>
          <w:color w:val="000000" w:themeColor="text1"/>
          <w:highlight w:val="none"/>
          <w:lang w:val="en-US" w:eastAsia="zh-CN"/>
          <w14:textFill>
            <w14:solidFill>
              <w14:schemeClr w14:val="tx1"/>
            </w14:solidFill>
          </w14:textFill>
        </w:rPr>
      </w:pPr>
      <w:r>
        <w:rPr>
          <w:rFonts w:hint="eastAsia" w:ascii="Times New Roman" w:hAnsi="Times New Roman" w:eastAsia="仿宋" w:cs="Times New Roman"/>
          <w:bCs/>
          <w:color w:val="000000" w:themeColor="text1"/>
          <w:highlight w:val="none"/>
          <w:lang w:val="en-US" w:eastAsia="zh-CN"/>
          <w14:textFill>
            <w14:solidFill>
              <w14:schemeClr w14:val="tx1"/>
            </w14:solidFill>
          </w14:textFill>
        </w:rPr>
        <w:t>完善农业灌溉工程。灌溉渠道要充分依托水利、水电工程，就地结合渠、塘、库的资源条件，对水渠进行的改造亮化，实现一水多用。</w:t>
      </w:r>
    </w:p>
    <w:p>
      <w:pPr>
        <w:bidi w:val="0"/>
        <w:rPr>
          <w:rFonts w:asciiTheme="minorHAnsi" w:hAnsiTheme="minorHAnsi" w:eastAsiaTheme="minorEastAsia" w:cstheme="minorBidi"/>
          <w:color w:val="000000" w:themeColor="text1"/>
          <w:kern w:val="2"/>
          <w:sz w:val="28"/>
          <w:szCs w:val="22"/>
          <w:highlight w:val="none"/>
          <w:lang w:val="en-US" w:eastAsia="zh-CN" w:bidi="ar-SA"/>
          <w14:textFill>
            <w14:solidFill>
              <w14:schemeClr w14:val="tx1"/>
            </w14:solidFill>
          </w14:textFill>
        </w:rPr>
      </w:pPr>
    </w:p>
    <w:p>
      <w:pPr>
        <w:tabs>
          <w:tab w:val="left" w:pos="3110"/>
        </w:tabs>
        <w:bidi w:val="0"/>
        <w:jc w:val="left"/>
        <w:rPr>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ab/>
      </w:r>
    </w:p>
    <w:p>
      <w:pPr>
        <w:pStyle w:val="3"/>
        <w:pageBreakBefore/>
        <w:rPr>
          <w:rFonts w:ascii="仿宋" w:hAnsi="仿宋" w:eastAsia="仿宋"/>
          <w:color w:val="000000" w:themeColor="text1"/>
          <w:highlight w:val="none"/>
          <w14:textFill>
            <w14:solidFill>
              <w14:schemeClr w14:val="tx1"/>
            </w14:solidFill>
          </w14:textFill>
        </w:rPr>
      </w:pPr>
      <w:bookmarkStart w:id="26" w:name="_Toc18266"/>
      <w:r>
        <w:rPr>
          <w:rFonts w:hint="eastAsia" w:ascii="仿宋" w:hAnsi="仿宋" w:eastAsia="仿宋"/>
          <w:color w:val="000000" w:themeColor="text1"/>
          <w:highlight w:val="none"/>
          <w14:textFill>
            <w14:solidFill>
              <w14:schemeClr w14:val="tx1"/>
            </w14:solidFill>
          </w14:textFill>
        </w:rPr>
        <w:t>第六章 生态空间</w:t>
      </w:r>
      <w:bookmarkEnd w:id="26"/>
    </w:p>
    <w:p>
      <w:pPr>
        <w:pStyle w:val="4"/>
        <w:rPr>
          <w:rFonts w:ascii="仿宋" w:hAnsi="仿宋" w:eastAsia="仿宋"/>
          <w:color w:val="000000" w:themeColor="text1"/>
          <w:highlight w:val="none"/>
          <w14:textFill>
            <w14:solidFill>
              <w14:schemeClr w14:val="tx1"/>
            </w14:solidFill>
          </w14:textFill>
        </w:rPr>
      </w:pPr>
      <w:bookmarkStart w:id="27" w:name="_Toc10667"/>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1</w:t>
      </w:r>
      <w:r>
        <w:rPr>
          <w:rFonts w:hint="eastAsia" w:ascii="仿宋" w:hAnsi="仿宋" w:eastAsia="仿宋"/>
          <w:color w:val="000000" w:themeColor="text1"/>
          <w:highlight w:val="none"/>
          <w14:textFill>
            <w14:solidFill>
              <w14:schemeClr w14:val="tx1"/>
            </w14:solidFill>
          </w14:textFill>
        </w:rPr>
        <w:t>节 生态功能</w:t>
      </w:r>
      <w:r>
        <w:rPr>
          <w:rFonts w:ascii="仿宋" w:hAnsi="仿宋" w:eastAsia="仿宋"/>
          <w:color w:val="000000" w:themeColor="text1"/>
          <w:highlight w:val="none"/>
          <w14:textFill>
            <w14:solidFill>
              <w14:schemeClr w14:val="tx1"/>
            </w14:solidFill>
          </w14:textFill>
        </w:rPr>
        <w:t>结构</w:t>
      </w:r>
      <w:bookmarkEnd w:id="27"/>
    </w:p>
    <w:p>
      <w:pPr>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广水市生态功能结构为：一廊两脉三区一屏障。</w:t>
      </w:r>
    </w:p>
    <w:p>
      <w:pPr>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一廊：指即依托交通干道和山体谷地形成的二妹山至中华山生态廊道，作为市域主要的通风廊道。</w:t>
      </w:r>
    </w:p>
    <w:p>
      <w:pPr>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两脉：指依托应山河和广水河，形成有机联系的生态水廊，并通过支渠、汇水沟联系起主要的水库和堰塘，贯穿整个市域腹地，形成市域最重要生态廊道和生物通道 。</w:t>
      </w:r>
    </w:p>
    <w:p>
      <w:pPr>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三区：北部山地生态保育区</w:t>
      </w:r>
      <w:r>
        <w:rPr>
          <w:rFonts w:hint="eastAsia" w:ascii="仿宋" w:hAnsi="仿宋" w:eastAsia="仿宋"/>
          <w:color w:val="000000" w:themeColor="text1"/>
          <w:highlight w:val="none"/>
          <w14:textFill>
            <w14:solidFill>
              <w14:schemeClr w14:val="tx1"/>
            </w14:solidFill>
          </w14:textFill>
        </w:rPr>
        <w:t>，</w:t>
      </w:r>
      <w:r>
        <w:rPr>
          <w:rFonts w:ascii="仿宋" w:hAnsi="仿宋" w:eastAsia="仿宋"/>
          <w:color w:val="000000" w:themeColor="text1"/>
          <w:highlight w:val="none"/>
          <w14:textFill>
            <w14:solidFill>
              <w14:schemeClr w14:val="tx1"/>
            </w14:solidFill>
          </w14:textFill>
        </w:rPr>
        <w:t>加强中华山重要生态功能区建设与保护；中部城镇生态协调发展区</w:t>
      </w:r>
      <w:r>
        <w:rPr>
          <w:rFonts w:hint="eastAsia" w:ascii="仿宋" w:hAnsi="仿宋" w:eastAsia="仿宋"/>
          <w:color w:val="000000" w:themeColor="text1"/>
          <w:highlight w:val="none"/>
          <w14:textFill>
            <w14:solidFill>
              <w14:schemeClr w14:val="tx1"/>
            </w14:solidFill>
          </w14:textFill>
        </w:rPr>
        <w:t>，</w:t>
      </w:r>
      <w:r>
        <w:rPr>
          <w:rFonts w:ascii="仿宋" w:hAnsi="仿宋" w:eastAsia="仿宋"/>
          <w:color w:val="000000" w:themeColor="text1"/>
          <w:highlight w:val="none"/>
          <w14:textFill>
            <w14:solidFill>
              <w14:schemeClr w14:val="tx1"/>
            </w14:solidFill>
          </w14:textFill>
        </w:rPr>
        <w:t>保持城镇化与生态环境协调共生；南部徐家河生态水源涵养区</w:t>
      </w:r>
      <w:r>
        <w:rPr>
          <w:rFonts w:hint="eastAsia" w:ascii="仿宋" w:hAnsi="仿宋" w:eastAsia="仿宋"/>
          <w:color w:val="000000" w:themeColor="text1"/>
          <w:highlight w:val="none"/>
          <w14:textFill>
            <w14:solidFill>
              <w14:schemeClr w14:val="tx1"/>
            </w14:solidFill>
          </w14:textFill>
        </w:rPr>
        <w:t>，</w:t>
      </w:r>
      <w:r>
        <w:rPr>
          <w:rFonts w:ascii="仿宋" w:hAnsi="仿宋" w:eastAsia="仿宋"/>
          <w:color w:val="000000" w:themeColor="text1"/>
          <w:highlight w:val="none"/>
          <w14:textFill>
            <w14:solidFill>
              <w14:schemeClr w14:val="tx1"/>
            </w14:solidFill>
          </w14:textFill>
        </w:rPr>
        <w:t>确保水体周边的生态环境协调。</w:t>
      </w:r>
    </w:p>
    <w:p>
      <w:pPr>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一屏障：指依托广水市北部大别山、桐柏山、鸡公山、二妹山构成的市域北部自然生态绿色屏障，对市域的生态维育、水土保持和自然环境起到了重要的支撑。</w:t>
      </w:r>
    </w:p>
    <w:p>
      <w:pPr>
        <w:pStyle w:val="4"/>
        <w:rPr>
          <w:rFonts w:ascii="仿宋" w:hAnsi="仿宋" w:eastAsia="仿宋"/>
          <w:color w:val="000000" w:themeColor="text1"/>
          <w:highlight w:val="none"/>
          <w14:textFill>
            <w14:solidFill>
              <w14:schemeClr w14:val="tx1"/>
            </w14:solidFill>
          </w14:textFill>
        </w:rPr>
      </w:pPr>
      <w:bookmarkStart w:id="28" w:name="_Toc18016"/>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2</w:t>
      </w:r>
      <w:r>
        <w:rPr>
          <w:rFonts w:hint="eastAsia" w:ascii="仿宋" w:hAnsi="仿宋" w:eastAsia="仿宋"/>
          <w:color w:val="000000" w:themeColor="text1"/>
          <w:highlight w:val="none"/>
          <w14:textFill>
            <w14:solidFill>
              <w14:schemeClr w14:val="tx1"/>
            </w14:solidFill>
          </w14:textFill>
        </w:rPr>
        <w:t>节 自然保护</w:t>
      </w:r>
      <w:r>
        <w:rPr>
          <w:rFonts w:ascii="仿宋" w:hAnsi="仿宋" w:eastAsia="仿宋"/>
          <w:color w:val="000000" w:themeColor="text1"/>
          <w:highlight w:val="none"/>
          <w14:textFill>
            <w14:solidFill>
              <w14:schemeClr w14:val="tx1"/>
            </w14:solidFill>
          </w14:textFill>
        </w:rPr>
        <w:t>地体系</w:t>
      </w:r>
      <w:bookmarkEnd w:id="28"/>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（1）自然保护地</w:t>
      </w:r>
      <w:r>
        <w:rPr>
          <w:rFonts w:ascii="仿宋" w:hAnsi="仿宋" w:eastAsia="仿宋"/>
          <w:b/>
          <w:bCs/>
          <w:color w:val="000000" w:themeColor="text1"/>
          <w:highlight w:val="none"/>
          <w14:textFill>
            <w14:solidFill>
              <w14:schemeClr w14:val="tx1"/>
            </w14:solidFill>
          </w14:textFill>
        </w:rPr>
        <w:t>优化整合</w:t>
      </w:r>
    </w:p>
    <w:p>
      <w:pPr>
        <w:ind w:firstLine="560" w:firstLineChars="200"/>
        <w:rPr>
          <w:rFonts w:ascii="仿宋" w:hAnsi="仿宋" w:eastAsia="仿宋"/>
          <w:color w:val="000000" w:themeColor="text1"/>
          <w:highlight w:val="none"/>
          <w:u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充分衔接生态保护红线，整合优化自然保护地，将生态功能重要、生态环境敏感脆弱以及其他有必要严格保护的各类自然保护地纳入生态保护红线管控范围。</w:t>
      </w:r>
      <w:r>
        <w:rPr>
          <w:rFonts w:hint="eastAsia" w:ascii="仿宋" w:hAnsi="仿宋" w:eastAsia="仿宋"/>
          <w:b/>
          <w:bCs/>
          <w:color w:val="000000" w:themeColor="text1"/>
          <w:highlight w:val="none"/>
          <w:u w:val="none"/>
          <w14:textFill>
            <w14:solidFill>
              <w14:schemeClr w14:val="tx1"/>
            </w14:solidFill>
          </w14:textFill>
        </w:rPr>
        <w:t>整合优化后广水市共设置3个片区自然保护地，总面积178</w:t>
      </w:r>
      <w:r>
        <w:rPr>
          <w:rFonts w:ascii="仿宋" w:hAnsi="仿宋" w:eastAsia="仿宋"/>
          <w:b/>
          <w:bCs/>
          <w:color w:val="000000" w:themeColor="text1"/>
          <w:highlight w:val="none"/>
          <w:u w:val="none"/>
          <w14:textFill>
            <w14:solidFill>
              <w14:schemeClr w14:val="tx1"/>
            </w14:solidFill>
          </w14:textFill>
        </w:rPr>
        <w:t>.</w:t>
      </w:r>
      <w:r>
        <w:rPr>
          <w:rFonts w:hint="eastAsia" w:ascii="仿宋" w:hAnsi="仿宋" w:eastAsia="仿宋"/>
          <w:b/>
          <w:bCs/>
          <w:color w:val="000000" w:themeColor="text1"/>
          <w:highlight w:val="none"/>
          <w:u w:val="none"/>
          <w14:textFill>
            <w14:solidFill>
              <w14:schemeClr w14:val="tx1"/>
            </w14:solidFill>
          </w14:textFill>
        </w:rPr>
        <w:t>9</w:t>
      </w:r>
      <w:r>
        <w:rPr>
          <w:rFonts w:ascii="仿宋" w:hAnsi="仿宋" w:eastAsia="仿宋"/>
          <w:b/>
          <w:bCs/>
          <w:color w:val="000000" w:themeColor="text1"/>
          <w:highlight w:val="none"/>
          <w:u w:val="none"/>
          <w14:textFill>
            <w14:solidFill>
              <w14:schemeClr w14:val="tx1"/>
            </w14:solidFill>
          </w14:textFill>
        </w:rPr>
        <w:t>8</w:t>
      </w:r>
      <w:r>
        <w:rPr>
          <w:rFonts w:hint="eastAsia" w:ascii="仿宋" w:hAnsi="仿宋" w:eastAsia="仿宋"/>
          <w:b/>
          <w:bCs/>
          <w:color w:val="000000" w:themeColor="text1"/>
          <w:highlight w:val="none"/>
          <w:u w:val="none"/>
          <w14:textFill>
            <w14:solidFill>
              <w14:schemeClr w14:val="tx1"/>
            </w14:solidFill>
          </w14:textFill>
        </w:rPr>
        <w:t>平方公里，占市域面积3.73%。</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自然保护区。整合优化后广水市保留1个自然保护区，即湖北中华山鸟类自然保护区，为省级自然保护区，面积为84</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3</w:t>
      </w:r>
      <w:r>
        <w:rPr>
          <w:rFonts w:ascii="仿宋" w:hAnsi="仿宋" w:eastAsia="仿宋"/>
          <w:color w:val="000000" w:themeColor="text1"/>
          <w:highlight w:val="none"/>
          <w14:textFill>
            <w14:solidFill>
              <w14:schemeClr w14:val="tx1"/>
            </w14:solidFill>
          </w14:textFill>
        </w:rPr>
        <w:t>4</w:t>
      </w:r>
      <w:r>
        <w:rPr>
          <w:rFonts w:hint="eastAsia" w:ascii="仿宋" w:hAnsi="仿宋" w:eastAsia="仿宋"/>
          <w:color w:val="000000" w:themeColor="text1"/>
          <w:highlight w:val="none"/>
          <w14:textFill>
            <w14:solidFill>
              <w14:schemeClr w14:val="tx1"/>
            </w14:solidFill>
          </w14:textFill>
        </w:rPr>
        <w:t>平方公里。</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自然公园。优化整合后广水市共2个自然公园，总面积94</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64平方公里。其中国家级自然公园1个，即湖北广水徐家河湿地自然公园，面积为41</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6</w:t>
      </w:r>
      <w:r>
        <w:rPr>
          <w:rFonts w:ascii="仿宋" w:hAnsi="仿宋" w:eastAsia="仿宋"/>
          <w:color w:val="000000" w:themeColor="text1"/>
          <w:highlight w:val="none"/>
          <w14:textFill>
            <w14:solidFill>
              <w14:schemeClr w14:val="tx1"/>
            </w14:solidFill>
          </w14:textFill>
        </w:rPr>
        <w:t>3</w:t>
      </w:r>
      <w:r>
        <w:rPr>
          <w:rFonts w:hint="eastAsia" w:ascii="仿宋" w:hAnsi="仿宋" w:eastAsia="仿宋"/>
          <w:color w:val="000000" w:themeColor="text1"/>
          <w:highlight w:val="none"/>
          <w14:textFill>
            <w14:solidFill>
              <w14:schemeClr w14:val="tx1"/>
            </w14:solidFill>
          </w14:textFill>
        </w:rPr>
        <w:t>平方公里;省级自然公园1个，即广水三潭森林自然公园，面积为53</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01公顷平方公里。</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w:t>
      </w:r>
      <w:r>
        <w:rPr>
          <w:rFonts w:ascii="仿宋" w:hAnsi="仿宋" w:eastAsia="仿宋"/>
          <w:b/>
          <w:bCs/>
          <w:color w:val="000000" w:themeColor="text1"/>
          <w:highlight w:val="none"/>
          <w14:textFill>
            <w14:solidFill>
              <w14:schemeClr w14:val="tx1"/>
            </w14:solidFill>
          </w14:textFill>
        </w:rPr>
        <w:t>加强自然保护地建设</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建立自然保护地分级管理体系，健全自然保护地管理机构。以自然恢复为主、人工修复为辅,分区分类开展受损自然生态系统修复。建设生态廊道、开展重要栖息地恢复和废弃地修复。加强野外保护站点、巡护路网、监测监控、应急救灾、森林防火、有害生物防治和疫源疫病防控等保护管理设施建设，充分利用高科技手段和现代化设备促进自然保育、巡护和监测的信息化、智能化。</w:t>
      </w:r>
    </w:p>
    <w:p>
      <w:pPr>
        <w:pStyle w:val="21"/>
        <w:tabs>
          <w:tab w:val="left" w:pos="1144"/>
        </w:tabs>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实行自然保护地差别化管控</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自然保护区实行分区管控，原则上核心保护区内禁止人为活动，一般控制区内限制人为活动，自然公园原则上按一般控制区管理。核心保护区内除满足国家特殊战略需要的有关活动外，原则上禁止人为活动，仅允许开展管护巡护、保护执法等管理活动，经批准的科学研究、资源调查以及必要的科研监测保护和防灾减灾救灾、应急抢险救援等;因病虫害、外来物种入侵、维持主要保护对象生存环境等特殊情况，经批准，可以开展重要生态修复工程、物种重引入、增殖放流、病害动植物清理等人工干预措施。核心保护区内的永久基本农田、镇村、矿业权逐步有序退出。</w:t>
      </w:r>
      <w:r>
        <w:rPr>
          <w:rFonts w:hint="eastAsia" w:ascii="Times New Roman" w:hAnsi="Times New Roman" w:eastAsia="仿宋" w:cs="Times New Roman"/>
          <w:color w:val="000000" w:themeColor="text1"/>
          <w:highlight w:val="none"/>
          <w14:textFill>
            <w14:solidFill>
              <w14:schemeClr w14:val="tx1"/>
            </w14:solidFill>
          </w14:textFill>
        </w:rPr>
        <w:t>一</w:t>
      </w:r>
      <w:r>
        <w:rPr>
          <w:rFonts w:ascii="Times New Roman" w:hAnsi="Times New Roman" w:eastAsia="仿宋" w:cs="Times New Roman"/>
          <w:color w:val="000000" w:themeColor="text1"/>
          <w:highlight w:val="none"/>
          <w14:textFill>
            <w14:solidFill>
              <w14:schemeClr w14:val="tx1"/>
            </w14:solidFill>
          </w14:textFill>
        </w:rPr>
        <w:t>般控制区除满足国家特殊战略需要的有关活动外，原则上禁止开发性、生产性建设活动,仅允许符合相关规定的对生态功能不造成破坏的有限人为活动。</w:t>
      </w:r>
    </w:p>
    <w:p>
      <w:pPr>
        <w:pStyle w:val="4"/>
        <w:rPr>
          <w:rFonts w:ascii="仿宋" w:hAnsi="仿宋" w:eastAsia="仿宋"/>
          <w:color w:val="000000" w:themeColor="text1"/>
          <w:highlight w:val="none"/>
          <w14:textFill>
            <w14:solidFill>
              <w14:schemeClr w14:val="tx1"/>
            </w14:solidFill>
          </w14:textFill>
        </w:rPr>
      </w:pPr>
      <w:bookmarkStart w:id="29" w:name="_Toc373"/>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3</w:t>
      </w:r>
      <w:r>
        <w:rPr>
          <w:rFonts w:hint="eastAsia" w:ascii="仿宋" w:hAnsi="仿宋" w:eastAsia="仿宋"/>
          <w:color w:val="000000" w:themeColor="text1"/>
          <w:highlight w:val="none"/>
          <w14:textFill>
            <w14:solidFill>
              <w14:schemeClr w14:val="tx1"/>
            </w14:solidFill>
          </w14:textFill>
        </w:rPr>
        <w:t>节 生态廊道</w:t>
      </w:r>
      <w:bookmarkEnd w:id="29"/>
    </w:p>
    <w:p>
      <w:pPr>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构筑全域“一屏双核、五横一纵横，多点多廊”的生态系统。</w:t>
      </w:r>
    </w:p>
    <w:p>
      <w:pPr>
        <w:widowControl/>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一屏：即依托广水市北部大别山、桐柏山、鸡公山、二妹山构成的市域北部自然生态绿色屏障。对市域的生态维育、水土保持和自然环境起到了重要的支撑。</w:t>
      </w:r>
    </w:p>
    <w:p>
      <w:pPr>
        <w:pStyle w:val="2"/>
        <w:rPr>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双核：即依托徐家河旅游度假区和中华山国家级自然保护区的两大生态核心，构成区域生态保护的骨架。</w:t>
      </w:r>
    </w:p>
    <w:p>
      <w:pPr>
        <w:pStyle w:val="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五横：依托府河、余店河、龙泉河、应山河和广水河的五条纵向生态蓝色走廊。</w:t>
      </w:r>
    </w:p>
    <w:p>
      <w:pPr>
        <w:pStyle w:val="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一横：依托随麻安铁路的铁路防护林带形成的生态绿色走廊。</w:t>
      </w:r>
    </w:p>
    <w:p>
      <w:pPr>
        <w:pStyle w:val="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多点：依托市域范围内的黑洞湾水库、花山水库、许家冲水库、霞家河水库等各大水库形成的生态节点。</w:t>
      </w:r>
    </w:p>
    <w:p>
      <w:pPr>
        <w:pStyle w:val="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多廊：依托市域范围内的绿道网形成的集生态、游憩、观赏等为一体的多功能廊道</w:t>
      </w:r>
    </w:p>
    <w:p>
      <w:pPr>
        <w:pStyle w:val="2"/>
        <w:rPr>
          <w:rFonts w:ascii="仿宋" w:hAnsi="仿宋" w:eastAsia="仿宋"/>
          <w:color w:val="000000" w:themeColor="text1"/>
          <w:highlight w:val="none"/>
          <w14:textFill>
            <w14:solidFill>
              <w14:schemeClr w14:val="tx1"/>
            </w14:solidFill>
          </w14:textFill>
        </w:rPr>
      </w:pPr>
    </w:p>
    <w:p>
      <w:pPr>
        <w:pStyle w:val="2"/>
        <w:rPr>
          <w:rFonts w:ascii="仿宋" w:hAnsi="仿宋" w:eastAsia="仿宋"/>
          <w:color w:val="000000" w:themeColor="text1"/>
          <w:highlight w:val="none"/>
          <w14:textFill>
            <w14:solidFill>
              <w14:schemeClr w14:val="tx1"/>
            </w14:solidFill>
          </w14:textFill>
        </w:rPr>
      </w:pPr>
    </w:p>
    <w:p>
      <w:pPr>
        <w:pStyle w:val="4"/>
        <w:rPr>
          <w:rFonts w:ascii="仿宋" w:hAnsi="仿宋" w:eastAsia="仿宋"/>
          <w:color w:val="000000" w:themeColor="text1"/>
          <w:highlight w:val="none"/>
          <w14:textFill>
            <w14:solidFill>
              <w14:schemeClr w14:val="tx1"/>
            </w14:solidFill>
          </w14:textFill>
        </w:rPr>
      </w:pPr>
      <w:bookmarkStart w:id="30" w:name="_Toc18442"/>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4</w:t>
      </w:r>
      <w:r>
        <w:rPr>
          <w:rFonts w:hint="eastAsia" w:ascii="仿宋" w:hAnsi="仿宋" w:eastAsia="仿宋"/>
          <w:color w:val="000000" w:themeColor="text1"/>
          <w:highlight w:val="none"/>
          <w14:textFill>
            <w14:solidFill>
              <w14:schemeClr w14:val="tx1"/>
            </w14:solidFill>
          </w14:textFill>
        </w:rPr>
        <w:t>节 重要生态</w:t>
      </w:r>
      <w:r>
        <w:rPr>
          <w:rFonts w:ascii="仿宋" w:hAnsi="仿宋" w:eastAsia="仿宋"/>
          <w:color w:val="000000" w:themeColor="text1"/>
          <w:highlight w:val="none"/>
          <w14:textFill>
            <w14:solidFill>
              <w14:schemeClr w14:val="tx1"/>
            </w14:solidFill>
          </w14:textFill>
        </w:rPr>
        <w:t>功能区</w:t>
      </w:r>
      <w:bookmarkEnd w:id="30"/>
    </w:p>
    <w:p>
      <w:pPr>
        <w:pStyle w:val="21"/>
        <w:tabs>
          <w:tab w:val="left" w:pos="1233"/>
        </w:tabs>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（1）生物多样性维护区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区域范围：包括黑洞湾、花山、许家冲、飞沙河、霞家河在内的水库，二妹山、国家级中华山森林公园、三潭风景名胜区、鸡公山的林地生态功能区。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区域功能：涵养水源，防护山体，保护森林生态系统，净化空气，防止土壤侵蚀，提供良好栖息地环境和生物多样性保护地域。</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区域建设与保护：实施宜林地造林、低产林改造、生态公益林保护等重点工程，强化矿山生态环境保护措施，全面控制人为水土流失面积。强化生态公益林、天然林保护和建设，全面停止生态公益林、天然林商业性采伐。加强野生动植物生存地保护,建设以中华山鸟类自然保护区，定期开展生态系统评估，确定重大领域和监管优先区。实施生物多样性保护工程，切实保护野生动植物资源。加强珍稀濒危动植物拯救与保护，建设野生动物救护场所和繁育基地。强化生物安全管理，加强生物资源管理和外来物种管控。</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（2）水源涵养区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区域范围：包括先觉庙水库、徐家河水库及其周边区域，长江流域澴</w:t>
      </w:r>
      <w:r>
        <w:rPr>
          <w:rFonts w:hint="eastAsia" w:ascii="Times New Roman" w:hAnsi="Times New Roman" w:eastAsia="仿宋" w:cs="Times New Roman"/>
          <w:color w:val="000000" w:themeColor="text1"/>
          <w:highlight w:val="none"/>
          <w:lang w:eastAsia="zh-CN"/>
          <w14:textFill>
            <w14:solidFill>
              <w14:schemeClr w14:val="tx1"/>
            </w14:solidFill>
          </w14:textFill>
        </w:rPr>
        <w:t>水</w:t>
      </w:r>
      <w:r>
        <w:rPr>
          <w:rFonts w:ascii="Times New Roman" w:hAnsi="Times New Roman" w:eastAsia="仿宋" w:cs="Times New Roman"/>
          <w:color w:val="000000" w:themeColor="text1"/>
          <w:highlight w:val="none"/>
          <w14:textFill>
            <w14:solidFill>
              <w14:schemeClr w14:val="tx1"/>
            </w14:solidFill>
          </w14:textFill>
        </w:rPr>
        <w:t>系应山河、广水河，长江流域府河水系府河及其支流龙泉河、吴店河、余店河，淮河流域浉河水系飞沙河及其沿岸区域。</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区域功能：涵养水源，保护河流和山岗等自然生态系统以及生物多样性和水资源。保护和恢复自然湿地生态系统，加强湿地与河岸防护，保护水资源，减少河流污染。</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区域建设与保护：重要水源涵养区建立生态功能保护区，加强对水源涵养区的保护与管理，全面提升生态系统水源涵养功能。加强水系河流汇集及流域水源涵养林、水土保持林的保护与治理，合理调控流域水文生态过程，全面提高水源涵养能力，保障生态流量。开展重要水源地水土保持预防工程，采取封育保护、自然修复等措施，提高林草覆盖度和水源涵养能力，维护水生态安全。加强湿地保护与恢复，推进徐家河湿地公园湿地保护功能区建设,严禁非法侵占湿地，合理划定湿地保护红线，大力实施退耕还湿、退渔还湿、天然植被恢复和滨河生态建设。</w:t>
      </w:r>
    </w:p>
    <w:p>
      <w:pPr>
        <w:rPr>
          <w:rFonts w:ascii="仿宋" w:hAnsi="仿宋" w:eastAsia="仿宋"/>
          <w:color w:val="000000" w:themeColor="text1"/>
          <w:szCs w:val="28"/>
          <w:highlight w:val="none"/>
          <w14:textFill>
            <w14:solidFill>
              <w14:schemeClr w14:val="tx1"/>
            </w14:solidFill>
          </w14:textFill>
        </w:rPr>
      </w:pPr>
    </w:p>
    <w:p>
      <w:pPr>
        <w:rPr>
          <w:rFonts w:ascii="仿宋" w:hAnsi="仿宋" w:eastAsia="仿宋"/>
          <w:color w:val="000000" w:themeColor="text1"/>
          <w:szCs w:val="28"/>
          <w:highlight w:val="none"/>
          <w14:textFill>
            <w14:solidFill>
              <w14:schemeClr w14:val="tx1"/>
            </w14:solidFill>
          </w14:textFill>
        </w:rPr>
      </w:pPr>
    </w:p>
    <w:p>
      <w:pPr>
        <w:pStyle w:val="3"/>
        <w:pageBreakBefore/>
        <w:rPr>
          <w:rFonts w:ascii="仿宋" w:hAnsi="仿宋" w:eastAsia="仿宋"/>
          <w:color w:val="000000" w:themeColor="text1"/>
          <w:highlight w:val="none"/>
          <w14:textFill>
            <w14:solidFill>
              <w14:schemeClr w14:val="tx1"/>
            </w14:solidFill>
          </w14:textFill>
        </w:rPr>
      </w:pPr>
      <w:bookmarkStart w:id="31" w:name="_Toc19070"/>
      <w:r>
        <w:rPr>
          <w:rFonts w:hint="eastAsia" w:ascii="仿宋" w:hAnsi="仿宋" w:eastAsia="仿宋"/>
          <w:color w:val="000000" w:themeColor="text1"/>
          <w:highlight w:val="none"/>
          <w14:textFill>
            <w14:solidFill>
              <w14:schemeClr w14:val="tx1"/>
            </w14:solidFill>
          </w14:textFill>
        </w:rPr>
        <w:t>第七章 城镇空间</w:t>
      </w:r>
      <w:bookmarkEnd w:id="31"/>
    </w:p>
    <w:p>
      <w:pPr>
        <w:pStyle w:val="4"/>
        <w:rPr>
          <w:rFonts w:ascii="仿宋" w:hAnsi="仿宋" w:eastAsia="仿宋"/>
          <w:color w:val="000000" w:themeColor="text1"/>
          <w:highlight w:val="none"/>
          <w14:textFill>
            <w14:solidFill>
              <w14:schemeClr w14:val="tx1"/>
            </w14:solidFill>
          </w14:textFill>
        </w:rPr>
      </w:pPr>
      <w:bookmarkStart w:id="32" w:name="_Toc18292"/>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1</w:t>
      </w:r>
      <w:r>
        <w:rPr>
          <w:rFonts w:hint="eastAsia" w:ascii="仿宋" w:hAnsi="仿宋" w:eastAsia="仿宋"/>
          <w:color w:val="000000" w:themeColor="text1"/>
          <w:highlight w:val="none"/>
          <w14:textFill>
            <w14:solidFill>
              <w14:schemeClr w14:val="tx1"/>
            </w14:solidFill>
          </w14:textFill>
        </w:rPr>
        <w:t>节 人口规模与</w:t>
      </w:r>
      <w:r>
        <w:rPr>
          <w:rFonts w:ascii="仿宋" w:hAnsi="仿宋" w:eastAsia="仿宋"/>
          <w:color w:val="000000" w:themeColor="text1"/>
          <w:highlight w:val="none"/>
          <w14:textFill>
            <w14:solidFill>
              <w14:schemeClr w14:val="tx1"/>
            </w14:solidFill>
          </w14:textFill>
        </w:rPr>
        <w:t>城镇化水平</w:t>
      </w:r>
      <w:bookmarkEnd w:id="32"/>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bookmarkStart w:id="33" w:name="_Hlk85042461"/>
      <w:r>
        <w:rPr>
          <w:rFonts w:hint="eastAsia" w:ascii="Times New Roman" w:hAnsi="Times New Roman" w:eastAsia="仿宋" w:cs="Times New Roman"/>
          <w:color w:val="000000" w:themeColor="text1"/>
          <w:highlight w:val="none"/>
          <w14:textFill>
            <w14:solidFill>
              <w14:schemeClr w14:val="tx1"/>
            </w14:solidFill>
          </w14:textFill>
        </w:rPr>
        <w:t>现状2020年，广水市常住人口</w:t>
      </w:r>
      <w:r>
        <w:rPr>
          <w:rFonts w:ascii="Times New Roman" w:hAnsi="Times New Roman" w:eastAsia="仿宋" w:cs="Times New Roman"/>
          <w:color w:val="000000" w:themeColor="text1"/>
          <w:highlight w:val="none"/>
          <w14:textFill>
            <w14:solidFill>
              <w14:schemeClr w14:val="tx1"/>
            </w14:solidFill>
          </w14:textFill>
        </w:rPr>
        <w:t>71.09</w:t>
      </w:r>
      <w:r>
        <w:rPr>
          <w:rFonts w:hint="eastAsia" w:ascii="Times New Roman" w:hAnsi="Times New Roman" w:eastAsia="仿宋" w:cs="Times New Roman"/>
          <w:color w:val="000000" w:themeColor="text1"/>
          <w:highlight w:val="none"/>
          <w14:textFill>
            <w14:solidFill>
              <w14:schemeClr w14:val="tx1"/>
            </w14:solidFill>
          </w14:textFill>
        </w:rPr>
        <w:t>万人，城镇化率</w:t>
      </w:r>
      <w:r>
        <w:rPr>
          <w:rFonts w:ascii="Times New Roman" w:hAnsi="Times New Roman" w:eastAsia="仿宋" w:cs="Times New Roman"/>
          <w:color w:val="000000" w:themeColor="text1"/>
          <w:highlight w:val="none"/>
          <w14:textFill>
            <w14:solidFill>
              <w14:schemeClr w14:val="tx1"/>
            </w14:solidFill>
          </w14:textFill>
        </w:rPr>
        <w:t>54.45</w:t>
      </w:r>
      <w:r>
        <w:rPr>
          <w:rFonts w:hint="eastAsia" w:ascii="Times New Roman" w:hAnsi="Times New Roman" w:eastAsia="仿宋" w:cs="Times New Roman"/>
          <w:color w:val="000000" w:themeColor="text1"/>
          <w:highlight w:val="none"/>
          <w14:textFill>
            <w14:solidFill>
              <w14:schemeClr w14:val="tx1"/>
            </w14:solidFill>
          </w14:textFill>
        </w:rPr>
        <w:t>%，城镇人口</w:t>
      </w:r>
      <w:r>
        <w:rPr>
          <w:rFonts w:ascii="Times New Roman" w:hAnsi="Times New Roman" w:eastAsia="仿宋" w:cs="Times New Roman"/>
          <w:color w:val="000000" w:themeColor="text1"/>
          <w:highlight w:val="none"/>
          <w14:textFill>
            <w14:solidFill>
              <w14:schemeClr w14:val="tx1"/>
            </w14:solidFill>
          </w14:textFill>
        </w:rPr>
        <w:t>38.71</w:t>
      </w:r>
      <w:r>
        <w:rPr>
          <w:rFonts w:hint="eastAsia" w:ascii="Times New Roman" w:hAnsi="Times New Roman" w:eastAsia="仿宋" w:cs="Times New Roman"/>
          <w:color w:val="000000" w:themeColor="text1"/>
          <w:highlight w:val="none"/>
          <w14:textFill>
            <w14:solidFill>
              <w14:schemeClr w14:val="tx1"/>
            </w14:solidFill>
          </w14:textFill>
        </w:rPr>
        <w:t>万。</w:t>
      </w:r>
    </w:p>
    <w:bookmarkEnd w:id="33"/>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规划至</w:t>
      </w:r>
      <w:r>
        <w:rPr>
          <w:rFonts w:ascii="Times New Roman" w:hAnsi="Times New Roman" w:eastAsia="仿宋" w:cs="Times New Roman"/>
          <w:color w:val="000000" w:themeColor="text1"/>
          <w:highlight w:val="none"/>
          <w14:textFill>
            <w14:solidFill>
              <w14:schemeClr w14:val="tx1"/>
            </w14:solidFill>
          </w14:textFill>
        </w:rPr>
        <w:t>2025</w:t>
      </w:r>
      <w:r>
        <w:rPr>
          <w:rFonts w:hint="eastAsia" w:ascii="Times New Roman" w:hAnsi="Times New Roman" w:eastAsia="仿宋" w:cs="Times New Roman"/>
          <w:color w:val="000000" w:themeColor="text1"/>
          <w:highlight w:val="none"/>
          <w14:textFill>
            <w14:solidFill>
              <w14:schemeClr w14:val="tx1"/>
            </w14:solidFill>
          </w14:textFill>
        </w:rPr>
        <w:t>年，广水市常住人口</w:t>
      </w:r>
      <w:r>
        <w:rPr>
          <w:rFonts w:ascii="Times New Roman" w:hAnsi="Times New Roman" w:eastAsia="仿宋" w:cs="Times New Roman"/>
          <w:color w:val="000000" w:themeColor="text1"/>
          <w:highlight w:val="none"/>
          <w14:textFill>
            <w14:solidFill>
              <w14:schemeClr w14:val="tx1"/>
            </w14:solidFill>
          </w14:textFill>
        </w:rPr>
        <w:t>7</w:t>
      </w:r>
      <w:r>
        <w:rPr>
          <w:rFonts w:hint="eastAsia" w:ascii="Times New Roman" w:hAnsi="Times New Roman" w:eastAsia="仿宋" w:cs="Times New Roman"/>
          <w:color w:val="000000" w:themeColor="text1"/>
          <w:highlight w:val="none"/>
          <w14:textFill>
            <w14:solidFill>
              <w14:schemeClr w14:val="tx1"/>
            </w14:solidFill>
          </w14:textFill>
        </w:rPr>
        <w:t>7万人，城镇化率61%，城镇人口</w:t>
      </w:r>
      <w:r>
        <w:rPr>
          <w:rFonts w:ascii="Times New Roman" w:hAnsi="Times New Roman" w:eastAsia="仿宋" w:cs="Times New Roman"/>
          <w:color w:val="000000" w:themeColor="text1"/>
          <w:highlight w:val="none"/>
          <w14:textFill>
            <w14:solidFill>
              <w14:schemeClr w14:val="tx1"/>
            </w14:solidFill>
          </w14:textFill>
        </w:rPr>
        <w:t>4</w:t>
      </w:r>
      <w:r>
        <w:rPr>
          <w:rFonts w:hint="eastAsia" w:ascii="Times New Roman" w:hAnsi="Times New Roman" w:eastAsia="仿宋" w:cs="Times New Roman"/>
          <w:color w:val="000000" w:themeColor="text1"/>
          <w:highlight w:val="none"/>
          <w14:textFill>
            <w14:solidFill>
              <w14:schemeClr w14:val="tx1"/>
            </w14:solidFill>
          </w14:textFill>
        </w:rPr>
        <w:t>7.3万。</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规划至</w:t>
      </w:r>
      <w:r>
        <w:rPr>
          <w:rFonts w:ascii="Times New Roman" w:hAnsi="Times New Roman" w:eastAsia="仿宋" w:cs="Times New Roman"/>
          <w:color w:val="000000" w:themeColor="text1"/>
          <w:highlight w:val="none"/>
          <w14:textFill>
            <w14:solidFill>
              <w14:schemeClr w14:val="tx1"/>
            </w14:solidFill>
          </w14:textFill>
        </w:rPr>
        <w:t>2035</w:t>
      </w:r>
      <w:r>
        <w:rPr>
          <w:rFonts w:hint="eastAsia" w:ascii="Times New Roman" w:hAnsi="Times New Roman" w:eastAsia="仿宋" w:cs="Times New Roman"/>
          <w:color w:val="000000" w:themeColor="text1"/>
          <w:highlight w:val="none"/>
          <w14:textFill>
            <w14:solidFill>
              <w14:schemeClr w14:val="tx1"/>
            </w14:solidFill>
          </w14:textFill>
        </w:rPr>
        <w:t>年，广水市常住人口95万，城镇化率</w:t>
      </w:r>
      <w:r>
        <w:rPr>
          <w:rFonts w:ascii="Times New Roman" w:hAnsi="Times New Roman" w:eastAsia="仿宋" w:cs="Times New Roman"/>
          <w:color w:val="000000" w:themeColor="text1"/>
          <w:highlight w:val="none"/>
          <w14:textFill>
            <w14:solidFill>
              <w14:schemeClr w14:val="tx1"/>
            </w14:solidFill>
          </w14:textFill>
        </w:rPr>
        <w:t>7</w:t>
      </w:r>
      <w:r>
        <w:rPr>
          <w:rFonts w:hint="eastAsia" w:ascii="Times New Roman" w:hAnsi="Times New Roman" w:eastAsia="仿宋" w:cs="Times New Roman"/>
          <w:color w:val="000000" w:themeColor="text1"/>
          <w:highlight w:val="none"/>
          <w14:textFill>
            <w14:solidFill>
              <w14:schemeClr w14:val="tx1"/>
            </w14:solidFill>
          </w14:textFill>
        </w:rPr>
        <w:t>2%，城镇人口68.6万。</w:t>
      </w:r>
    </w:p>
    <w:p>
      <w:pPr>
        <w:pStyle w:val="4"/>
        <w:rPr>
          <w:rFonts w:ascii="仿宋" w:hAnsi="仿宋" w:eastAsia="仿宋"/>
          <w:color w:val="000000" w:themeColor="text1"/>
          <w:highlight w:val="none"/>
          <w14:textFill>
            <w14:solidFill>
              <w14:schemeClr w14:val="tx1"/>
            </w14:solidFill>
          </w14:textFill>
        </w:rPr>
      </w:pPr>
      <w:bookmarkStart w:id="34" w:name="_Toc28369"/>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2</w:t>
      </w:r>
      <w:r>
        <w:rPr>
          <w:rFonts w:hint="eastAsia" w:ascii="仿宋" w:hAnsi="仿宋" w:eastAsia="仿宋"/>
          <w:color w:val="000000" w:themeColor="text1"/>
          <w:highlight w:val="none"/>
          <w14:textFill>
            <w14:solidFill>
              <w14:schemeClr w14:val="tx1"/>
            </w14:solidFill>
          </w14:textFill>
        </w:rPr>
        <w:t>节 城镇体系</w:t>
      </w:r>
      <w:bookmarkEnd w:id="34"/>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（1）城镇规模等级</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规划市域形成“中心城区—重点镇—一般镇” 三级城镇等级规模体系。</w:t>
      </w:r>
    </w:p>
    <w:p>
      <w:pPr>
        <w:ind w:firstLine="562"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b/>
          <w:bCs/>
          <w:color w:val="000000" w:themeColor="text1"/>
          <w:highlight w:val="none"/>
          <w14:textFill>
            <w14:solidFill>
              <w14:schemeClr w14:val="tx1"/>
            </w14:solidFill>
          </w14:textFill>
        </w:rPr>
        <w:t>中心城区：</w:t>
      </w:r>
      <w:r>
        <w:rPr>
          <w:rFonts w:hint="eastAsia" w:ascii="Times New Roman" w:hAnsi="Times New Roman" w:eastAsia="仿宋" w:cs="Times New Roman"/>
          <w:color w:val="000000" w:themeColor="text1"/>
          <w:highlight w:val="none"/>
          <w14:textFill>
            <w14:solidFill>
              <w14:schemeClr w14:val="tx1"/>
            </w14:solidFill>
          </w14:textFill>
        </w:rPr>
        <w:t>以应山街道、广水街道、十里街道、城郊街道为主体，扩展至武胜关镇区建设的区域。</w:t>
      </w:r>
    </w:p>
    <w:p>
      <w:pPr>
        <w:ind w:firstLine="562"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b/>
          <w:bCs/>
          <w:color w:val="000000" w:themeColor="text1"/>
          <w:highlight w:val="none"/>
          <w14:textFill>
            <w14:solidFill>
              <w14:schemeClr w14:val="tx1"/>
            </w14:solidFill>
          </w14:textFill>
        </w:rPr>
        <w:t>重点镇3个：</w:t>
      </w:r>
      <w:r>
        <w:rPr>
          <w:rFonts w:hint="eastAsia" w:ascii="Times New Roman" w:hAnsi="Times New Roman" w:eastAsia="仿宋" w:cs="Times New Roman"/>
          <w:color w:val="000000" w:themeColor="text1"/>
          <w:highlight w:val="none"/>
          <w14:textFill>
            <w14:solidFill>
              <w14:schemeClr w14:val="tx1"/>
            </w14:solidFill>
          </w14:textFill>
        </w:rPr>
        <w:t>杨寨镇是面向鄂北的循环经济和生态城镇示范基地、以现代制造、农产品加工、商贸服务和节能环保产业为主导的综合型城镇；郝店镇以农副产品精深加工、新能源产业、生态旅游为重点的军民融合特色城镇；长岭镇是广水市西南部交通中心，集滨水生态旅游、养老康养、度假休闲于一体的特色旅游名镇。</w:t>
      </w:r>
    </w:p>
    <w:p>
      <w:pPr>
        <w:ind w:firstLine="562"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b/>
          <w:bCs/>
          <w:color w:val="000000" w:themeColor="text1"/>
          <w:highlight w:val="none"/>
          <w14:textFill>
            <w14:solidFill>
              <w14:schemeClr w14:val="tx1"/>
            </w14:solidFill>
          </w14:textFill>
        </w:rPr>
        <w:t>一般镇9个：</w:t>
      </w:r>
      <w:r>
        <w:rPr>
          <w:rFonts w:hint="eastAsia" w:ascii="Times New Roman" w:hAnsi="Times New Roman" w:eastAsia="仿宋" w:cs="Times New Roman"/>
          <w:color w:val="000000" w:themeColor="text1"/>
          <w:highlight w:val="none"/>
          <w14:textFill>
            <w14:solidFill>
              <w14:schemeClr w14:val="tx1"/>
            </w14:solidFill>
          </w14:textFill>
        </w:rPr>
        <w:t>马坪镇、陈巷镇、吴店镇、余店镇、关庙镇、太平镇、蔡河镇、骆店镇、李店镇。</w:t>
      </w:r>
    </w:p>
    <w:p>
      <w:pPr>
        <w:ind w:firstLine="480" w:firstLineChars="200"/>
        <w:jc w:val="center"/>
        <w:rPr>
          <w:rFonts w:ascii="Times New Roman" w:hAnsi="Times New Roman" w:eastAsia="仿宋" w:cs="Times New Roman"/>
          <w:color w:val="000000" w:themeColor="text1"/>
          <w:sz w:val="24"/>
          <w:szCs w:val="21"/>
          <w:highlight w:val="none"/>
          <w14:textFill>
            <w14:solidFill>
              <w14:schemeClr w14:val="tx1"/>
            </w14:solidFill>
          </w14:textFill>
        </w:rPr>
      </w:pPr>
      <w:r>
        <w:rPr>
          <w:rFonts w:hint="eastAsia" w:ascii="Times New Roman" w:hAnsi="Times New Roman" w:eastAsia="仿宋" w:cs="Times New Roman"/>
          <w:color w:val="000000" w:themeColor="text1"/>
          <w:sz w:val="24"/>
          <w:szCs w:val="21"/>
          <w:highlight w:val="none"/>
          <w14:textFill>
            <w14:solidFill>
              <w14:schemeClr w14:val="tx1"/>
            </w14:solidFill>
          </w14:textFill>
        </w:rPr>
        <w:t>城镇发展指引一览表</w:t>
      </w:r>
    </w:p>
    <w:tbl>
      <w:tblPr>
        <w:tblStyle w:val="13"/>
        <w:tblW w:w="906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1275"/>
        <w:gridCol w:w="1276"/>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sz w:val="22"/>
                <w:highlight w:val="none"/>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序号</w:t>
            </w:r>
          </w:p>
        </w:tc>
        <w:tc>
          <w:tcPr>
            <w:tcW w:w="1134" w:type="dxa"/>
            <w:vAlign w:val="center"/>
          </w:tcPr>
          <w:p>
            <w:pPr>
              <w:widowControl/>
              <w:spacing w:before="0" w:after="0" w:line="240" w:lineRule="auto"/>
              <w:jc w:val="center"/>
              <w:textAlignment w:val="bottom"/>
              <w:rPr>
                <w:rFonts w:ascii="仿宋" w:hAnsi="仿宋" w:eastAsia="仿宋" w:cs="宋体"/>
                <w:bCs/>
                <w:color w:val="000000" w:themeColor="text1"/>
                <w:sz w:val="22"/>
                <w:highlight w:val="none"/>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城镇级别</w:t>
            </w:r>
          </w:p>
        </w:tc>
        <w:tc>
          <w:tcPr>
            <w:tcW w:w="1275"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城镇人口（万人）</w:t>
            </w:r>
          </w:p>
        </w:tc>
        <w:tc>
          <w:tcPr>
            <w:tcW w:w="1276"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城镇名称</w:t>
            </w:r>
          </w:p>
        </w:tc>
        <w:tc>
          <w:tcPr>
            <w:tcW w:w="4812" w:type="dxa"/>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val="zh-TW" w:eastAsia="zh-TW"/>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发展指引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68" w:type="dxa"/>
            <w:vMerge w:val="restart"/>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1</w:t>
            </w:r>
          </w:p>
        </w:tc>
        <w:tc>
          <w:tcPr>
            <w:tcW w:w="1134" w:type="dxa"/>
            <w:vMerge w:val="restart"/>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中心城区</w:t>
            </w:r>
          </w:p>
        </w:tc>
        <w:tc>
          <w:tcPr>
            <w:tcW w:w="1275" w:type="dxa"/>
            <w:vMerge w:val="restart"/>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45</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应山街道</w:t>
            </w:r>
          </w:p>
        </w:tc>
        <w:tc>
          <w:tcPr>
            <w:tcW w:w="4812" w:type="dxa"/>
            <w:vMerge w:val="restart"/>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s="宋体"/>
                <w:color w:val="000000" w:themeColor="text1"/>
                <w:sz w:val="22"/>
                <w:highlight w:val="none"/>
                <w:lang w:eastAsia="zh-TW"/>
                <w14:textFill>
                  <w14:solidFill>
                    <w14:schemeClr w14:val="tx1"/>
                  </w14:solidFill>
                </w14:textFill>
              </w:rPr>
              <w:t>县域综合服务中心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68" w:type="dxa"/>
            <w:vMerge w:val="continue"/>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Merge w:val="continue"/>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十里街道</w:t>
            </w:r>
          </w:p>
        </w:tc>
        <w:tc>
          <w:tcPr>
            <w:tcW w:w="4812" w:type="dxa"/>
            <w:vMerge w:val="continue"/>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68" w:type="dxa"/>
            <w:vMerge w:val="continue"/>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Merge w:val="continue"/>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城郊街道</w:t>
            </w:r>
          </w:p>
        </w:tc>
        <w:tc>
          <w:tcPr>
            <w:tcW w:w="4812" w:type="dxa"/>
            <w:vMerge w:val="continue"/>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68" w:type="dxa"/>
            <w:vMerge w:val="continue"/>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Merge w:val="continue"/>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广水街道</w:t>
            </w:r>
          </w:p>
        </w:tc>
        <w:tc>
          <w:tcPr>
            <w:tcW w:w="4812" w:type="dxa"/>
            <w:vMerge w:val="continue"/>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68" w:type="dxa"/>
            <w:vMerge w:val="continue"/>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Merge w:val="continue"/>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武胜关镇</w:t>
            </w:r>
          </w:p>
        </w:tc>
        <w:tc>
          <w:tcPr>
            <w:tcW w:w="4812" w:type="dxa"/>
            <w:vMerge w:val="continue"/>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sz w:val="22"/>
                <w:highlight w:val="none"/>
                <w:lang w:eastAsia="zh-TW"/>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2</w:t>
            </w:r>
          </w:p>
        </w:tc>
        <w:tc>
          <w:tcPr>
            <w:tcW w:w="1134" w:type="dxa"/>
            <w:vMerge w:val="restart"/>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重点镇</w:t>
            </w: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4.2</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杨寨镇</w:t>
            </w:r>
          </w:p>
        </w:tc>
        <w:tc>
          <w:tcPr>
            <w:tcW w:w="4812"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以现代制造、农产品加工、商贸服务和节能环保产业为主导的综合型城镇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ascii="仿宋" w:hAnsi="仿宋" w:eastAsia="仿宋" w:cs="宋体"/>
                <w:bCs/>
                <w:color w:val="000000" w:themeColor="text1"/>
                <w:kern w:val="0"/>
                <w:sz w:val="22"/>
                <w:highlight w:val="none"/>
                <w:lang w:bidi="ar"/>
                <w14:textFill>
                  <w14:solidFill>
                    <w14:schemeClr w14:val="tx1"/>
                  </w14:solidFill>
                </w14:textFill>
              </w:rPr>
              <w:t>3</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2.6</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长岭镇</w:t>
            </w:r>
          </w:p>
        </w:tc>
        <w:tc>
          <w:tcPr>
            <w:tcW w:w="4812"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s="宋体"/>
                <w:color w:val="000000" w:themeColor="text1"/>
                <w:sz w:val="22"/>
                <w:highlight w:val="none"/>
                <w:lang w:eastAsia="zh-TW"/>
                <w14:textFill>
                  <w14:solidFill>
                    <w14:schemeClr w14:val="tx1"/>
                  </w14:solidFill>
                </w14:textFill>
              </w:rPr>
              <w:t>集滨水生态旅游、养老康养、度假休闲于一体的特色旅游名镇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4</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2.5</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郝店镇</w:t>
            </w:r>
          </w:p>
        </w:tc>
        <w:tc>
          <w:tcPr>
            <w:tcW w:w="4812"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以农副产品精深加工、新能源产业、生态旅游为重点的军民融合特色城镇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5</w:t>
            </w:r>
          </w:p>
        </w:tc>
        <w:tc>
          <w:tcPr>
            <w:tcW w:w="1134" w:type="dxa"/>
            <w:vMerge w:val="restart"/>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r>
              <w:rPr>
                <w:rFonts w:hint="eastAsia" w:ascii="仿宋" w:hAnsi="仿宋" w:eastAsia="仿宋" w:cs="宋体"/>
                <w:color w:val="000000" w:themeColor="text1"/>
                <w:sz w:val="22"/>
                <w:highlight w:val="none"/>
                <w:lang w:val="zh-TW" w:eastAsia="zh-TW"/>
                <w14:textFill>
                  <w14:solidFill>
                    <w14:schemeClr w14:val="tx1"/>
                  </w14:solidFill>
                </w14:textFill>
              </w:rPr>
              <w:t>一般镇</w:t>
            </w: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1.5</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李店镇</w:t>
            </w:r>
          </w:p>
        </w:tc>
        <w:tc>
          <w:tcPr>
            <w:tcW w:w="4812" w:type="dxa"/>
            <w:vAlign w:val="center"/>
          </w:tcPr>
          <w:p>
            <w:pPr>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农业种植生产为主导的农业型镇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6</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2.5</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马坪镇</w:t>
            </w:r>
          </w:p>
        </w:tc>
        <w:tc>
          <w:tcPr>
            <w:tcW w:w="4812" w:type="dxa"/>
            <w:vAlign w:val="center"/>
          </w:tcPr>
          <w:p>
            <w:pPr>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旅游服务型特色镇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7</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2.3</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余店镇</w:t>
            </w:r>
          </w:p>
        </w:tc>
        <w:tc>
          <w:tcPr>
            <w:tcW w:w="4812" w:type="dxa"/>
            <w:vAlign w:val="center"/>
          </w:tcPr>
          <w:p>
            <w:pPr>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特色林果业和蔬菜种植业为主的农业型镇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8</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1.2</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蔡河镇</w:t>
            </w:r>
          </w:p>
        </w:tc>
        <w:tc>
          <w:tcPr>
            <w:tcW w:w="4812" w:type="dxa"/>
            <w:vAlign w:val="center"/>
          </w:tcPr>
          <w:p>
            <w:pPr>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特色林果业和蔬菜种植业为主的农业型镇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9</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1.7</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吴店镇</w:t>
            </w:r>
          </w:p>
        </w:tc>
        <w:tc>
          <w:tcPr>
            <w:tcW w:w="4812" w:type="dxa"/>
            <w:vAlign w:val="center"/>
          </w:tcPr>
          <w:p>
            <w:pPr>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鄂北新能源产业及红色旅游重镇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1</w:t>
            </w:r>
            <w:r>
              <w:rPr>
                <w:rFonts w:ascii="仿宋" w:hAnsi="仿宋" w:eastAsia="仿宋" w:cs="宋体"/>
                <w:bCs/>
                <w:color w:val="000000" w:themeColor="text1"/>
                <w:kern w:val="0"/>
                <w:sz w:val="22"/>
                <w:highlight w:val="none"/>
                <w:lang w:bidi="ar"/>
                <w14:textFill>
                  <w14:solidFill>
                    <w14:schemeClr w14:val="tx1"/>
                  </w14:solidFill>
                </w14:textFill>
              </w:rPr>
              <w:t>0</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2.0</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陈巷镇</w:t>
            </w:r>
          </w:p>
        </w:tc>
        <w:tc>
          <w:tcPr>
            <w:tcW w:w="4812" w:type="dxa"/>
            <w:vAlign w:val="center"/>
          </w:tcPr>
          <w:p>
            <w:pPr>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农业种植生产为主导的农业型镇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1</w:t>
            </w:r>
            <w:r>
              <w:rPr>
                <w:rFonts w:ascii="仿宋" w:hAnsi="仿宋" w:eastAsia="仿宋" w:cs="宋体"/>
                <w:bCs/>
                <w:color w:val="000000" w:themeColor="text1"/>
                <w:kern w:val="0"/>
                <w:sz w:val="22"/>
                <w:highlight w:val="none"/>
                <w:lang w:bidi="ar"/>
                <w14:textFill>
                  <w14:solidFill>
                    <w14:schemeClr w14:val="tx1"/>
                  </w14:solidFill>
                </w14:textFill>
              </w:rPr>
              <w:t>1</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1.2</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骆店镇</w:t>
            </w:r>
          </w:p>
        </w:tc>
        <w:tc>
          <w:tcPr>
            <w:tcW w:w="4812" w:type="dxa"/>
            <w:vAlign w:val="center"/>
          </w:tcPr>
          <w:p>
            <w:pPr>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农业种植生产为主导的农业型镇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hint="eastAsia" w:ascii="仿宋" w:hAnsi="仿宋" w:eastAsia="仿宋" w:cs="宋体"/>
                <w:bCs/>
                <w:color w:val="000000" w:themeColor="text1"/>
                <w:kern w:val="0"/>
                <w:sz w:val="22"/>
                <w:highlight w:val="none"/>
                <w:lang w:bidi="ar"/>
                <w14:textFill>
                  <w14:solidFill>
                    <w14:schemeClr w14:val="tx1"/>
                  </w14:solidFill>
                </w14:textFill>
              </w:rPr>
              <w:t>1</w:t>
            </w:r>
            <w:r>
              <w:rPr>
                <w:rFonts w:ascii="仿宋" w:hAnsi="仿宋" w:eastAsia="仿宋" w:cs="宋体"/>
                <w:bCs/>
                <w:color w:val="000000" w:themeColor="text1"/>
                <w:kern w:val="0"/>
                <w:sz w:val="22"/>
                <w:highlight w:val="none"/>
                <w:lang w:bidi="ar"/>
                <w14:textFill>
                  <w14:solidFill>
                    <w14:schemeClr w14:val="tx1"/>
                  </w14:solidFill>
                </w14:textFill>
              </w:rPr>
              <w:t>2</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1.0</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关庙镇</w:t>
            </w:r>
          </w:p>
        </w:tc>
        <w:tc>
          <w:tcPr>
            <w:tcW w:w="4812" w:type="dxa"/>
            <w:vAlign w:val="center"/>
          </w:tcPr>
          <w:p>
            <w:pPr>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现代仓储物流业为主体的特色城镇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68" w:type="dxa"/>
            <w:vAlign w:val="center"/>
          </w:tcPr>
          <w:p>
            <w:pPr>
              <w:widowControl/>
              <w:spacing w:before="0" w:after="0" w:line="240" w:lineRule="auto"/>
              <w:jc w:val="center"/>
              <w:textAlignment w:val="bottom"/>
              <w:rPr>
                <w:rFonts w:ascii="仿宋" w:hAnsi="仿宋" w:eastAsia="仿宋" w:cs="宋体"/>
                <w:bCs/>
                <w:color w:val="000000" w:themeColor="text1"/>
                <w:kern w:val="0"/>
                <w:sz w:val="22"/>
                <w:highlight w:val="none"/>
                <w:lang w:bidi="ar"/>
                <w14:textFill>
                  <w14:solidFill>
                    <w14:schemeClr w14:val="tx1"/>
                  </w14:solidFill>
                </w14:textFill>
              </w:rPr>
            </w:pPr>
            <w:r>
              <w:rPr>
                <w:rFonts w:ascii="仿宋" w:hAnsi="仿宋" w:eastAsia="仿宋" w:cs="宋体"/>
                <w:bCs/>
                <w:color w:val="000000" w:themeColor="text1"/>
                <w:kern w:val="0"/>
                <w:sz w:val="22"/>
                <w:highlight w:val="none"/>
                <w:lang w:bidi="ar"/>
                <w14:textFill>
                  <w14:solidFill>
                    <w14:schemeClr w14:val="tx1"/>
                  </w14:solidFill>
                </w14:textFill>
              </w:rPr>
              <w:t>13</w:t>
            </w:r>
          </w:p>
        </w:tc>
        <w:tc>
          <w:tcPr>
            <w:tcW w:w="1134" w:type="dxa"/>
            <w:vMerge w:val="continue"/>
            <w:vAlign w:val="center"/>
          </w:tcPr>
          <w:p>
            <w:pPr>
              <w:widowControl/>
              <w:spacing w:before="0" w:after="0" w:line="240" w:lineRule="auto"/>
              <w:jc w:val="center"/>
              <w:textAlignment w:val="bottom"/>
              <w:rPr>
                <w:rFonts w:ascii="仿宋" w:hAnsi="仿宋" w:eastAsia="仿宋" w:cs="宋体"/>
                <w:color w:val="000000" w:themeColor="text1"/>
                <w:sz w:val="22"/>
                <w:highlight w:val="none"/>
                <w:lang w:val="zh-TW" w:eastAsia="zh-TW"/>
                <w14:textFill>
                  <w14:solidFill>
                    <w14:schemeClr w14:val="tx1"/>
                  </w14:solidFill>
                </w14:textFill>
              </w:rPr>
            </w:pPr>
          </w:p>
        </w:tc>
        <w:tc>
          <w:tcPr>
            <w:tcW w:w="1275" w:type="dxa"/>
            <w:vAlign w:val="center"/>
          </w:tcPr>
          <w:p>
            <w:pPr>
              <w:spacing w:before="0" w:after="0" w:line="240" w:lineRule="auto"/>
              <w:jc w:val="center"/>
              <w:rPr>
                <w:rFonts w:ascii="仿宋" w:hAnsi="仿宋" w:eastAsia="仿宋" w:cs="宋体"/>
                <w:color w:val="000000" w:themeColor="text1"/>
                <w:sz w:val="22"/>
                <w:highlight w:val="none"/>
                <w14:textFill>
                  <w14:solidFill>
                    <w14:schemeClr w14:val="tx1"/>
                  </w14:solidFill>
                </w14:textFill>
              </w:rPr>
            </w:pPr>
            <w:r>
              <w:rPr>
                <w:rFonts w:hint="eastAsia" w:ascii="仿宋" w:hAnsi="仿宋" w:eastAsia="仿宋" w:cs="宋体"/>
                <w:color w:val="000000" w:themeColor="text1"/>
                <w:sz w:val="22"/>
                <w:highlight w:val="none"/>
                <w14:textFill>
                  <w14:solidFill>
                    <w14:schemeClr w14:val="tx1"/>
                  </w14:solidFill>
                </w14:textFill>
              </w:rPr>
              <w:t>0.9</w:t>
            </w:r>
          </w:p>
        </w:tc>
        <w:tc>
          <w:tcPr>
            <w:tcW w:w="1276" w:type="dxa"/>
            <w:vAlign w:val="center"/>
          </w:tcPr>
          <w:p>
            <w:pPr>
              <w:spacing w:before="0" w:after="0" w:line="240" w:lineRule="auto"/>
              <w:jc w:val="center"/>
              <w:rPr>
                <w:rFonts w:ascii="仿宋" w:hAnsi="仿宋" w:eastAsia="仿宋" w:cs="宋体"/>
                <w:color w:val="000000" w:themeColor="text1"/>
                <w:sz w:val="22"/>
                <w:highlight w:val="none"/>
                <w:lang w:eastAsia="zh-TW"/>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太平镇</w:t>
            </w:r>
          </w:p>
        </w:tc>
        <w:tc>
          <w:tcPr>
            <w:tcW w:w="4812" w:type="dxa"/>
            <w:vAlign w:val="center"/>
          </w:tcPr>
          <w:p>
            <w:pPr>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农业种植生产为主导的农业型镇</w:t>
            </w:r>
          </w:p>
        </w:tc>
      </w:tr>
    </w:tbl>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（2）城镇空间结构</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依据现状空间结构、不同区域的资源禀赋，考虑行政区划和区域协调发展因素，按照产业带动、特色驱动、辐射拉动的思路，形成布局合理、功能鲜明、分类优化、梯次推进的“一核三翼、双轴三区”的城镇空间结构。</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一核：指由广水街道办事处、应山街道办事处、十里街道办事处、城郊街道办事处以及武胜关镇镇区构成的中心城区。</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三翼：以杨寨镇、长岭镇、郝店镇为副中心，作为“两轴”建设的带动者和重要节点，带动周边城镇集群发展。</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人文旅游及工业发展轴：联通郝店镇、蔡河镇、吴店镇，是广水市人文旅游和农副产品加工业的聚集区，广水市新能源产业发展高地。</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生态旅游发展轴：联通马坪镇、长岭镇，是滨水生态休闲旅游的集聚区和区域物流基地。</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三区：指广水市北部山区组成的绿色发展区、中部集中的城镇发展区以及西部以徐家河为依托的生态旅游区。</w:t>
      </w:r>
    </w:p>
    <w:p>
      <w:pPr>
        <w:pStyle w:val="4"/>
        <w:rPr>
          <w:rFonts w:ascii="仿宋" w:hAnsi="仿宋" w:eastAsia="仿宋"/>
          <w:color w:val="000000" w:themeColor="text1"/>
          <w:highlight w:val="none"/>
          <w14:textFill>
            <w14:solidFill>
              <w14:schemeClr w14:val="tx1"/>
            </w14:solidFill>
          </w14:textFill>
        </w:rPr>
      </w:pPr>
      <w:bookmarkStart w:id="35" w:name="_Toc23667"/>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3</w:t>
      </w:r>
      <w:r>
        <w:rPr>
          <w:rFonts w:hint="eastAsia" w:ascii="仿宋" w:hAnsi="仿宋" w:eastAsia="仿宋"/>
          <w:color w:val="000000" w:themeColor="text1"/>
          <w:highlight w:val="none"/>
          <w14:textFill>
            <w14:solidFill>
              <w14:schemeClr w14:val="tx1"/>
            </w14:solidFill>
          </w14:textFill>
        </w:rPr>
        <w:t>节 产业发展布局</w:t>
      </w:r>
      <w:bookmarkEnd w:id="35"/>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（1）主导产业发展方向</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bookmarkStart w:id="36" w:name="_Hlk85017958"/>
      <w:r>
        <w:rPr>
          <w:rFonts w:hint="eastAsia" w:ascii="Times New Roman" w:hAnsi="Times New Roman" w:eastAsia="仿宋" w:cs="Times New Roman"/>
          <w:color w:val="000000" w:themeColor="text1"/>
          <w:highlight w:val="none"/>
          <w14:textFill>
            <w14:solidFill>
              <w14:schemeClr w14:val="tx1"/>
            </w14:solidFill>
          </w14:textFill>
        </w:rPr>
        <w:t>依托特色产业链，培育具有成长力的产业梯队。聚力3大优势产业，提升1个创新产业链。</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3大优势产业</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风机产业。高标准编制风机产业发展规划，加快推进风机产业园建设，引导风机企业向园区集聚、抱团发展，打造全国最大的风机生产基地。</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现代农业。推进农产品加工企业“小进规、规壮大、大变强”，引导龙头企业建立企业集团，打造全省优质农产品加工出口示范基地。</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文旅产业。坚持文旅融合，深度挖掘红色、关寨等历史人文内涵，增强文旅产业的吸引力和美誉度，建设鄂北重要优秀旅游目的地。</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1个创新产业链</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抢抓空降兵军合同战术训练中心全面扩建历史契机，依托国际赛事的影响力，打造军民融合创新产业链，同步发展军事旅游服务业、军需粮食种植加工产业、特种装备制造产业、现代服务产业等。</w:t>
      </w:r>
    </w:p>
    <w:bookmarkEnd w:id="36"/>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（2）产业空间布局</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产业空间布局为：“一心双轴七片多点”。</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一心：即以广水市集中建设区为主体的综合服务中心。</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双轴：包括贯穿广水市东西的现代服务业发展轴和从西北向东南延伸的新型工业发展轴。</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七片：综合服务片区、军民融合及新能源产业片区、工贸及特色农业片区、农业片区、农业及农产品物流片区、生态旅游片区和人文旅游片区。</w:t>
      </w:r>
    </w:p>
    <w:p>
      <w:pPr>
        <w:widowControl/>
        <w:ind w:firstLine="560" w:firstLineChars="200"/>
        <w:jc w:val="left"/>
        <w:rPr>
          <w:rFonts w:hint="eastAsia"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14:textFill>
            <w14:solidFill>
              <w14:schemeClr w14:val="tx1"/>
            </w14:solidFill>
          </w14:textFill>
        </w:rPr>
        <w:t>多点：以现代制造业、节能环保产业为基础的工贸为主的杨寨镇、以农副产品精深加工和新能源产业为主的郝店镇、以商贸物流为特色的关庙镇、以风力发电为主的新能源为主，特色文化为辅的吴店镇。</w:t>
      </w:r>
    </w:p>
    <w:p>
      <w:pPr>
        <w:widowControl/>
        <w:ind w:firstLine="560" w:firstLineChars="200"/>
        <w:jc w:val="left"/>
        <w:rPr>
          <w:rFonts w:hint="eastAsia"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eastAsia="仿宋" w:cs="Times New Roman"/>
          <w:color w:val="000000" w:themeColor="text1"/>
          <w:highlight w:val="none"/>
          <w:lang w:eastAsia="zh-CN"/>
          <w14:textFill>
            <w14:solidFill>
              <w14:schemeClr w14:val="tx1"/>
            </w14:solidFill>
          </w14:textFill>
        </w:rPr>
        <w:t>两集群：即两大工业园区的产业集群—</w:t>
      </w:r>
      <w:r>
        <w:rPr>
          <w:rFonts w:hint="eastAsia" w:ascii="Times New Roman" w:hAnsi="Times New Roman" w:eastAsia="仿宋" w:cs="Times New Roman"/>
          <w:color w:val="000000" w:themeColor="text1"/>
          <w:highlight w:val="none"/>
          <w:lang w:val="en-US" w:eastAsia="zh-CN"/>
          <w14:textFill>
            <w14:solidFill>
              <w14:schemeClr w14:val="tx1"/>
            </w14:solidFill>
          </w14:textFill>
        </w:rPr>
        <w:t>打造以十里工业园、精细化工园为核心的城南经济开发区；打造以广水工业园、武胜关工业园、杨寨镇省级工业园为核心的城东产业集群。</w:t>
      </w:r>
    </w:p>
    <w:p>
      <w:pPr>
        <w:pStyle w:val="3"/>
        <w:pageBreakBefore/>
        <w:rPr>
          <w:rFonts w:ascii="仿宋" w:hAnsi="仿宋" w:eastAsia="仿宋"/>
          <w:color w:val="000000" w:themeColor="text1"/>
          <w:highlight w:val="none"/>
          <w14:textFill>
            <w14:solidFill>
              <w14:schemeClr w14:val="tx1"/>
            </w14:solidFill>
          </w14:textFill>
        </w:rPr>
      </w:pPr>
      <w:bookmarkStart w:id="37" w:name="_Toc27919"/>
      <w:r>
        <w:rPr>
          <w:rFonts w:hint="eastAsia" w:ascii="仿宋" w:hAnsi="仿宋" w:eastAsia="仿宋"/>
          <w:color w:val="000000" w:themeColor="text1"/>
          <w:highlight w:val="none"/>
          <w14:textFill>
            <w14:solidFill>
              <w14:schemeClr w14:val="tx1"/>
            </w14:solidFill>
          </w14:textFill>
        </w:rPr>
        <w:t>第八章 资源保护</w:t>
      </w:r>
      <w:r>
        <w:rPr>
          <w:rFonts w:ascii="仿宋" w:hAnsi="仿宋" w:eastAsia="仿宋"/>
          <w:color w:val="000000" w:themeColor="text1"/>
          <w:highlight w:val="none"/>
          <w14:textFill>
            <w14:solidFill>
              <w14:schemeClr w14:val="tx1"/>
            </w14:solidFill>
          </w14:textFill>
        </w:rPr>
        <w:t>与利用</w:t>
      </w:r>
      <w:bookmarkEnd w:id="37"/>
    </w:p>
    <w:p>
      <w:pPr>
        <w:pStyle w:val="4"/>
        <w:rPr>
          <w:rFonts w:ascii="仿宋" w:hAnsi="仿宋" w:eastAsia="仿宋"/>
          <w:color w:val="000000" w:themeColor="text1"/>
          <w:highlight w:val="none"/>
          <w14:textFill>
            <w14:solidFill>
              <w14:schemeClr w14:val="tx1"/>
            </w14:solidFill>
          </w14:textFill>
        </w:rPr>
      </w:pPr>
      <w:bookmarkStart w:id="38" w:name="_Toc23600"/>
      <w:bookmarkStart w:id="39" w:name="_Toc24737"/>
      <w:r>
        <w:rPr>
          <w:rFonts w:ascii="仿宋" w:hAnsi="仿宋" w:eastAsia="仿宋"/>
          <w:color w:val="000000" w:themeColor="text1"/>
          <w:highlight w:val="none"/>
          <w14:textFill>
            <w14:solidFill>
              <w14:schemeClr w14:val="tx1"/>
            </w14:solidFill>
          </w14:textFill>
        </w:rPr>
        <w:t>第1节 水资源</w:t>
      </w:r>
      <w:bookmarkEnd w:id="38"/>
      <w:bookmarkEnd w:id="39"/>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bookmarkStart w:id="40" w:name="_Toc13689"/>
      <w:bookmarkStart w:id="41" w:name="_Toc21583"/>
      <w:bookmarkStart w:id="42" w:name="_Toc30613"/>
      <w:bookmarkStart w:id="43" w:name="_Toc6865"/>
      <w:bookmarkStart w:id="44" w:name="_Toc14695"/>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1</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落实生态保护红线和湿地目标</w:t>
      </w:r>
      <w:bookmarkEnd w:id="40"/>
      <w:bookmarkEnd w:id="41"/>
      <w:bookmarkEnd w:id="42"/>
      <w:bookmarkEnd w:id="43"/>
      <w:bookmarkEnd w:id="44"/>
    </w:p>
    <w:p>
      <w:pPr>
        <w:ind w:firstLine="560" w:firstLineChars="200"/>
        <w:rPr>
          <w:rFonts w:ascii="Times New Roman" w:hAnsi="Times New Roman" w:eastAsia="仿宋" w:cs="Times New Roman"/>
          <w:color w:val="000000" w:themeColor="text1"/>
          <w:kern w:val="21"/>
          <w:szCs w:val="28"/>
          <w:highlight w:val="none"/>
          <w14:textFill>
            <w14:solidFill>
              <w14:schemeClr w14:val="tx1"/>
            </w14:solidFill>
          </w14:textFill>
        </w:rPr>
      </w:pPr>
      <w:r>
        <w:rPr>
          <w:rFonts w:ascii="Times New Roman" w:hAnsi="Times New Roman" w:eastAsia="仿宋" w:cs="Times New Roman"/>
          <w:color w:val="000000" w:themeColor="text1"/>
          <w:kern w:val="21"/>
          <w:szCs w:val="28"/>
          <w:highlight w:val="none"/>
          <w14:textFill>
            <w14:solidFill>
              <w14:schemeClr w14:val="tx1"/>
            </w14:solidFill>
          </w14:textFill>
        </w:rPr>
        <w:t>按照以水定城、以水定地、以水定人、以水定产原则，落实上级规划指标和要求，确保生态保护目标实现。到 2035年末，全市生态保护红线面积209.50</w:t>
      </w:r>
      <w:r>
        <w:rPr>
          <w:rFonts w:hint="eastAsia" w:ascii="Times New Roman" w:hAnsi="Times New Roman" w:eastAsia="仿宋" w:cs="Times New Roman"/>
          <w:color w:val="000000" w:themeColor="text1"/>
          <w:kern w:val="21"/>
          <w:szCs w:val="28"/>
          <w:highlight w:val="none"/>
          <w14:textFill>
            <w14:solidFill>
              <w14:schemeClr w14:val="tx1"/>
            </w14:solidFill>
          </w14:textFill>
        </w:rPr>
        <w:t>平方公里，</w:t>
      </w:r>
      <w:r>
        <w:rPr>
          <w:rFonts w:ascii="Times New Roman" w:hAnsi="Times New Roman" w:eastAsia="仿宋" w:cs="Times New Roman"/>
          <w:color w:val="000000" w:themeColor="text1"/>
          <w:kern w:val="21"/>
          <w:szCs w:val="28"/>
          <w:highlight w:val="none"/>
          <w14:textFill>
            <w14:solidFill>
              <w14:schemeClr w14:val="tx1"/>
            </w14:solidFill>
          </w14:textFill>
        </w:rPr>
        <w:t>湿地面积2.84</w:t>
      </w:r>
      <w:r>
        <w:rPr>
          <w:rFonts w:hint="eastAsia" w:ascii="Times New Roman" w:hAnsi="Times New Roman" w:eastAsia="仿宋" w:cs="Times New Roman"/>
          <w:color w:val="000000" w:themeColor="text1"/>
          <w:kern w:val="21"/>
          <w:szCs w:val="28"/>
          <w:highlight w:val="none"/>
          <w14:textFill>
            <w14:solidFill>
              <w14:schemeClr w14:val="tx1"/>
            </w14:solidFill>
          </w14:textFill>
        </w:rPr>
        <w:t>平方公里</w:t>
      </w:r>
      <w:r>
        <w:rPr>
          <w:rFonts w:ascii="Times New Roman" w:hAnsi="Times New Roman" w:eastAsia="仿宋" w:cs="Times New Roman"/>
          <w:color w:val="000000" w:themeColor="text1"/>
          <w:kern w:val="21"/>
          <w:szCs w:val="28"/>
          <w:highlight w:val="none"/>
          <w14:textFill>
            <w14:solidFill>
              <w14:schemeClr w14:val="tx1"/>
            </w14:solidFill>
          </w14:textFill>
        </w:rPr>
        <w:t>。</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bookmarkStart w:id="45" w:name="_Toc5087"/>
      <w:bookmarkStart w:id="46" w:name="_Toc22037"/>
      <w:bookmarkStart w:id="47" w:name="_Toc25844"/>
      <w:bookmarkStart w:id="48" w:name="_Toc7579"/>
      <w:bookmarkStart w:id="49" w:name="_Toc16388"/>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2</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用水结构优化</w:t>
      </w:r>
      <w:bookmarkEnd w:id="45"/>
      <w:bookmarkEnd w:id="46"/>
      <w:bookmarkEnd w:id="47"/>
      <w:bookmarkEnd w:id="48"/>
      <w:bookmarkEnd w:id="49"/>
    </w:p>
    <w:p>
      <w:pPr>
        <w:ind w:firstLine="560" w:firstLineChars="200"/>
        <w:rPr>
          <w:rFonts w:ascii="Times New Roman" w:hAnsi="Times New Roman" w:eastAsia="仿宋" w:cs="Times New Roman"/>
          <w:color w:val="000000" w:themeColor="text1"/>
          <w:kern w:val="21"/>
          <w:szCs w:val="28"/>
          <w:highlight w:val="none"/>
          <w14:textFill>
            <w14:solidFill>
              <w14:schemeClr w14:val="tx1"/>
            </w14:solidFill>
          </w14:textFill>
        </w:rPr>
      </w:pPr>
      <w:r>
        <w:rPr>
          <w:rFonts w:ascii="Times New Roman" w:hAnsi="Times New Roman" w:eastAsia="仿宋" w:cs="Times New Roman"/>
          <w:color w:val="000000" w:themeColor="text1"/>
          <w:kern w:val="21"/>
          <w:szCs w:val="28"/>
          <w:highlight w:val="none"/>
          <w14:textFill>
            <w14:solidFill>
              <w14:schemeClr w14:val="tx1"/>
            </w14:solidFill>
          </w14:textFill>
        </w:rPr>
        <w:t>根据规划期间广水市产业结构调整，合理优化广水市用水结构。</w:t>
      </w:r>
    </w:p>
    <w:p>
      <w:pPr>
        <w:rPr>
          <w:rFonts w:ascii="Times New Roman" w:hAnsi="Times New Roman" w:eastAsia="仿宋" w:cs="Times New Roman"/>
          <w:color w:val="000000" w:themeColor="text1"/>
          <w:kern w:val="21"/>
          <w:szCs w:val="28"/>
          <w:highlight w:val="none"/>
          <w14:textFill>
            <w14:solidFill>
              <w14:schemeClr w14:val="tx1"/>
            </w14:solidFill>
          </w14:textFill>
        </w:rPr>
      </w:pPr>
      <w:r>
        <w:rPr>
          <w:rFonts w:ascii="Times New Roman" w:hAnsi="Times New Roman" w:eastAsia="仿宋" w:cs="Times New Roman"/>
          <w:color w:val="000000" w:themeColor="text1"/>
          <w:kern w:val="21"/>
          <w:szCs w:val="28"/>
          <w:highlight w:val="none"/>
          <w14:textFill>
            <w14:solidFill>
              <w14:schemeClr w14:val="tx1"/>
            </w14:solidFill>
          </w14:textFill>
        </w:rPr>
        <w:t>至2035年，广水市农业用水、生活用水、工业用水调整为：70.16：24.61：5.23。</w:t>
      </w:r>
    </w:p>
    <w:p>
      <w:pPr>
        <w:pStyle w:val="21"/>
        <w:numPr>
          <w:ilvl w:val="0"/>
          <w:numId w:val="0"/>
        </w:numPr>
        <w:tabs>
          <w:tab w:val="left" w:pos="1168"/>
        </w:tabs>
        <w:ind w:leftChars="200"/>
        <w:rPr>
          <w:rFonts w:ascii="仿宋" w:hAnsi="仿宋" w:eastAsia="仿宋"/>
          <w:b/>
          <w:bCs/>
          <w:color w:val="000000" w:themeColor="text1"/>
          <w:highlight w:val="none"/>
          <w14:textFill>
            <w14:solidFill>
              <w14:schemeClr w14:val="tx1"/>
            </w14:solidFill>
          </w14:textFill>
        </w:rPr>
      </w:pPr>
      <w:bookmarkStart w:id="50" w:name="_Toc24613"/>
      <w:bookmarkStart w:id="51" w:name="_Toc11624"/>
      <w:bookmarkStart w:id="52" w:name="_Toc26094"/>
      <w:bookmarkStart w:id="53" w:name="_Toc24108"/>
      <w:bookmarkStart w:id="54" w:name="_Toc29098"/>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3</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加强水资源保护</w:t>
      </w:r>
      <w:bookmarkEnd w:id="50"/>
      <w:bookmarkEnd w:id="51"/>
      <w:bookmarkEnd w:id="52"/>
      <w:bookmarkEnd w:id="53"/>
      <w:bookmarkEnd w:id="54"/>
    </w:p>
    <w:p>
      <w:pPr>
        <w:ind w:firstLine="560" w:firstLineChars="200"/>
        <w:rPr>
          <w:rFonts w:ascii="Times New Roman" w:hAnsi="Times New Roman" w:eastAsia="仿宋" w:cs="Times New Roman"/>
          <w:color w:val="000000" w:themeColor="text1"/>
          <w:kern w:val="21"/>
          <w:szCs w:val="28"/>
          <w:highlight w:val="none"/>
          <w14:textFill>
            <w14:solidFill>
              <w14:schemeClr w14:val="tx1"/>
            </w14:solidFill>
          </w14:textFill>
        </w:rPr>
      </w:pPr>
      <w:r>
        <w:rPr>
          <w:rFonts w:ascii="Times New Roman" w:hAnsi="Times New Roman" w:eastAsia="仿宋" w:cs="Times New Roman"/>
          <w:color w:val="000000" w:themeColor="text1"/>
          <w:kern w:val="21"/>
          <w:szCs w:val="28"/>
          <w:highlight w:val="none"/>
          <w14:textFill>
            <w14:solidFill>
              <w14:schemeClr w14:val="tx1"/>
            </w14:solidFill>
          </w14:textFill>
        </w:rPr>
        <w:t>根据《广水市集中式饮用水水源保护管理办法》，严格执行饮用水源地管护。同时，将广水市花山水库、飞沙河水库、黑洞湾水库、</w:t>
      </w:r>
      <w:r>
        <w:rPr>
          <w:rFonts w:hint="eastAsia" w:ascii="Times New Roman" w:hAnsi="Times New Roman" w:eastAsia="仿宋" w:cs="Times New Roman"/>
          <w:color w:val="000000" w:themeColor="text1"/>
          <w:kern w:val="21"/>
          <w:szCs w:val="28"/>
          <w:highlight w:val="none"/>
          <w14:textFill>
            <w14:solidFill>
              <w14:schemeClr w14:val="tx1"/>
            </w14:solidFill>
          </w14:textFill>
        </w:rPr>
        <w:t>许家冲水库、高峰寺水库、</w:t>
      </w:r>
      <w:r>
        <w:rPr>
          <w:rFonts w:ascii="Times New Roman" w:hAnsi="Times New Roman" w:eastAsia="仿宋" w:cs="Times New Roman"/>
          <w:color w:val="000000" w:themeColor="text1"/>
          <w:kern w:val="21"/>
          <w:szCs w:val="28"/>
          <w:highlight w:val="none"/>
          <w14:textFill>
            <w14:solidFill>
              <w14:schemeClr w14:val="tx1"/>
            </w14:solidFill>
          </w14:textFill>
        </w:rPr>
        <w:t>霞家河水库、先觉庙水库、湖北广水徐家河湿地自然公园，纳入生态保护红线，按照生态保护红线管控要求进行保护，执行生态保护红线管控要求。</w:t>
      </w:r>
    </w:p>
    <w:p>
      <w:pPr>
        <w:pStyle w:val="4"/>
        <w:rPr>
          <w:rFonts w:ascii="仿宋" w:hAnsi="仿宋" w:eastAsia="仿宋"/>
          <w:color w:val="000000" w:themeColor="text1"/>
          <w:highlight w:val="none"/>
          <w14:textFill>
            <w14:solidFill>
              <w14:schemeClr w14:val="tx1"/>
            </w14:solidFill>
          </w14:textFill>
        </w:rPr>
      </w:pPr>
      <w:bookmarkStart w:id="55" w:name="_Toc16365"/>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2</w:t>
      </w:r>
      <w:r>
        <w:rPr>
          <w:rFonts w:hint="eastAsia" w:ascii="仿宋" w:hAnsi="仿宋" w:eastAsia="仿宋"/>
          <w:color w:val="000000" w:themeColor="text1"/>
          <w:highlight w:val="none"/>
          <w14:textFill>
            <w14:solidFill>
              <w14:schemeClr w14:val="tx1"/>
            </w14:solidFill>
          </w14:textFill>
        </w:rPr>
        <w:t>节 耕地资源</w:t>
      </w:r>
      <w:bookmarkEnd w:id="55"/>
    </w:p>
    <w:p>
      <w:pPr>
        <w:pStyle w:val="21"/>
        <w:numPr>
          <w:ilvl w:val="0"/>
          <w:numId w:val="0"/>
        </w:numPr>
        <w:tabs>
          <w:tab w:val="left" w:pos="1140"/>
        </w:tabs>
        <w:ind w:leftChars="200"/>
        <w:rPr>
          <w:rFonts w:ascii="仿宋" w:hAnsi="仿宋" w:eastAsia="仿宋"/>
          <w:b/>
          <w:bCs/>
          <w:color w:val="000000" w:themeColor="text1"/>
          <w:highlight w:val="none"/>
          <w14:textFill>
            <w14:solidFill>
              <w14:schemeClr w14:val="tx1"/>
            </w14:solidFill>
          </w14:textFill>
        </w:rPr>
      </w:pPr>
      <w:bookmarkStart w:id="56" w:name="_Toc20681"/>
      <w:bookmarkStart w:id="57" w:name="_Toc1849"/>
      <w:bookmarkStart w:id="58" w:name="_Toc15056"/>
      <w:bookmarkStart w:id="59" w:name="_Toc26832"/>
      <w:bookmarkStart w:id="60" w:name="_Toc15918"/>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1</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确保实现耕地保有量目标</w:t>
      </w:r>
      <w:bookmarkEnd w:id="56"/>
      <w:bookmarkEnd w:id="57"/>
      <w:bookmarkEnd w:id="58"/>
      <w:bookmarkEnd w:id="59"/>
      <w:bookmarkEnd w:id="60"/>
      <w:r>
        <w:rPr>
          <w:rFonts w:ascii="仿宋" w:hAnsi="仿宋" w:eastAsia="仿宋"/>
          <w:b/>
          <w:bCs/>
          <w:color w:val="000000" w:themeColor="text1"/>
          <w:highlight w:val="none"/>
          <w14:textFill>
            <w14:solidFill>
              <w14:schemeClr w14:val="tx1"/>
            </w14:solidFill>
          </w14:textFill>
        </w:rPr>
        <w:t xml:space="preserve"> </w:t>
      </w:r>
    </w:p>
    <w:p>
      <w:pPr>
        <w:widowControl/>
        <w:ind w:firstLine="560" w:firstLineChars="200"/>
        <w:rPr>
          <w:rFonts w:ascii="Times New Roman" w:hAnsi="Times New Roman" w:eastAsia="仿宋" w:cs="Times New Roman"/>
          <w:color w:val="000000" w:themeColor="text1"/>
          <w:kern w:val="21"/>
          <w:szCs w:val="28"/>
          <w:highlight w:val="none"/>
          <w14:textFill>
            <w14:solidFill>
              <w14:schemeClr w14:val="tx1"/>
            </w14:solidFill>
          </w14:textFill>
        </w:rPr>
      </w:pPr>
      <w:r>
        <w:rPr>
          <w:rFonts w:ascii="Times New Roman" w:hAnsi="Times New Roman" w:eastAsia="仿宋" w:cs="Times New Roman"/>
          <w:color w:val="000000" w:themeColor="text1"/>
          <w:kern w:val="21"/>
          <w:szCs w:val="28"/>
          <w:highlight w:val="none"/>
          <w14:textFill>
            <w14:solidFill>
              <w14:schemeClr w14:val="tx1"/>
            </w14:solidFill>
          </w14:textFill>
        </w:rPr>
        <w:t>从严格控制耕地减少和加大耕地补充力度两方面强化耕地保护，确保规划确定的耕地保有量不低于上级下达的控制指标，确保耕地保有量目标实现。规划至2035年，全市因建设占用、农业结构调整、灾毁等原因减少耕地50.88</w:t>
      </w:r>
      <w:r>
        <w:rPr>
          <w:rFonts w:hint="eastAsia" w:ascii="Times New Roman" w:hAnsi="Times New Roman" w:eastAsia="仿宋" w:cs="Times New Roman"/>
          <w:color w:val="000000" w:themeColor="text1"/>
          <w:kern w:val="21"/>
          <w:szCs w:val="28"/>
          <w:highlight w:val="none"/>
          <w14:textFill>
            <w14:solidFill>
              <w14:schemeClr w14:val="tx1"/>
            </w14:solidFill>
          </w14:textFill>
        </w:rPr>
        <w:t>平方公里</w:t>
      </w:r>
      <w:r>
        <w:rPr>
          <w:rFonts w:ascii="Times New Roman" w:hAnsi="Times New Roman" w:eastAsia="仿宋" w:cs="Times New Roman"/>
          <w:color w:val="000000" w:themeColor="text1"/>
          <w:kern w:val="21"/>
          <w:szCs w:val="28"/>
          <w:highlight w:val="none"/>
          <w14:textFill>
            <w14:solidFill>
              <w14:schemeClr w14:val="tx1"/>
            </w14:solidFill>
          </w14:textFill>
        </w:rPr>
        <w:t>，同期通过开发复垦整理补充耕地49.12</w:t>
      </w:r>
      <w:r>
        <w:rPr>
          <w:rFonts w:hint="eastAsia" w:ascii="Times New Roman" w:hAnsi="Times New Roman" w:eastAsia="仿宋" w:cs="Times New Roman"/>
          <w:color w:val="000000" w:themeColor="text1"/>
          <w:kern w:val="21"/>
          <w:szCs w:val="28"/>
          <w:highlight w:val="none"/>
          <w14:textFill>
            <w14:solidFill>
              <w14:schemeClr w14:val="tx1"/>
            </w14:solidFill>
          </w14:textFill>
        </w:rPr>
        <w:t>平方公里</w:t>
      </w:r>
      <w:r>
        <w:rPr>
          <w:rFonts w:ascii="Times New Roman" w:hAnsi="Times New Roman" w:eastAsia="仿宋" w:cs="Times New Roman"/>
          <w:color w:val="000000" w:themeColor="text1"/>
          <w:kern w:val="21"/>
          <w:szCs w:val="28"/>
          <w:highlight w:val="none"/>
          <w14:textFill>
            <w14:solidFill>
              <w14:schemeClr w14:val="tx1"/>
            </w14:solidFill>
          </w14:textFill>
        </w:rPr>
        <w:t>，到 2035年末，全市耕地保有量达到755.42</w:t>
      </w:r>
      <w:r>
        <w:rPr>
          <w:rFonts w:hint="eastAsia" w:ascii="Times New Roman" w:hAnsi="Times New Roman" w:eastAsia="仿宋" w:cs="Times New Roman"/>
          <w:color w:val="000000" w:themeColor="text1"/>
          <w:kern w:val="21"/>
          <w:szCs w:val="28"/>
          <w:highlight w:val="none"/>
          <w14:textFill>
            <w14:solidFill>
              <w14:schemeClr w14:val="tx1"/>
            </w14:solidFill>
          </w14:textFill>
        </w:rPr>
        <w:t>平方公里</w:t>
      </w:r>
      <w:r>
        <w:rPr>
          <w:rFonts w:ascii="Times New Roman" w:hAnsi="Times New Roman" w:eastAsia="仿宋" w:cs="Times New Roman"/>
          <w:color w:val="000000" w:themeColor="text1"/>
          <w:kern w:val="21"/>
          <w:szCs w:val="28"/>
          <w:highlight w:val="none"/>
          <w14:textFill>
            <w14:solidFill>
              <w14:schemeClr w14:val="tx1"/>
            </w14:solidFill>
          </w14:textFill>
        </w:rPr>
        <w:t>。</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bookmarkStart w:id="61" w:name="_Toc3591"/>
      <w:bookmarkStart w:id="62" w:name="_Toc24238"/>
      <w:bookmarkStart w:id="63" w:name="_Toc20590"/>
      <w:bookmarkStart w:id="64" w:name="_Toc12871"/>
      <w:bookmarkStart w:id="65" w:name="_Toc7167"/>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2</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严格控制耕地减少</w:t>
      </w:r>
      <w:bookmarkEnd w:id="61"/>
      <w:bookmarkEnd w:id="62"/>
      <w:bookmarkEnd w:id="63"/>
      <w:bookmarkEnd w:id="64"/>
      <w:bookmarkEnd w:id="65"/>
      <w:r>
        <w:rPr>
          <w:rFonts w:ascii="仿宋" w:hAnsi="仿宋" w:eastAsia="仿宋"/>
          <w:b/>
          <w:bCs/>
          <w:color w:val="000000" w:themeColor="text1"/>
          <w:highlight w:val="none"/>
          <w14:textFill>
            <w14:solidFill>
              <w14:schemeClr w14:val="tx1"/>
            </w14:solidFill>
          </w14:textFill>
        </w:rPr>
        <w:t xml:space="preserve"> </w:t>
      </w:r>
    </w:p>
    <w:p>
      <w:pPr>
        <w:widowControl/>
        <w:ind w:firstLine="560" w:firstLineChars="200"/>
        <w:rPr>
          <w:rFonts w:ascii="Times New Roman" w:hAnsi="Times New Roman" w:eastAsia="仿宋" w:cs="Times New Roman"/>
          <w:color w:val="000000" w:themeColor="text1"/>
          <w:kern w:val="21"/>
          <w:szCs w:val="28"/>
          <w:highlight w:val="none"/>
          <w14:textFill>
            <w14:solidFill>
              <w14:schemeClr w14:val="tx1"/>
            </w14:solidFill>
          </w14:textFill>
        </w:rPr>
      </w:pPr>
      <w:r>
        <w:rPr>
          <w:rFonts w:ascii="Times New Roman" w:hAnsi="Times New Roman" w:eastAsia="仿宋" w:cs="Times New Roman"/>
          <w:color w:val="000000" w:themeColor="text1"/>
          <w:kern w:val="21"/>
          <w:szCs w:val="28"/>
          <w:highlight w:val="none"/>
          <w14:textFill>
            <w14:solidFill>
              <w14:schemeClr w14:val="tx1"/>
            </w14:solidFill>
          </w14:textFill>
        </w:rPr>
        <w:t>强化对各项非农建设占用耕地的控制。将减少耕地占用作为建设项目选址和方案评选的重要因素，引导非农建设尽量少占或不占耕地，鼓励利用废弃地、劣地和未利用地。到 2035年，非农建设占用耕地控制在40</w:t>
      </w:r>
      <w:r>
        <w:rPr>
          <w:rFonts w:hint="eastAsia" w:ascii="Times New Roman" w:hAnsi="Times New Roman" w:eastAsia="仿宋" w:cs="Times New Roman"/>
          <w:color w:val="000000" w:themeColor="text1"/>
          <w:kern w:val="21"/>
          <w:szCs w:val="28"/>
          <w:highlight w:val="none"/>
          <w14:textFill>
            <w14:solidFill>
              <w14:schemeClr w14:val="tx1"/>
            </w14:solidFill>
          </w14:textFill>
        </w:rPr>
        <w:t>平方公里</w:t>
      </w:r>
      <w:r>
        <w:rPr>
          <w:rFonts w:ascii="Times New Roman" w:hAnsi="Times New Roman" w:eastAsia="仿宋" w:cs="Times New Roman"/>
          <w:color w:val="000000" w:themeColor="text1"/>
          <w:kern w:val="21"/>
          <w:szCs w:val="28"/>
          <w:highlight w:val="none"/>
          <w14:textFill>
            <w14:solidFill>
              <w14:schemeClr w14:val="tx1"/>
            </w14:solidFill>
          </w14:textFill>
        </w:rPr>
        <w:t>以内。</w:t>
      </w:r>
    </w:p>
    <w:p>
      <w:pPr>
        <w:widowControl/>
        <w:ind w:firstLine="560" w:firstLineChars="200"/>
        <w:rPr>
          <w:rFonts w:ascii="Times New Roman" w:hAnsi="Times New Roman" w:eastAsia="仿宋" w:cs="Times New Roman"/>
          <w:color w:val="000000" w:themeColor="text1"/>
          <w:kern w:val="21"/>
          <w:szCs w:val="28"/>
          <w:highlight w:val="none"/>
          <w14:textFill>
            <w14:solidFill>
              <w14:schemeClr w14:val="tx1"/>
            </w14:solidFill>
          </w14:textFill>
        </w:rPr>
      </w:pPr>
      <w:r>
        <w:rPr>
          <w:rFonts w:ascii="Times New Roman" w:hAnsi="Times New Roman" w:eastAsia="仿宋" w:cs="Times New Roman"/>
          <w:color w:val="000000" w:themeColor="text1"/>
          <w:kern w:val="21"/>
          <w:szCs w:val="28"/>
          <w:highlight w:val="none"/>
          <w14:textFill>
            <w14:solidFill>
              <w14:schemeClr w14:val="tx1"/>
            </w14:solidFill>
          </w14:textFill>
        </w:rPr>
        <w:t>强化耕地用途管制和农业结构调整管理。引导在种植业内部进行农业结构调整，鼓励通过耕地种植结构调整以适应满足市场和保护耕地的双重需要，确保农业结构调整不破坏土地耕作层，不因农业结构调整降低耕地保有量。通过经济补偿机制、市场手段，提高耕地利用的比较效益，引导农业结构调整向不减少耕地甚至增加耕地的方向发展。到 2035年，全市因农业结构调整减少耕地控制在10</w:t>
      </w:r>
      <w:r>
        <w:rPr>
          <w:rFonts w:hint="eastAsia" w:ascii="Times New Roman" w:hAnsi="Times New Roman" w:eastAsia="仿宋" w:cs="Times New Roman"/>
          <w:color w:val="000000" w:themeColor="text1"/>
          <w:kern w:val="21"/>
          <w:szCs w:val="28"/>
          <w:highlight w:val="none"/>
          <w14:textFill>
            <w14:solidFill>
              <w14:schemeClr w14:val="tx1"/>
            </w14:solidFill>
          </w14:textFill>
        </w:rPr>
        <w:t>平方公里</w:t>
      </w:r>
      <w:r>
        <w:rPr>
          <w:rFonts w:ascii="Times New Roman" w:hAnsi="Times New Roman" w:eastAsia="仿宋" w:cs="Times New Roman"/>
          <w:color w:val="000000" w:themeColor="text1"/>
          <w:kern w:val="21"/>
          <w:szCs w:val="28"/>
          <w:highlight w:val="none"/>
          <w14:textFill>
            <w14:solidFill>
              <w14:schemeClr w14:val="tx1"/>
            </w14:solidFill>
          </w14:textFill>
        </w:rPr>
        <w:t xml:space="preserve">以内。 </w:t>
      </w:r>
    </w:p>
    <w:p>
      <w:pPr>
        <w:pStyle w:val="21"/>
        <w:numPr>
          <w:ilvl w:val="0"/>
          <w:numId w:val="0"/>
        </w:numPr>
        <w:tabs>
          <w:tab w:val="left" w:pos="1140"/>
        </w:tabs>
        <w:ind w:leftChars="200"/>
        <w:rPr>
          <w:rFonts w:ascii="仿宋" w:hAnsi="仿宋" w:eastAsia="仿宋"/>
          <w:b/>
          <w:bCs/>
          <w:color w:val="000000" w:themeColor="text1"/>
          <w:highlight w:val="none"/>
          <w14:textFill>
            <w14:solidFill>
              <w14:schemeClr w14:val="tx1"/>
            </w14:solidFill>
          </w14:textFill>
        </w:rPr>
      </w:pPr>
      <w:bookmarkStart w:id="66" w:name="_Toc21370"/>
      <w:bookmarkStart w:id="67" w:name="_Toc31531"/>
      <w:bookmarkStart w:id="68" w:name="_Toc10325"/>
      <w:bookmarkStart w:id="69" w:name="_Toc8912"/>
      <w:bookmarkStart w:id="70" w:name="_Toc13522"/>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3</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加大耕地补充力度</w:t>
      </w:r>
      <w:bookmarkEnd w:id="66"/>
      <w:bookmarkEnd w:id="67"/>
      <w:bookmarkEnd w:id="68"/>
      <w:bookmarkEnd w:id="69"/>
      <w:bookmarkEnd w:id="70"/>
      <w:r>
        <w:rPr>
          <w:rFonts w:ascii="仿宋" w:hAnsi="仿宋" w:eastAsia="仿宋"/>
          <w:b/>
          <w:bCs/>
          <w:color w:val="000000" w:themeColor="text1"/>
          <w:highlight w:val="none"/>
          <w14:textFill>
            <w14:solidFill>
              <w14:schemeClr w14:val="tx1"/>
            </w14:solidFill>
          </w14:textFill>
        </w:rPr>
        <w:t xml:space="preserve"> </w:t>
      </w:r>
      <w:r>
        <w:rPr>
          <w:rFonts w:ascii="仿宋" w:hAnsi="仿宋" w:eastAsia="仿宋"/>
          <w:b/>
          <w:bCs/>
          <w:color w:val="000000" w:themeColor="text1"/>
          <w:highlight w:val="none"/>
          <w14:textFill>
            <w14:solidFill>
              <w14:schemeClr w14:val="tx1"/>
            </w14:solidFill>
          </w14:textFill>
        </w:rPr>
        <w:tab/>
      </w:r>
      <w:r>
        <w:rPr>
          <w:rFonts w:ascii="仿宋" w:hAnsi="仿宋" w:eastAsia="仿宋"/>
          <w:b/>
          <w:bCs/>
          <w:color w:val="000000" w:themeColor="text1"/>
          <w:highlight w:val="none"/>
          <w14:textFill>
            <w14:solidFill>
              <w14:schemeClr w14:val="tx1"/>
            </w14:solidFill>
          </w14:textFill>
        </w:rPr>
        <w:t xml:space="preserve"> </w:t>
      </w:r>
    </w:p>
    <w:p>
      <w:pPr>
        <w:widowControl/>
        <w:ind w:firstLine="560" w:firstLineChars="200"/>
        <w:rPr>
          <w:rFonts w:ascii="Times New Roman" w:hAnsi="Times New Roman" w:eastAsia="仿宋" w:cs="Times New Roman"/>
          <w:color w:val="000000" w:themeColor="text1"/>
          <w:kern w:val="21"/>
          <w:szCs w:val="28"/>
          <w:highlight w:val="none"/>
          <w14:textFill>
            <w14:solidFill>
              <w14:schemeClr w14:val="tx1"/>
            </w14:solidFill>
          </w14:textFill>
        </w:rPr>
      </w:pPr>
      <w:r>
        <w:rPr>
          <w:rFonts w:ascii="Times New Roman" w:hAnsi="Times New Roman" w:eastAsia="仿宋" w:cs="Times New Roman"/>
          <w:color w:val="000000" w:themeColor="text1"/>
          <w:kern w:val="21"/>
          <w:szCs w:val="28"/>
          <w:highlight w:val="none"/>
          <w14:textFill>
            <w14:solidFill>
              <w14:schemeClr w14:val="tx1"/>
            </w14:solidFill>
          </w14:textFill>
        </w:rPr>
        <w:t>严格执行耕地占补平衡制度。按照建设占用耕地占补平衡的要求，建立补充耕地常规化储备制度，实行耕地先补后占。逐步加大土地开发整理力度，实现建设占用耕地的占补平衡。加强对占用和补充耕地的评价，从数量和质量两方面严格考核耕地占补平衡，对补充耕地质量未达到占用耕地质量的，按照质量折算增加补充耕地面积。到 2035年，全市通过土地开发、复垦、整理补充耕地49.12</w:t>
      </w:r>
      <w:r>
        <w:rPr>
          <w:rFonts w:hint="eastAsia" w:ascii="Times New Roman" w:hAnsi="Times New Roman" w:eastAsia="仿宋" w:cs="Times New Roman"/>
          <w:color w:val="000000" w:themeColor="text1"/>
          <w:kern w:val="21"/>
          <w:szCs w:val="28"/>
          <w:highlight w:val="none"/>
          <w14:textFill>
            <w14:solidFill>
              <w14:schemeClr w14:val="tx1"/>
            </w14:solidFill>
          </w14:textFill>
        </w:rPr>
        <w:t>平方公里</w:t>
      </w:r>
      <w:r>
        <w:rPr>
          <w:rFonts w:ascii="Times New Roman" w:hAnsi="Times New Roman" w:eastAsia="仿宋" w:cs="Times New Roman"/>
          <w:color w:val="000000" w:themeColor="text1"/>
          <w:kern w:val="21"/>
          <w:szCs w:val="28"/>
          <w:highlight w:val="none"/>
          <w14:textFill>
            <w14:solidFill>
              <w14:schemeClr w14:val="tx1"/>
            </w14:solidFill>
          </w14:textFill>
        </w:rPr>
        <w:t xml:space="preserve">。 </w:t>
      </w:r>
    </w:p>
    <w:p>
      <w:pPr>
        <w:widowControl/>
        <w:ind w:firstLine="560" w:firstLineChars="200"/>
        <w:rPr>
          <w:rFonts w:ascii="Times New Roman" w:hAnsi="Times New Roman" w:eastAsia="仿宋" w:cs="Times New Roman"/>
          <w:color w:val="000000" w:themeColor="text1"/>
          <w:kern w:val="21"/>
          <w:szCs w:val="28"/>
          <w:highlight w:val="none"/>
          <w14:textFill>
            <w14:solidFill>
              <w14:schemeClr w14:val="tx1"/>
            </w14:solidFill>
          </w14:textFill>
        </w:rPr>
      </w:pPr>
      <w:r>
        <w:rPr>
          <w:rFonts w:ascii="Times New Roman" w:hAnsi="Times New Roman" w:eastAsia="仿宋" w:cs="Times New Roman"/>
          <w:color w:val="000000" w:themeColor="text1"/>
          <w:kern w:val="21"/>
          <w:szCs w:val="28"/>
          <w:highlight w:val="none"/>
          <w14:textFill>
            <w14:solidFill>
              <w14:schemeClr w14:val="tx1"/>
            </w14:solidFill>
          </w14:textFill>
        </w:rPr>
        <w:t>确保补充耕地质量不降低。通过科学规范设计、提高工程质量标准、土壤改良等措施，确保土地开发整理复垦项目新增耕地质量不低于占用耕地质量。鼓励剥离建设占用耕地的耕作层，并在符合水土保持要求前提下，用于新开垦耕地和基本农田建设。</w:t>
      </w:r>
    </w:p>
    <w:p>
      <w:pPr>
        <w:pStyle w:val="4"/>
        <w:rPr>
          <w:rFonts w:ascii="仿宋" w:hAnsi="仿宋" w:eastAsia="仿宋"/>
          <w:color w:val="000000" w:themeColor="text1"/>
          <w:highlight w:val="none"/>
          <w14:textFill>
            <w14:solidFill>
              <w14:schemeClr w14:val="tx1"/>
            </w14:solidFill>
          </w14:textFill>
        </w:rPr>
      </w:pPr>
      <w:bookmarkStart w:id="71" w:name="_Toc13308"/>
      <w:bookmarkStart w:id="72" w:name="_Toc13685"/>
      <w:r>
        <w:rPr>
          <w:rFonts w:ascii="仿宋" w:hAnsi="仿宋" w:eastAsia="仿宋"/>
          <w:color w:val="000000" w:themeColor="text1"/>
          <w:highlight w:val="none"/>
          <w14:textFill>
            <w14:solidFill>
              <w14:schemeClr w14:val="tx1"/>
            </w14:solidFill>
          </w14:textFill>
        </w:rPr>
        <w:t xml:space="preserve">第3节 </w:t>
      </w:r>
      <w:bookmarkEnd w:id="71"/>
      <w:r>
        <w:rPr>
          <w:rFonts w:hint="eastAsia" w:ascii="仿宋" w:hAnsi="仿宋" w:eastAsia="仿宋"/>
          <w:color w:val="000000" w:themeColor="text1"/>
          <w:highlight w:val="none"/>
          <w14:textFill>
            <w14:solidFill>
              <w14:schemeClr w14:val="tx1"/>
            </w14:solidFill>
          </w14:textFill>
        </w:rPr>
        <w:t>林草资源</w:t>
      </w:r>
      <w:bookmarkEnd w:id="72"/>
    </w:p>
    <w:p>
      <w:pPr>
        <w:pStyle w:val="21"/>
        <w:numPr>
          <w:ilvl w:val="0"/>
          <w:numId w:val="0"/>
        </w:numPr>
        <w:tabs>
          <w:tab w:val="left" w:pos="1140"/>
        </w:tabs>
        <w:ind w:leftChars="200"/>
        <w:rPr>
          <w:rFonts w:ascii="仿宋" w:hAnsi="仿宋" w:eastAsia="仿宋"/>
          <w:b/>
          <w:bCs/>
          <w:color w:val="000000" w:themeColor="text1"/>
          <w:highlight w:val="none"/>
          <w14:textFill>
            <w14:solidFill>
              <w14:schemeClr w14:val="tx1"/>
            </w14:solidFill>
          </w14:textFill>
        </w:rPr>
      </w:pPr>
      <w:bookmarkStart w:id="73" w:name="_Toc21017"/>
      <w:bookmarkStart w:id="74" w:name="_Toc16489"/>
      <w:bookmarkStart w:id="75" w:name="_Toc23632"/>
      <w:bookmarkStart w:id="76" w:name="_Toc20962"/>
      <w:bookmarkStart w:id="77" w:name="_Toc21634"/>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1</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落实林地保有量目标</w:t>
      </w:r>
      <w:bookmarkEnd w:id="73"/>
      <w:bookmarkEnd w:id="74"/>
      <w:bookmarkEnd w:id="75"/>
      <w:bookmarkEnd w:id="76"/>
      <w:bookmarkEnd w:id="77"/>
      <w:r>
        <w:rPr>
          <w:rFonts w:ascii="仿宋" w:hAnsi="仿宋" w:eastAsia="仿宋"/>
          <w:b/>
          <w:bCs/>
          <w:color w:val="000000" w:themeColor="text1"/>
          <w:highlight w:val="none"/>
          <w14:textFill>
            <w14:solidFill>
              <w14:schemeClr w14:val="tx1"/>
            </w14:solidFill>
          </w14:textFill>
        </w:rPr>
        <w:t xml:space="preserve"> </w:t>
      </w:r>
    </w:p>
    <w:p>
      <w:pPr>
        <w:ind w:firstLine="560" w:firstLineChars="200"/>
        <w:rPr>
          <w:rFonts w:ascii="仿宋" w:hAnsi="仿宋" w:eastAsia="仿宋" w:cs="Times New Roman"/>
          <w:color w:val="000000" w:themeColor="text1"/>
          <w:kern w:val="21"/>
          <w:szCs w:val="20"/>
          <w:highlight w:val="none"/>
          <w:shd w:val="clear" w:color="auto" w:fill="FFFFFF"/>
          <w14:textFill>
            <w14:solidFill>
              <w14:schemeClr w14:val="tx1"/>
            </w14:solidFill>
          </w14:textFill>
        </w:rPr>
      </w:pPr>
      <w:r>
        <w:rPr>
          <w:rFonts w:ascii="仿宋" w:hAnsi="仿宋" w:eastAsia="仿宋" w:cs="Times New Roman"/>
          <w:color w:val="000000" w:themeColor="text1"/>
          <w:kern w:val="21"/>
          <w:szCs w:val="20"/>
          <w:highlight w:val="none"/>
          <w:shd w:val="clear" w:color="auto" w:fill="FFFFFF"/>
          <w14:textFill>
            <w14:solidFill>
              <w14:schemeClr w14:val="tx1"/>
            </w14:solidFill>
          </w14:textFill>
        </w:rPr>
        <w:t>为贯彻落实国务院提出“要把林地与耕地放在同等重要的位置，高度重视林地保护”和“十分珍惜、合理利用土地”的基本国策，科学、高效、合理利用林地资源，保障社会经济的可持续发展，必须从空间上和时间上对林地资源的保护、利用和开发做出总体安排，落实上级下达广水市林地保有量指标。至2035年广水市林地保有量面积1129.98</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bookmarkStart w:id="78" w:name="_Toc637"/>
      <w:bookmarkStart w:id="79" w:name="_Toc18867"/>
      <w:bookmarkStart w:id="80" w:name="_Toc13283"/>
      <w:bookmarkStart w:id="81" w:name="_Toc15755"/>
      <w:bookmarkStart w:id="82" w:name="_Toc20167"/>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2</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划定集中保护区</w:t>
      </w:r>
      <w:bookmarkEnd w:id="78"/>
      <w:bookmarkEnd w:id="79"/>
      <w:bookmarkEnd w:id="80"/>
      <w:bookmarkEnd w:id="81"/>
      <w:bookmarkEnd w:id="82"/>
      <w:r>
        <w:rPr>
          <w:rFonts w:ascii="仿宋" w:hAnsi="仿宋" w:eastAsia="仿宋"/>
          <w:b/>
          <w:bCs/>
          <w:color w:val="000000" w:themeColor="text1"/>
          <w:highlight w:val="none"/>
          <w14:textFill>
            <w14:solidFill>
              <w14:schemeClr w14:val="tx1"/>
            </w14:solidFill>
          </w14:textFill>
        </w:rPr>
        <w:t xml:space="preserve"> </w:t>
      </w:r>
    </w:p>
    <w:p>
      <w:pPr>
        <w:widowControl/>
        <w:numPr>
          <w:ilvl w:val="0"/>
          <w:numId w:val="4"/>
        </w:numPr>
        <w:ind w:left="0" w:leftChars="0"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天然林</w:t>
      </w:r>
    </w:p>
    <w:p>
      <w:pPr>
        <w:ind w:firstLine="560" w:firstLineChars="200"/>
        <w:rPr>
          <w:rFonts w:ascii="仿宋" w:hAnsi="仿宋" w:eastAsia="仿宋" w:cs="Times New Roman"/>
          <w:color w:val="000000" w:themeColor="text1"/>
          <w:kern w:val="21"/>
          <w:szCs w:val="20"/>
          <w:highlight w:val="none"/>
          <w:shd w:val="clear" w:color="auto" w:fill="FFFFFF"/>
          <w14:textFill>
            <w14:solidFill>
              <w14:schemeClr w14:val="tx1"/>
            </w14:solidFill>
          </w14:textFill>
        </w:rPr>
      </w:pPr>
      <w:r>
        <w:rPr>
          <w:rFonts w:ascii="仿宋" w:hAnsi="仿宋" w:eastAsia="仿宋" w:cs="Times New Roman"/>
          <w:color w:val="000000" w:themeColor="text1"/>
          <w:kern w:val="21"/>
          <w:szCs w:val="20"/>
          <w:highlight w:val="none"/>
          <w:shd w:val="clear" w:color="auto" w:fill="FFFFFF"/>
          <w14:textFill>
            <w14:solidFill>
              <w14:schemeClr w14:val="tx1"/>
            </w14:solidFill>
          </w14:textFill>
        </w:rPr>
        <w:t>广水市至2035年天然林规模308.36</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，主要分布于武胜关镇、吴店镇、蔡河镇、余店镇、广水街道办事处。</w:t>
      </w:r>
    </w:p>
    <w:p>
      <w:pPr>
        <w:widowControl/>
        <w:numPr>
          <w:ilvl w:val="0"/>
          <w:numId w:val="4"/>
        </w:numPr>
        <w:ind w:left="0" w:leftChars="0"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生态</w:t>
      </w:r>
      <w:r>
        <w:rPr>
          <w:rFonts w:ascii="仿宋" w:hAnsi="仿宋" w:eastAsia="仿宋"/>
          <w:b/>
          <w:bCs/>
          <w:color w:val="000000" w:themeColor="text1"/>
          <w:highlight w:val="none"/>
          <w14:textFill>
            <w14:solidFill>
              <w14:schemeClr w14:val="tx1"/>
            </w14:solidFill>
          </w14:textFill>
        </w:rPr>
        <w:t>公益林</w:t>
      </w:r>
    </w:p>
    <w:p>
      <w:pPr>
        <w:ind w:firstLine="560" w:firstLineChars="200"/>
        <w:rPr>
          <w:rFonts w:ascii="仿宋" w:hAnsi="仿宋" w:eastAsia="仿宋" w:cs="Times New Roman"/>
          <w:color w:val="000000" w:themeColor="text1"/>
          <w:kern w:val="21"/>
          <w:szCs w:val="20"/>
          <w:highlight w:val="none"/>
          <w:shd w:val="clear" w:color="auto" w:fill="FFFFFF"/>
          <w14:textFill>
            <w14:solidFill>
              <w14:schemeClr w14:val="tx1"/>
            </w14:solidFill>
          </w14:textFill>
        </w:rPr>
      </w:pPr>
      <w:r>
        <w:rPr>
          <w:rFonts w:ascii="仿宋" w:hAnsi="仿宋" w:eastAsia="仿宋" w:cs="Times New Roman"/>
          <w:color w:val="000000" w:themeColor="text1"/>
          <w:kern w:val="21"/>
          <w:szCs w:val="20"/>
          <w:highlight w:val="none"/>
          <w:shd w:val="clear" w:color="auto" w:fill="FFFFFF"/>
          <w14:textFill>
            <w14:solidFill>
              <w14:schemeClr w14:val="tx1"/>
            </w14:solidFill>
          </w14:textFill>
        </w:rPr>
        <w:t>国家级公益林</w:t>
      </w:r>
    </w:p>
    <w:p>
      <w:pPr>
        <w:ind w:firstLine="560" w:firstLineChars="200"/>
        <w:rPr>
          <w:rFonts w:ascii="仿宋" w:hAnsi="仿宋" w:eastAsia="仿宋" w:cs="Times New Roman"/>
          <w:color w:val="000000" w:themeColor="text1"/>
          <w:kern w:val="21"/>
          <w:szCs w:val="20"/>
          <w:highlight w:val="none"/>
          <w:shd w:val="clear" w:color="auto" w:fill="FFFFFF"/>
          <w14:textFill>
            <w14:solidFill>
              <w14:schemeClr w14:val="tx1"/>
            </w14:solidFill>
          </w14:textFill>
        </w:rPr>
      </w:pPr>
      <w:r>
        <w:rPr>
          <w:rFonts w:ascii="仿宋" w:hAnsi="仿宋" w:eastAsia="仿宋" w:cs="Times New Roman"/>
          <w:color w:val="000000" w:themeColor="text1"/>
          <w:kern w:val="21"/>
          <w:szCs w:val="20"/>
          <w:highlight w:val="none"/>
          <w:shd w:val="clear" w:color="auto" w:fill="FFFFFF"/>
          <w14:textFill>
            <w14:solidFill>
              <w14:schemeClr w14:val="tx1"/>
            </w14:solidFill>
          </w14:textFill>
        </w:rPr>
        <w:t>根据《国家级公益林区划界定办法》，广水市划定国家级公益林面积124.86</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，全部为二级，主要分布在府河两岸的长岭镇、马坪镇，徐家河水库</w:t>
      </w:r>
      <w:r>
        <w:rPr>
          <w:rFonts w:hint="eastAsia" w:ascii="仿宋" w:hAnsi="仿宋" w:eastAsia="仿宋" w:cs="Times New Roman"/>
          <w:color w:val="000000" w:themeColor="text1"/>
          <w:kern w:val="21"/>
          <w:szCs w:val="20"/>
          <w:highlight w:val="none"/>
          <w:shd w:val="clear" w:color="auto" w:fill="FFFFFF"/>
          <w14:textFill>
            <w14:solidFill>
              <w14:schemeClr w14:val="tx1"/>
            </w14:solidFill>
          </w14:textFill>
        </w:rPr>
        <w:t>周边</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的长岭镇、马坪镇、余店镇、关庙镇、城郊街道办事处</w:t>
      </w:r>
      <w:r>
        <w:rPr>
          <w:rFonts w:hint="eastAsia" w:ascii="仿宋" w:hAnsi="仿宋" w:eastAsia="仿宋" w:cs="Times New Roman"/>
          <w:color w:val="000000" w:themeColor="text1"/>
          <w:kern w:val="21"/>
          <w:szCs w:val="20"/>
          <w:highlight w:val="none"/>
          <w:shd w:val="clear" w:color="auto" w:fill="FFFFFF"/>
          <w14:textFill>
            <w14:solidFill>
              <w14:schemeClr w14:val="tx1"/>
            </w14:solidFill>
          </w14:textFill>
        </w:rPr>
        <w:t>部分区域</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w:t>
      </w:r>
    </w:p>
    <w:p>
      <w:pPr>
        <w:ind w:firstLine="560" w:firstLineChars="200"/>
        <w:rPr>
          <w:rFonts w:ascii="仿宋" w:hAnsi="仿宋" w:eastAsia="仿宋" w:cs="Times New Roman"/>
          <w:color w:val="000000" w:themeColor="text1"/>
          <w:kern w:val="21"/>
          <w:szCs w:val="20"/>
          <w:highlight w:val="none"/>
          <w:shd w:val="clear" w:color="auto" w:fill="FFFFFF"/>
          <w14:textFill>
            <w14:solidFill>
              <w14:schemeClr w14:val="tx1"/>
            </w14:solidFill>
          </w14:textFill>
        </w:rPr>
      </w:pPr>
      <w:r>
        <w:rPr>
          <w:rFonts w:ascii="仿宋" w:hAnsi="仿宋" w:eastAsia="仿宋" w:cs="Times New Roman"/>
          <w:color w:val="000000" w:themeColor="text1"/>
          <w:kern w:val="21"/>
          <w:szCs w:val="20"/>
          <w:highlight w:val="none"/>
          <w:shd w:val="clear" w:color="auto" w:fill="FFFFFF"/>
          <w14:textFill>
            <w14:solidFill>
              <w14:schemeClr w14:val="tx1"/>
            </w14:solidFill>
          </w14:textFill>
        </w:rPr>
        <w:t>省级公益林</w:t>
      </w:r>
    </w:p>
    <w:p>
      <w:pPr>
        <w:ind w:firstLine="560" w:firstLineChars="200"/>
        <w:rPr>
          <w:rFonts w:ascii="仿宋" w:hAnsi="仿宋" w:eastAsia="仿宋" w:cs="Times New Roman"/>
          <w:color w:val="000000" w:themeColor="text1"/>
          <w:kern w:val="21"/>
          <w:szCs w:val="20"/>
          <w:highlight w:val="none"/>
          <w:u w:val="single"/>
          <w:shd w:val="clear" w:color="auto" w:fill="FFFFFF"/>
          <w14:textFill>
            <w14:solidFill>
              <w14:schemeClr w14:val="tx1"/>
            </w14:solidFill>
          </w14:textFill>
        </w:rPr>
      </w:pPr>
      <w:r>
        <w:rPr>
          <w:rFonts w:ascii="仿宋" w:hAnsi="仿宋" w:eastAsia="仿宋" w:cs="Times New Roman"/>
          <w:color w:val="000000" w:themeColor="text1"/>
          <w:kern w:val="21"/>
          <w:szCs w:val="20"/>
          <w:highlight w:val="none"/>
          <w:shd w:val="clear" w:color="auto" w:fill="FFFFFF"/>
          <w14:textFill>
            <w14:solidFill>
              <w14:schemeClr w14:val="tx1"/>
            </w14:solidFill>
          </w14:textFill>
        </w:rPr>
        <w:t>根据《湖北省重点公益林区划界定办法》，广水市划定省级公益林111.35</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，主要分布为：生态型国有林场39.58</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，其中国有中华山林场21.38</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，国有大贵寺林场18.20</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；总库容1亿立方米以上的大中型水库周围共45.30</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，其中位于余店镇的先觉庙水库6.41</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，位于郝店镇的花山水库21.87</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，位于长岭镇的徐家河水库13.68</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，位于蔡河镇的</w:t>
      </w:r>
      <w:r>
        <w:rPr>
          <w:rFonts w:hint="eastAsia" w:ascii="仿宋" w:hAnsi="仿宋" w:eastAsia="仿宋" w:cs="Times New Roman"/>
          <w:color w:val="000000" w:themeColor="text1"/>
          <w:kern w:val="21"/>
          <w:szCs w:val="20"/>
          <w:highlight w:val="none"/>
          <w:shd w:val="clear" w:color="auto" w:fill="FFFFFF"/>
          <w14:textFill>
            <w14:solidFill>
              <w14:schemeClr w14:val="tx1"/>
            </w14:solidFill>
          </w14:textFill>
        </w:rPr>
        <w:t>飞沙河水库</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两岸3.34</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w:t>
      </w:r>
    </w:p>
    <w:p>
      <w:pPr>
        <w:pStyle w:val="4"/>
        <w:rPr>
          <w:rFonts w:ascii="仿宋" w:hAnsi="仿宋" w:eastAsia="仿宋" w:cs="Times New Roman"/>
          <w:b w:val="0"/>
          <w:bCs w:val="0"/>
          <w:color w:val="000000" w:themeColor="text1"/>
          <w:kern w:val="21"/>
          <w:sz w:val="28"/>
          <w:szCs w:val="20"/>
          <w:highlight w:val="none"/>
          <w:shd w:val="clear" w:color="auto" w:fill="FFFFFF"/>
          <w:lang w:val="en-US" w:eastAsia="zh-CN" w:bidi="ar-SA"/>
          <w14:textFill>
            <w14:solidFill>
              <w14:schemeClr w14:val="tx1"/>
            </w14:solidFill>
          </w14:textFill>
        </w:rPr>
      </w:pPr>
      <w:bookmarkStart w:id="83" w:name="_Toc5707"/>
      <w:bookmarkStart w:id="84" w:name="_Toc2007"/>
      <w:r>
        <w:rPr>
          <w:rFonts w:ascii="仿宋" w:hAnsi="仿宋" w:eastAsia="仿宋"/>
          <w:color w:val="000000" w:themeColor="text1"/>
          <w:highlight w:val="none"/>
          <w14:textFill>
            <w14:solidFill>
              <w14:schemeClr w14:val="tx1"/>
            </w14:solidFill>
          </w14:textFill>
        </w:rPr>
        <w:t>第4节 矿产资源</w:t>
      </w:r>
      <w:bookmarkEnd w:id="83"/>
      <w:bookmarkEnd w:id="84"/>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1</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 xml:space="preserve">矿产资源保护与利用目标 </w:t>
      </w:r>
    </w:p>
    <w:p>
      <w:pPr>
        <w:ind w:firstLine="560" w:firstLineChars="200"/>
        <w:rPr>
          <w:rFonts w:ascii="仿宋" w:hAnsi="仿宋" w:eastAsia="仿宋" w:cs="Times New Roman"/>
          <w:color w:val="000000" w:themeColor="text1"/>
          <w:kern w:val="21"/>
          <w:szCs w:val="20"/>
          <w:highlight w:val="none"/>
          <w:shd w:val="clear" w:color="auto" w:fill="FFFFFF"/>
          <w14:textFill>
            <w14:solidFill>
              <w14:schemeClr w14:val="tx1"/>
            </w14:solidFill>
          </w14:textFill>
        </w:rPr>
      </w:pPr>
      <w:r>
        <w:rPr>
          <w:rFonts w:ascii="仿宋" w:hAnsi="仿宋" w:eastAsia="仿宋" w:cs="Times New Roman"/>
          <w:color w:val="000000" w:themeColor="text1"/>
          <w:kern w:val="21"/>
          <w:szCs w:val="20"/>
          <w:highlight w:val="none"/>
          <w:shd w:val="clear" w:color="auto" w:fill="FFFFFF"/>
          <w14:textFill>
            <w14:solidFill>
              <w14:schemeClr w14:val="tx1"/>
            </w14:solidFill>
          </w14:textFill>
        </w:rPr>
        <w:t>坚持绿色勘查、绿色开发、生态保护第一，科学调控矿产资源开发利用总量、矿产供需总量实现基本平衡，形成以矿产资源为基础，大、中、小型矿山协调发展的矿产开发新格局，使矿产资源开发利用布局和结构更加合理。全面建成绿色矿山，矿山地质环境法律法规体系进一步完善，形成我市资源开发有序、高效利用、环境友好、社会和谐的现代化新格局。至2035年，采矿用地4.13</w:t>
      </w:r>
      <w:r>
        <w:rPr>
          <w:rFonts w:hint="eastAsia" w:ascii="仿宋" w:hAnsi="仿宋" w:eastAsia="仿宋" w:cs="Times New Roman"/>
          <w:color w:val="000000" w:themeColor="text1"/>
          <w:kern w:val="21"/>
          <w:szCs w:val="28"/>
          <w:highlight w:val="none"/>
          <w14:textFill>
            <w14:solidFill>
              <w14:schemeClr w14:val="tx1"/>
            </w14:solidFill>
          </w14:textFill>
        </w:rPr>
        <w:t>平方公里</w:t>
      </w:r>
      <w:r>
        <w:rPr>
          <w:rFonts w:ascii="仿宋" w:hAnsi="仿宋" w:eastAsia="仿宋" w:cs="Times New Roman"/>
          <w:color w:val="000000" w:themeColor="text1"/>
          <w:kern w:val="21"/>
          <w:szCs w:val="20"/>
          <w:highlight w:val="none"/>
          <w:shd w:val="clear" w:color="auto" w:fill="FFFFFF"/>
          <w14:textFill>
            <w14:solidFill>
              <w14:schemeClr w14:val="tx1"/>
            </w14:solidFill>
          </w14:textFill>
        </w:rPr>
        <w:t>，矿山“三率”水平达到100%。</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2</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优化矿产开发布局，加大开发利用结构调整</w:t>
      </w:r>
    </w:p>
    <w:p>
      <w:pPr>
        <w:ind w:firstLine="560" w:firstLineChars="200"/>
        <w:rPr>
          <w:rFonts w:ascii="Times New Roman" w:hAnsi="Times New Roman" w:eastAsia="仿宋" w:cs="Times New Roman"/>
          <w:color w:val="000000" w:themeColor="text1"/>
          <w:kern w:val="21"/>
          <w:szCs w:val="20"/>
          <w:highlight w:val="none"/>
          <w:shd w:val="clear" w:color="auto" w:fill="FFFFFF"/>
          <w14:textFill>
            <w14:solidFill>
              <w14:schemeClr w14:val="tx1"/>
            </w14:solidFill>
          </w14:textFill>
        </w:rPr>
      </w:pPr>
      <w:r>
        <w:rPr>
          <w:rFonts w:ascii="Times New Roman" w:hAnsi="Times New Roman" w:eastAsia="仿宋" w:cs="Times New Roman"/>
          <w:color w:val="000000" w:themeColor="text1"/>
          <w:kern w:val="21"/>
          <w:szCs w:val="20"/>
          <w:highlight w:val="none"/>
          <w:shd w:val="clear" w:color="auto" w:fill="FFFFFF"/>
          <w14:textFill>
            <w14:solidFill>
              <w14:schemeClr w14:val="tx1"/>
            </w14:solidFill>
          </w14:textFill>
        </w:rPr>
        <w:t>以生态建设为主线，发展矿业循环经济，实现资源可持续利用；通过调控开采总量指标，提高矿产资源持续供给能力；科学划定开采区，严把采矿权准入条件关，合理投放采矿权；加强资源储备与保护，促进矿业经济协调发展。</w:t>
      </w:r>
      <w:r>
        <w:rPr>
          <w:rFonts w:hint="eastAsia" w:ascii="Times New Roman" w:hAnsi="Times New Roman" w:eastAsia="仿宋" w:cs="Times New Roman"/>
          <w:color w:val="000000" w:themeColor="text1"/>
          <w:kern w:val="21"/>
          <w:szCs w:val="20"/>
          <w:highlight w:val="none"/>
          <w:shd w:val="clear" w:color="auto" w:fill="FFFFFF"/>
          <w14:textFill>
            <w14:solidFill>
              <w14:schemeClr w14:val="tx1"/>
            </w14:solidFill>
          </w14:textFill>
        </w:rPr>
        <w:t>推动非金属矿产高质量发展，保障民生需求。勘查开发能源资源基地。</w:t>
      </w:r>
    </w:p>
    <w:p>
      <w:pPr>
        <w:ind w:firstLine="560" w:firstLineChars="200"/>
        <w:rPr>
          <w:rFonts w:ascii="Times New Roman" w:hAnsi="Times New Roman" w:eastAsia="仿宋" w:cs="Times New Roman"/>
          <w:color w:val="000000" w:themeColor="text1"/>
          <w:highlight w:val="none"/>
          <w:shd w:val="clear" w:color="auto" w:fill="FFFFFF"/>
          <w14:textFill>
            <w14:solidFill>
              <w14:schemeClr w14:val="tx1"/>
            </w14:solidFill>
          </w14:textFill>
        </w:rPr>
      </w:pPr>
      <w:r>
        <w:rPr>
          <w:rFonts w:hint="eastAsia" w:ascii="Times New Roman" w:hAnsi="Times New Roman" w:eastAsia="仿宋" w:cs="Times New Roman"/>
          <w:color w:val="000000" w:themeColor="text1"/>
          <w:highlight w:val="none"/>
          <w:shd w:val="clear" w:color="auto" w:fill="FFFFFF"/>
          <w14:textFill>
            <w14:solidFill>
              <w14:schemeClr w14:val="tx1"/>
            </w14:solidFill>
          </w14:textFill>
        </w:rPr>
        <w:t>坚持节约优先、保护优先，强化科技创新支撑，推进资源节约与综合利用，推动矿业绿色转型升级、绿色高质量发展，全面提高矿产资源利用效率。</w:t>
      </w:r>
      <w:r>
        <w:rPr>
          <w:rFonts w:ascii="Times New Roman" w:hAnsi="Times New Roman" w:eastAsia="仿宋" w:cs="Times New Roman"/>
          <w:color w:val="000000" w:themeColor="text1"/>
          <w:highlight w:val="none"/>
          <w:shd w:val="clear" w:color="auto" w:fill="FFFFFF"/>
          <w14:textFill>
            <w14:solidFill>
              <w14:schemeClr w14:val="tx1"/>
            </w14:solidFill>
          </w14:textFill>
        </w:rPr>
        <w:t>合理调整矿业规模结构。矿业开发适度集中，矿业布局不断优化；矿业生产总量适度增长，矿山总数适量减少。</w:t>
      </w:r>
    </w:p>
    <w:p>
      <w:p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3</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推进绿色生态矿山建设</w:t>
      </w:r>
    </w:p>
    <w:p>
      <w:pPr>
        <w:ind w:firstLine="560" w:firstLineChars="200"/>
        <w:rPr>
          <w:rFonts w:ascii="Times New Roman" w:hAnsi="Times New Roman" w:eastAsia="仿宋" w:cs="Times New Roman"/>
          <w:color w:val="000000" w:themeColor="text1"/>
          <w:kern w:val="21"/>
          <w:szCs w:val="20"/>
          <w:highlight w:val="none"/>
          <w:shd w:val="clear" w:color="auto" w:fill="FFFFFF"/>
          <w14:textFill>
            <w14:solidFill>
              <w14:schemeClr w14:val="tx1"/>
            </w14:solidFill>
          </w14:textFill>
        </w:rPr>
      </w:pPr>
      <w:r>
        <w:rPr>
          <w:rFonts w:ascii="Times New Roman" w:hAnsi="Times New Roman" w:eastAsia="仿宋" w:cs="Times New Roman"/>
          <w:color w:val="000000" w:themeColor="text1"/>
          <w:kern w:val="21"/>
          <w:szCs w:val="20"/>
          <w:highlight w:val="none"/>
          <w:shd w:val="clear" w:color="auto" w:fill="FFFFFF"/>
          <w14:textFill>
            <w14:solidFill>
              <w14:schemeClr w14:val="tx1"/>
            </w14:solidFill>
          </w14:textFill>
        </w:rPr>
        <w:t>按照政府引导、协会支撑、矿山主体的原则，开展绿色矿山建设工作。落实省、随州市矿业绿色发展行动，全面推广绿色矿山经验，带动更多矿山开展绿色矿山建设工作。通过绿色矿山建设促进矿业发展方式的转变，努力构建规范矿产资源开发利用秩序的长效机制，为打造“天蓝、地绿、水净”的美丽广水风貌</w:t>
      </w:r>
      <w:r>
        <w:rPr>
          <w:rFonts w:hint="eastAsia" w:ascii="Times New Roman" w:hAnsi="Times New Roman" w:eastAsia="仿宋" w:cs="Times New Roman"/>
          <w:color w:val="000000" w:themeColor="text1"/>
          <w:kern w:val="21"/>
          <w:szCs w:val="20"/>
          <w:highlight w:val="none"/>
          <w:shd w:val="clear" w:color="auto" w:fill="FFFFFF"/>
          <w14:textFill>
            <w14:solidFill>
              <w14:schemeClr w14:val="tx1"/>
            </w14:solidFill>
          </w14:textFill>
        </w:rPr>
        <w:t>做出</w:t>
      </w:r>
      <w:r>
        <w:rPr>
          <w:rFonts w:ascii="Times New Roman" w:hAnsi="Times New Roman" w:eastAsia="仿宋" w:cs="Times New Roman"/>
          <w:color w:val="000000" w:themeColor="text1"/>
          <w:kern w:val="21"/>
          <w:szCs w:val="20"/>
          <w:highlight w:val="none"/>
          <w:shd w:val="clear" w:color="auto" w:fill="FFFFFF"/>
          <w14:textFill>
            <w14:solidFill>
              <w14:schemeClr w14:val="tx1"/>
            </w14:solidFill>
          </w14:textFill>
        </w:rPr>
        <w:t>贡献。</w:t>
      </w:r>
    </w:p>
    <w:p>
      <w:pPr>
        <w:pStyle w:val="4"/>
        <w:rPr>
          <w:rFonts w:ascii="仿宋" w:hAnsi="仿宋" w:eastAsia="仿宋"/>
          <w:color w:val="000000" w:themeColor="text1"/>
          <w:highlight w:val="none"/>
          <w:u w:val="single"/>
          <w14:textFill>
            <w14:solidFill>
              <w14:schemeClr w14:val="tx1"/>
            </w14:solidFill>
          </w14:textFill>
        </w:rPr>
      </w:pPr>
      <w:bookmarkStart w:id="85" w:name="_Toc31853"/>
      <w:r>
        <w:rPr>
          <w:rFonts w:ascii="仿宋" w:hAnsi="仿宋" w:eastAsia="仿宋"/>
          <w:color w:val="000000" w:themeColor="text1"/>
          <w:highlight w:val="none"/>
          <w14:textFill>
            <w14:solidFill>
              <w14:schemeClr w14:val="tx1"/>
            </w14:solidFill>
          </w14:textFill>
        </w:rPr>
        <w:t xml:space="preserve">第5节 </w:t>
      </w:r>
      <w:r>
        <w:rPr>
          <w:rFonts w:hint="eastAsia" w:ascii="仿宋" w:hAnsi="仿宋" w:eastAsia="仿宋"/>
          <w:color w:val="000000" w:themeColor="text1"/>
          <w:highlight w:val="none"/>
          <w14:textFill>
            <w14:solidFill>
              <w14:schemeClr w14:val="tx1"/>
            </w14:solidFill>
          </w14:textFill>
        </w:rPr>
        <w:t>历史文化</w:t>
      </w:r>
      <w:r>
        <w:rPr>
          <w:rFonts w:ascii="仿宋" w:hAnsi="仿宋" w:eastAsia="仿宋"/>
          <w:color w:val="000000" w:themeColor="text1"/>
          <w:highlight w:val="none"/>
          <w14:textFill>
            <w14:solidFill>
              <w14:schemeClr w14:val="tx1"/>
            </w14:solidFill>
          </w14:textFill>
        </w:rPr>
        <w:t>资源</w:t>
      </w:r>
      <w:bookmarkEnd w:id="85"/>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1</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保护目标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实现对广水历史文化遗产的有效保护和对历史文化资源的有效利用；通过保护广水市优秀的历史文化遗产及其所处的环境，保护城市人文特色，进一步推动广水城市文化建设和社会综合发展。</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2</w:t>
      </w:r>
      <w:r>
        <w:rPr>
          <w:rFonts w:hint="eastAsia" w:ascii="仿宋" w:hAnsi="仿宋" w:eastAsia="仿宋"/>
          <w:b/>
          <w:bCs/>
          <w:color w:val="000000" w:themeColor="text1"/>
          <w:highlight w:val="none"/>
          <w:lang w:eastAsia="zh-CN"/>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保护原则</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保护历史信息真实载体的原则。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保护历史环境的原则，将非物质文化遗产保护和物质文化遗产保护相结合，通过历史环境的保护为优秀传统文化的继承创造更有利的条件。</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合理利用、永续保存原则。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不可移动文物已经全部毁坏的，应当实施遗址保护，不得在原址重建。</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3</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构建全域全要素历史文化保护体系</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构建历史文化资源名录管理体系。建立包括省级文物保护单位（</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0处）、市级文物保护单位（</w:t>
      </w:r>
      <w:r>
        <w:rPr>
          <w:rFonts w:ascii="仿宋" w:hAnsi="仿宋" w:eastAsia="仿宋" w:cs="Times New Roman"/>
          <w:color w:val="000000" w:themeColor="text1"/>
          <w:highlight w:val="none"/>
          <w14:textFill>
            <w14:solidFill>
              <w14:schemeClr w14:val="tx1"/>
            </w14:solidFill>
          </w14:textFill>
        </w:rPr>
        <w:t>33</w:t>
      </w:r>
      <w:r>
        <w:rPr>
          <w:rFonts w:hint="eastAsia" w:ascii="仿宋" w:hAnsi="仿宋" w:eastAsia="仿宋" w:cs="Times New Roman"/>
          <w:color w:val="000000" w:themeColor="text1"/>
          <w:highlight w:val="none"/>
          <w14:textFill>
            <w14:solidFill>
              <w14:schemeClr w14:val="tx1"/>
            </w14:solidFill>
          </w14:textFill>
        </w:rPr>
        <w:t>处）、县级文物保护单位（</w:t>
      </w:r>
      <w:r>
        <w:rPr>
          <w:rFonts w:ascii="仿宋" w:hAnsi="仿宋" w:eastAsia="仿宋" w:cs="Times New Roman"/>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7处）</w:t>
      </w:r>
      <w:r>
        <w:rPr>
          <w:rFonts w:hint="eastAsia" w:ascii="仿宋" w:hAnsi="仿宋" w:eastAsia="仿宋" w:cs="Times New Roman"/>
          <w:color w:val="000000" w:themeColor="text1"/>
          <w:highlight w:val="none"/>
          <w:lang w:eastAsia="zh-CN"/>
          <w14:textFill>
            <w14:solidFill>
              <w14:schemeClr w14:val="tx1"/>
            </w14:solidFill>
          </w14:textFill>
        </w:rPr>
        <w:t>和</w:t>
      </w:r>
      <w:r>
        <w:rPr>
          <w:rFonts w:hint="eastAsia" w:ascii="仿宋" w:hAnsi="仿宋" w:eastAsia="仿宋" w:cs="Times New Roman"/>
          <w:color w:val="000000" w:themeColor="text1"/>
          <w:highlight w:val="none"/>
          <w14:textFill>
            <w14:solidFill>
              <w14:schemeClr w14:val="tx1"/>
            </w14:solidFill>
          </w14:textFill>
        </w:rPr>
        <w:t>非物质文化遗产（</w:t>
      </w:r>
      <w:r>
        <w:rPr>
          <w:rFonts w:ascii="仿宋" w:hAnsi="仿宋" w:eastAsia="仿宋" w:cs="Times New Roman"/>
          <w:color w:val="000000" w:themeColor="text1"/>
          <w:highlight w:val="none"/>
          <w14:textFill>
            <w14:solidFill>
              <w14:schemeClr w14:val="tx1"/>
            </w14:solidFill>
          </w14:textFill>
        </w:rPr>
        <w:t>6</w:t>
      </w:r>
      <w:r>
        <w:rPr>
          <w:rFonts w:hint="eastAsia" w:ascii="仿宋" w:hAnsi="仿宋" w:eastAsia="仿宋" w:cs="Times New Roman"/>
          <w:color w:val="000000" w:themeColor="text1"/>
          <w:highlight w:val="none"/>
          <w14:textFill>
            <w14:solidFill>
              <w14:schemeClr w14:val="tx1"/>
            </w14:solidFill>
          </w14:textFill>
        </w:rPr>
        <w:t>7项）在内的历史文化保护体系，对历史文化资源进行名录管理，落实保护范围和空间管控要求，延续历史文脉，彰显广水文化特色。</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文物保护单位保护。严格执行《中华人民共和国文物保护法》等相关法律法规的要求，保护广水市域内的不可移动文物。重点保护省级重点文物保护单位</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0处，市级重点文物保护单位33处。应按照《文物保护法》的规定进行保护，对广水市中心城区内的文物保护单位分别划定保护范围及建设控制地带。在文物保护单位范围内，应严格按文物保护法的规定对文物保护单位本体及环境进行保护，禁止随意改变原有状况、面貌及环境。文物保护单位建设控制地带内的建筑和环境应与核心地段的整体风貌相协调，避免对绝对保护范围的环境及视觉景观产生不利影响。加强对地下文物的调查、勘探、鉴定和保护工作。对地下文物埋藏区内的建设，应坚持先勘探发掘、后进行建设的原则，避免对地下文物造成破坏。</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传统村落的保护。加强对桃源村等传统村落的保护，保护村落的传统选址、格局、风貌以及自然和田园景观等整体空间形态与环境。全面保护文物古迹、历史建筑、传统民居等传统建筑，重点修复传统建筑集中连片区。整治和完善村内道路、供水、垃圾和污水治理等基础设施。</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保护性建筑的保护。重点保护龙爬寨遗址、大块地墓地、王子山遗址、玉皇顶、连舜宾墓、千户冲古民居、徐店戏楼、大城寨遗址、将军寨、彭家湾墓地等10处保护性建筑，并继续加强对保护性建筑的鉴定、保护和合理利用。</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非物质文化遗产保护。加强对非物质文化遗产传承人的培育，重点保护省级非物质文化遗产</w:t>
      </w:r>
      <w:r>
        <w:rPr>
          <w:rFonts w:ascii="仿宋" w:hAnsi="仿宋" w:eastAsia="仿宋" w:cs="Times New Roman"/>
          <w:color w:val="000000" w:themeColor="text1"/>
          <w:highlight w:val="none"/>
          <w14:textFill>
            <w14:solidFill>
              <w14:schemeClr w14:val="tx1"/>
            </w14:solidFill>
          </w14:textFill>
        </w:rPr>
        <w:t>4</w:t>
      </w:r>
      <w:r>
        <w:rPr>
          <w:rFonts w:hint="eastAsia" w:ascii="仿宋" w:hAnsi="仿宋" w:eastAsia="仿宋" w:cs="Times New Roman"/>
          <w:color w:val="000000" w:themeColor="text1"/>
          <w:highlight w:val="none"/>
          <w14:textFill>
            <w14:solidFill>
              <w14:schemeClr w14:val="tx1"/>
            </w14:solidFill>
          </w14:textFill>
        </w:rPr>
        <w:t>项，市级非物质文化遗产20项。严格执行《中华人民共和国非物质文化遗产法》等相关法律法规的要求实施保护。建立非物质文化遗产博物馆或展示中心，鼓励非物质文化遗产保护与历史资源点、景区的展示利用相结合。</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古树名木的保护。对于广水市的古树名木，应该按照相关的保护条例，进行保护，包括整治古树周边的环境，改善立地条件，加强维护保养，加强古树名木病虫害防治，采取切实有效的复壮古树名木等措施。</w:t>
      </w:r>
    </w:p>
    <w:p>
      <w:pPr>
        <w:pStyle w:val="21"/>
        <w:numPr>
          <w:ilvl w:val="0"/>
          <w:numId w:val="0"/>
        </w:numPr>
        <w:tabs>
          <w:tab w:val="left" w:pos="1209"/>
        </w:tabs>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4</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统筹协调历史文化空间与“三区三线”</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历史文化空间与生态空间的统筹协调。各类工矿建设空间避开文物保护单位本体、保护范围和建设控制地带空间。优先保障考古、巡查等各项历史文化保护活动的开展，保留活态遗产，如传统村落、农业遗产、历史线路等。鼓励活态遗产与生态空间绿色融合发展。</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历史文化空间与城镇空间的统筹协调。各类工矿建设空间应避开文化遗址空间。将文化空间纳入城市紫线管理，划定协调区，对建筑风貌、高度与街巷肌理进行控制。鼓励在历史文化资源分布地区规划布局文化、旅游、商业等功能，建设高品质城市公共文化空间，协同发展。</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历史文化空间与农业空间的统筹协调。永久基本农田保护红线应扣除国家级、省级文化遗产空间，不包括大遗址非核心保护范围。遗址墓葬类控制扰土深度，用地预留提高非建设用地的比例。鼓励文化遗产资源丰富的农业空间结合文化资源发展综合农业、观光旅游农业。</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5</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历史文化资源的整合与利用</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发掘、整合历史文化资源，以点带片，构筑大景区，开辟特色旅游。</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应将相互邻近的历史文化片区进行整合，通过片区的联合整治、功能的提升与丰富，同类型遗存的联合等措施，使其形成规模，聚集成片，提升集聚效应与规模效益。主要可以有几大措施：</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把在考古发掘中保存下来具有较高研究价值和景观价值的古墓葬和遗址开辟为特殊的人文景观群。</w:t>
      </w:r>
    </w:p>
    <w:p>
      <w:pPr>
        <w:autoSpaceDE w:val="0"/>
        <w:autoSpaceDN w:val="0"/>
        <w:adjustRightInd w:val="0"/>
        <w:spacing w:before="0" w:after="0" w:line="240" w:lineRule="auto"/>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整治广水</w:t>
      </w:r>
      <w:r>
        <w:rPr>
          <w:rFonts w:hint="eastAsia" w:ascii="仿宋" w:hAnsi="仿宋" w:eastAsia="仿宋" w:cs="Times New Roman"/>
          <w:color w:val="000000" w:themeColor="text1"/>
          <w:highlight w:val="none"/>
          <w:lang w:eastAsia="zh-CN"/>
          <w14:textFill>
            <w14:solidFill>
              <w14:schemeClr w14:val="tx1"/>
            </w14:solidFill>
          </w14:textFill>
        </w:rPr>
        <w:t>市</w:t>
      </w:r>
      <w:r>
        <w:rPr>
          <w:rFonts w:hint="eastAsia" w:ascii="仿宋" w:hAnsi="仿宋" w:eastAsia="仿宋" w:cs="Times New Roman"/>
          <w:color w:val="000000" w:themeColor="text1"/>
          <w:highlight w:val="none"/>
          <w14:textFill>
            <w14:solidFill>
              <w14:schemeClr w14:val="tx1"/>
            </w14:solidFill>
          </w14:textFill>
        </w:rPr>
        <w:t>村落中的古建筑、祠堂，挖掘深层次地方文化内涵，并利用广水历史遗存众多、主要分布在村落的特点，将特色村落与历史建筑、村庄串联成珠，形成特色旅游景观。</w:t>
      </w:r>
    </w:p>
    <w:p>
      <w:pPr>
        <w:autoSpaceDE w:val="0"/>
        <w:autoSpaceDN w:val="0"/>
        <w:adjustRightInd w:val="0"/>
        <w:spacing w:before="0" w:after="0" w:line="240" w:lineRule="auto"/>
        <w:ind w:firstLine="560" w:firstLineChars="200"/>
        <w:rPr>
          <w:rFonts w:hint="eastAsia"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恢复历史上的著名传统民俗活动，打造“水文化”旅游节、中国（广水</w:t>
      </w:r>
      <w:r>
        <w:rPr>
          <w:rFonts w:hint="eastAsia" w:ascii="仿宋" w:hAnsi="仿宋" w:eastAsia="仿宋" w:cs="Times New Roman"/>
          <w:color w:val="000000" w:themeColor="text1"/>
          <w:highlight w:val="none"/>
          <w:lang w:eastAsia="zh-CN"/>
          <w14:textFill>
            <w14:solidFill>
              <w14:schemeClr w14:val="tx1"/>
            </w14:solidFill>
          </w14:textFill>
        </w:rPr>
        <w:t>市</w:t>
      </w:r>
      <w:r>
        <w:rPr>
          <w:rFonts w:hint="eastAsia" w:ascii="仿宋" w:hAnsi="仿宋" w:eastAsia="仿宋" w:cs="Times New Roman"/>
          <w:color w:val="000000" w:themeColor="text1"/>
          <w:highlight w:val="none"/>
          <w14:textFill>
            <w14:solidFill>
              <w14:schemeClr w14:val="tx1"/>
            </w14:solidFill>
          </w14:textFill>
        </w:rPr>
        <w:t>）楹联文化节、广水市美食节等特色风俗节庆活动等。</w:t>
      </w: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pStyle w:val="3"/>
        <w:pageBreakBefore/>
        <w:rPr>
          <w:rFonts w:ascii="仿宋" w:hAnsi="仿宋" w:eastAsia="仿宋"/>
          <w:color w:val="000000" w:themeColor="text1"/>
          <w:highlight w:val="none"/>
          <w14:textFill>
            <w14:solidFill>
              <w14:schemeClr w14:val="tx1"/>
            </w14:solidFill>
          </w14:textFill>
        </w:rPr>
      </w:pPr>
      <w:bookmarkStart w:id="86" w:name="_Toc2375"/>
      <w:r>
        <w:rPr>
          <w:rFonts w:hint="eastAsia" w:ascii="仿宋" w:hAnsi="仿宋" w:eastAsia="仿宋"/>
          <w:color w:val="000000" w:themeColor="text1"/>
          <w:highlight w:val="none"/>
          <w14:textFill>
            <w14:solidFill>
              <w14:schemeClr w14:val="tx1"/>
            </w14:solidFill>
          </w14:textFill>
        </w:rPr>
        <w:t>第九章 国土综合整治</w:t>
      </w:r>
      <w:r>
        <w:rPr>
          <w:rFonts w:ascii="仿宋" w:hAnsi="仿宋" w:eastAsia="仿宋"/>
          <w:color w:val="000000" w:themeColor="text1"/>
          <w:highlight w:val="none"/>
          <w14:textFill>
            <w14:solidFill>
              <w14:schemeClr w14:val="tx1"/>
            </w14:solidFill>
          </w14:textFill>
        </w:rPr>
        <w:t>与</w:t>
      </w:r>
      <w:r>
        <w:rPr>
          <w:rFonts w:hint="eastAsia" w:ascii="仿宋" w:hAnsi="仿宋" w:eastAsia="仿宋"/>
          <w:color w:val="000000" w:themeColor="text1"/>
          <w:highlight w:val="none"/>
          <w14:textFill>
            <w14:solidFill>
              <w14:schemeClr w14:val="tx1"/>
            </w14:solidFill>
          </w14:textFill>
        </w:rPr>
        <w:t>生态</w:t>
      </w:r>
      <w:r>
        <w:rPr>
          <w:rFonts w:ascii="仿宋" w:hAnsi="仿宋" w:eastAsia="仿宋"/>
          <w:color w:val="000000" w:themeColor="text1"/>
          <w:highlight w:val="none"/>
          <w14:textFill>
            <w14:solidFill>
              <w14:schemeClr w14:val="tx1"/>
            </w14:solidFill>
          </w14:textFill>
        </w:rPr>
        <w:t>修复</w:t>
      </w:r>
      <w:bookmarkEnd w:id="86"/>
    </w:p>
    <w:p>
      <w:pPr>
        <w:pStyle w:val="4"/>
        <w:rPr>
          <w:rFonts w:ascii="仿宋" w:hAnsi="仿宋" w:eastAsia="仿宋"/>
          <w:color w:val="000000" w:themeColor="text1"/>
          <w:highlight w:val="none"/>
          <w14:textFill>
            <w14:solidFill>
              <w14:schemeClr w14:val="tx1"/>
            </w14:solidFill>
          </w14:textFill>
        </w:rPr>
      </w:pPr>
      <w:bookmarkStart w:id="87" w:name="_Toc7944"/>
      <w:bookmarkStart w:id="88" w:name="_Toc8651"/>
      <w:bookmarkStart w:id="89" w:name="_Toc22883"/>
      <w:r>
        <w:rPr>
          <w:rFonts w:ascii="仿宋" w:hAnsi="仿宋" w:eastAsia="仿宋"/>
          <w:color w:val="000000" w:themeColor="text1"/>
          <w:highlight w:val="none"/>
          <w14:textFill>
            <w14:solidFill>
              <w14:schemeClr w14:val="tx1"/>
            </w14:solidFill>
          </w14:textFill>
        </w:rPr>
        <w:t>第1节 国土综合整治</w:t>
      </w:r>
      <w:bookmarkEnd w:id="87"/>
      <w:bookmarkEnd w:id="88"/>
      <w:bookmarkEnd w:id="89"/>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1</w:t>
      </w:r>
      <w:r>
        <w:rPr>
          <w:rFonts w:ascii="仿宋" w:hAnsi="仿宋" w:eastAsia="仿宋"/>
          <w:b/>
          <w:bCs/>
          <w:color w:val="000000" w:themeColor="text1"/>
          <w:highlight w:val="none"/>
          <w14:textFill>
            <w14:solidFill>
              <w14:schemeClr w14:val="tx1"/>
            </w14:solidFill>
          </w14:textFill>
        </w:rPr>
        <w:t>）整治目标</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以完善田间道路、农田水利设施为主要内容，建成集中连片、设施配套、高产稳产、生态良好、抗灾能力强，与现代农业生产和经营方式相适应的高标准农田；积极开展中低等耕地质量提升、积极开展旱地改水田；在农业面源污染严重或环境敏感的典型小流域开展农业面源污染综合防治示范区建设，构建资源节约型、环境友好型、生态保育型可持续农业生产模式；科学编制村级规划，完善基础设施和公共空间，保持乡村风貌、民族文化和地域文化特色，优化农村居民点布局，严格控制集镇内零星分散建设农民住宅。</w:t>
      </w:r>
    </w:p>
    <w:p>
      <w:pPr>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根据相关规划的布局和安排，结合土地综合整治潜力调查的结果，考虑到农民的意愿和潜力实施的可行性，</w:t>
      </w:r>
      <w:r>
        <w:rPr>
          <w:rFonts w:hint="eastAsia" w:ascii="Times New Roman" w:hAnsi="Times New Roman" w:eastAsia="仿宋" w:cs="Times New Roman"/>
          <w:color w:val="000000" w:themeColor="text1"/>
          <w:highlight w:val="none"/>
          <w14:textFill>
            <w14:solidFill>
              <w14:schemeClr w14:val="tx1"/>
            </w14:solidFill>
          </w14:textFill>
        </w:rPr>
        <w:t>规划至2</w:t>
      </w:r>
      <w:r>
        <w:rPr>
          <w:rFonts w:ascii="Times New Roman" w:hAnsi="Times New Roman" w:eastAsia="仿宋" w:cs="Times New Roman"/>
          <w:color w:val="000000" w:themeColor="text1"/>
          <w:highlight w:val="none"/>
          <w14:textFill>
            <w14:solidFill>
              <w14:schemeClr w14:val="tx1"/>
            </w14:solidFill>
          </w14:textFill>
        </w:rPr>
        <w:t>035</w:t>
      </w:r>
      <w:r>
        <w:rPr>
          <w:rFonts w:hint="eastAsia" w:ascii="Times New Roman" w:hAnsi="Times New Roman" w:eastAsia="仿宋" w:cs="Times New Roman"/>
          <w:color w:val="000000" w:themeColor="text1"/>
          <w:highlight w:val="none"/>
          <w14:textFill>
            <w14:solidFill>
              <w14:schemeClr w14:val="tx1"/>
            </w14:solidFill>
          </w14:textFill>
        </w:rPr>
        <w:t>年，</w:t>
      </w:r>
      <w:r>
        <w:rPr>
          <w:rFonts w:ascii="Times New Roman" w:hAnsi="Times New Roman" w:eastAsia="仿宋" w:cs="Times New Roman"/>
          <w:color w:val="000000" w:themeColor="text1"/>
          <w:highlight w:val="none"/>
          <w14:textFill>
            <w14:solidFill>
              <w14:schemeClr w14:val="tx1"/>
            </w14:solidFill>
          </w14:textFill>
        </w:rPr>
        <w:t>通过土地综合整治新增耕地49.12</w:t>
      </w:r>
      <w:r>
        <w:rPr>
          <w:rFonts w:hint="eastAsia" w:ascii="Times New Roman" w:hAnsi="Times New Roman" w:eastAsia="仿宋" w:cs="Times New Roman"/>
          <w:color w:val="000000" w:themeColor="text1"/>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w:t>
      </w:r>
    </w:p>
    <w:p>
      <w:pPr>
        <w:ind w:firstLine="562" w:firstLineChars="200"/>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2</w:t>
      </w:r>
      <w:r>
        <w:rPr>
          <w:rFonts w:ascii="仿宋" w:hAnsi="仿宋" w:eastAsia="仿宋"/>
          <w:b/>
          <w:bCs/>
          <w:color w:val="000000" w:themeColor="text1"/>
          <w:highlight w:val="none"/>
          <w14:textFill>
            <w14:solidFill>
              <w14:schemeClr w14:val="tx1"/>
            </w14:solidFill>
          </w14:textFill>
        </w:rPr>
        <w:t>）重点区域</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全市综合整治潜力空间分布特点如下：十里街道办事处、杨寨镇、骆店镇、蔡河镇、城郊街道办事处、李店镇整治潜力大，农用地整治潜力则占全市综合整治潜力的62.11%。陈巷镇、太平镇、关庙镇、余店镇整治潜力较大，拥有全市29.15%的综合整治潜力。郝店镇、吴店镇、武胜关镇、应山街道办事处、广水街道办事处、长岭镇、马坪镇整治潜力偏小，拥有8.74%的综合整治潜力，相对该区域总面积比例而言其整治潜力偏小。</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广水市综合整治重点区域包括十里街道办事处、杨寨镇、骆店镇、蔡河镇、城郊街道办事处、李店镇。</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3</w:t>
      </w:r>
      <w:r>
        <w:rPr>
          <w:rFonts w:ascii="仿宋" w:hAnsi="仿宋" w:eastAsia="仿宋"/>
          <w:b/>
          <w:bCs/>
          <w:color w:val="000000" w:themeColor="text1"/>
          <w:highlight w:val="none"/>
          <w14:textFill>
            <w14:solidFill>
              <w14:schemeClr w14:val="tx1"/>
            </w14:solidFill>
          </w14:textFill>
        </w:rPr>
        <w:t>）重点工程</w:t>
      </w:r>
    </w:p>
    <w:p>
      <w:pPr>
        <w:ind w:firstLine="562" w:firstLineChars="200"/>
        <w:rPr>
          <w:rFonts w:ascii="Times New Roman" w:hAnsi="Times New Roman" w:eastAsia="仿宋" w:cs="Times New Roman"/>
          <w:b/>
          <w:bCs/>
          <w:color w:val="000000" w:themeColor="text1"/>
          <w:kern w:val="21"/>
          <w:szCs w:val="20"/>
          <w:highlight w:val="none"/>
          <w14:textFill>
            <w14:solidFill>
              <w14:schemeClr w14:val="tx1"/>
            </w14:solidFill>
          </w14:textFill>
        </w:rPr>
      </w:pPr>
      <w:r>
        <w:rPr>
          <w:rFonts w:ascii="Times New Roman" w:hAnsi="Times New Roman" w:eastAsia="仿宋" w:cs="Times New Roman"/>
          <w:b/>
          <w:bCs/>
          <w:color w:val="000000" w:themeColor="text1"/>
          <w:kern w:val="21"/>
          <w:szCs w:val="20"/>
          <w:highlight w:val="none"/>
          <w14:textFill>
            <w14:solidFill>
              <w14:schemeClr w14:val="tx1"/>
            </w14:solidFill>
          </w14:textFill>
        </w:rPr>
        <w:fldChar w:fldCharType="begin"/>
      </w:r>
      <w:r>
        <w:rPr>
          <w:rFonts w:ascii="Times New Roman" w:hAnsi="Times New Roman" w:eastAsia="仿宋" w:cs="Times New Roman"/>
          <w:b/>
          <w:bCs/>
          <w:color w:val="000000" w:themeColor="text1"/>
          <w:kern w:val="21"/>
          <w:szCs w:val="20"/>
          <w:highlight w:val="none"/>
          <w14:textFill>
            <w14:solidFill>
              <w14:schemeClr w14:val="tx1"/>
            </w14:solidFill>
          </w14:textFill>
        </w:rPr>
        <w:instrText xml:space="preserve"> </w:instrText>
      </w:r>
      <w:r>
        <w:rPr>
          <w:rFonts w:hint="eastAsia" w:ascii="Times New Roman" w:hAnsi="Times New Roman" w:eastAsia="仿宋" w:cs="Times New Roman"/>
          <w:b/>
          <w:bCs/>
          <w:color w:val="000000" w:themeColor="text1"/>
          <w:kern w:val="21"/>
          <w:szCs w:val="20"/>
          <w:highlight w:val="none"/>
          <w14:textFill>
            <w14:solidFill>
              <w14:schemeClr w14:val="tx1"/>
            </w14:solidFill>
          </w14:textFill>
        </w:rPr>
        <w:instrText xml:space="preserve">= 1 \* GB3</w:instrText>
      </w:r>
      <w:r>
        <w:rPr>
          <w:rFonts w:ascii="Times New Roman" w:hAnsi="Times New Roman" w:eastAsia="仿宋" w:cs="Times New Roman"/>
          <w:b/>
          <w:bCs/>
          <w:color w:val="000000" w:themeColor="text1"/>
          <w:kern w:val="21"/>
          <w:szCs w:val="20"/>
          <w:highlight w:val="none"/>
          <w14:textFill>
            <w14:solidFill>
              <w14:schemeClr w14:val="tx1"/>
            </w14:solidFill>
          </w14:textFill>
        </w:rPr>
        <w:instrText xml:space="preserve"> </w:instrText>
      </w:r>
      <w:r>
        <w:rPr>
          <w:rFonts w:ascii="Times New Roman" w:hAnsi="Times New Roman" w:eastAsia="仿宋" w:cs="Times New Roman"/>
          <w:b/>
          <w:bCs/>
          <w:color w:val="000000" w:themeColor="text1"/>
          <w:kern w:val="21"/>
          <w:szCs w:val="20"/>
          <w:highlight w:val="none"/>
          <w14:textFill>
            <w14:solidFill>
              <w14:schemeClr w14:val="tx1"/>
            </w14:solidFill>
          </w14:textFill>
        </w:rPr>
        <w:fldChar w:fldCharType="separate"/>
      </w:r>
      <w:r>
        <w:rPr>
          <w:rFonts w:hint="eastAsia" w:ascii="Times New Roman" w:hAnsi="Times New Roman" w:eastAsia="仿宋" w:cs="Times New Roman"/>
          <w:b/>
          <w:bCs/>
          <w:color w:val="000000" w:themeColor="text1"/>
          <w:kern w:val="21"/>
          <w:szCs w:val="20"/>
          <w:highlight w:val="none"/>
          <w14:textFill>
            <w14:solidFill>
              <w14:schemeClr w14:val="tx1"/>
            </w14:solidFill>
          </w14:textFill>
        </w:rPr>
        <w:t>①</w:t>
      </w:r>
      <w:r>
        <w:rPr>
          <w:rFonts w:ascii="Times New Roman" w:hAnsi="Times New Roman" w:eastAsia="仿宋" w:cs="Times New Roman"/>
          <w:b/>
          <w:bCs/>
          <w:color w:val="000000" w:themeColor="text1"/>
          <w:kern w:val="21"/>
          <w:szCs w:val="20"/>
          <w:highlight w:val="none"/>
          <w14:textFill>
            <w14:solidFill>
              <w14:schemeClr w14:val="tx1"/>
            </w14:solidFill>
          </w14:textFill>
        </w:rPr>
        <w:fldChar w:fldCharType="end"/>
      </w:r>
      <w:r>
        <w:rPr>
          <w:rFonts w:ascii="Times New Roman" w:hAnsi="Times New Roman" w:eastAsia="仿宋" w:cs="Times New Roman"/>
          <w:b/>
          <w:bCs/>
          <w:color w:val="000000" w:themeColor="text1"/>
          <w:kern w:val="21"/>
          <w:szCs w:val="20"/>
          <w:highlight w:val="none"/>
          <w14:textFill>
            <w14:solidFill>
              <w14:schemeClr w14:val="tx1"/>
            </w14:solidFill>
          </w14:textFill>
        </w:rPr>
        <w:t>田水路林村综合整治</w:t>
      </w:r>
    </w:p>
    <w:p>
      <w:pPr>
        <w:spacing w:before="156" w:beforeLines="50" w:after="156" w:afterLines="50"/>
        <w:ind w:firstLine="560" w:firstLineChars="200"/>
        <w:rPr>
          <w:rFonts w:ascii="Times New Roman" w:hAnsi="Times New Roman" w:eastAsia="仿宋" w:cs="Times New Roman"/>
          <w:color w:val="000000" w:themeColor="text1"/>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广水市以土地整理复垦开发和城乡建设用地增减挂钩为平台，整合使用各类土地专项资金，积极聚合其他涉农资金，对农村田、水、路、林、村、房实行综合整治。促进耕地规模经营、人口集中居住、产业集聚发展，在严守耕地红线的同时，积极破解新农村房屋建设和产业集聚区发展等用地难题，推动城乡统筹发展。将城乡建设用地增减挂钩项目和土地整理复垦开发等项目整合为土地综合整治项目，以行政村为单位，实行“全域规划、全域设计、全域整治”，以“整村推进”的方式开展田、水、路、林、村、房综合整治，将其建设成为道路通畅、田块规整、灌排自如、林网秀美、环境优良、人居和谐的现代农业和农村示范区。</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highlight w:val="none"/>
          <w14:textFill>
            <w14:solidFill>
              <w14:schemeClr w14:val="tx1"/>
            </w14:solidFill>
          </w14:textFill>
        </w:rPr>
        <w:t>规划期间，全市安排</w:t>
      </w:r>
      <w:r>
        <w:rPr>
          <w:rFonts w:hint="eastAsia" w:ascii="Times New Roman" w:hAnsi="Times New Roman" w:eastAsia="仿宋" w:cs="Times New Roman"/>
          <w:color w:val="000000" w:themeColor="text1"/>
          <w:highlight w:val="none"/>
          <w14:textFill>
            <w14:solidFill>
              <w14:schemeClr w14:val="tx1"/>
            </w14:solidFill>
          </w14:textFill>
        </w:rPr>
        <w:t>8</w:t>
      </w:r>
      <w:r>
        <w:rPr>
          <w:rFonts w:ascii="Times New Roman" w:hAnsi="Times New Roman" w:eastAsia="仿宋" w:cs="Times New Roman"/>
          <w:color w:val="000000" w:themeColor="text1"/>
          <w:highlight w:val="none"/>
          <w14:textFill>
            <w14:solidFill>
              <w14:schemeClr w14:val="tx1"/>
            </w14:solidFill>
          </w14:textFill>
        </w:rPr>
        <w:t>个以生态保护、农地整治、村庄整治、土地开发、土地复垦等为一体的土地综合整治项目，综合整治总规模为</w:t>
      </w:r>
      <w:r>
        <w:rPr>
          <w:rFonts w:hint="eastAsia" w:ascii="Times New Roman" w:hAnsi="Times New Roman" w:eastAsia="仿宋" w:cs="Times New Roman"/>
          <w:color w:val="000000" w:themeColor="text1"/>
          <w:highlight w:val="none"/>
          <w14:textFill>
            <w14:solidFill>
              <w14:schemeClr w14:val="tx1"/>
            </w14:solidFill>
          </w14:textFill>
        </w:rPr>
        <w:t>55.8</w:t>
      </w:r>
      <w:r>
        <w:rPr>
          <w:rFonts w:ascii="Times New Roman" w:hAnsi="Times New Roman" w:eastAsia="仿宋" w:cs="Times New Roman"/>
          <w:color w:val="000000" w:themeColor="text1"/>
          <w:highlight w:val="none"/>
          <w14:textFill>
            <w14:solidFill>
              <w14:schemeClr w14:val="tx1"/>
            </w14:solidFill>
          </w14:textFill>
        </w:rPr>
        <w:t>6</w:t>
      </w:r>
      <w:r>
        <w:rPr>
          <w:rFonts w:hint="eastAsia" w:ascii="Times New Roman" w:hAnsi="Times New Roman" w:eastAsia="仿宋" w:cs="Times New Roman"/>
          <w:color w:val="000000" w:themeColor="text1"/>
          <w:kern w:val="21"/>
          <w:szCs w:val="20"/>
          <w:highlight w:val="none"/>
          <w14:textFill>
            <w14:solidFill>
              <w14:schemeClr w14:val="tx1"/>
            </w14:solidFill>
          </w14:textFill>
        </w:rPr>
        <w:t>平方公里</w:t>
      </w:r>
      <w:r>
        <w:rPr>
          <w:rFonts w:ascii="Times New Roman" w:hAnsi="Times New Roman" w:eastAsia="仿宋" w:cs="Times New Roman"/>
          <w:color w:val="000000" w:themeColor="text1"/>
          <w:highlight w:val="none"/>
          <w14:textFill>
            <w14:solidFill>
              <w14:schemeClr w14:val="tx1"/>
            </w14:solidFill>
          </w14:textFill>
        </w:rPr>
        <w:t>，按照广水市分类型土地整治投入成本测算，共需资金</w:t>
      </w:r>
      <w:r>
        <w:rPr>
          <w:rFonts w:hint="eastAsia" w:ascii="Times New Roman" w:hAnsi="Times New Roman" w:eastAsia="仿宋" w:cs="Times New Roman"/>
          <w:color w:val="000000" w:themeColor="text1"/>
          <w:highlight w:val="none"/>
          <w14:textFill>
            <w14:solidFill>
              <w14:schemeClr w14:val="tx1"/>
            </w14:solidFill>
          </w14:textFill>
        </w:rPr>
        <w:t>20119.73</w:t>
      </w:r>
      <w:r>
        <w:rPr>
          <w:rFonts w:ascii="Times New Roman" w:hAnsi="Times New Roman" w:eastAsia="仿宋" w:cs="Times New Roman"/>
          <w:color w:val="000000" w:themeColor="text1"/>
          <w:highlight w:val="none"/>
          <w14:textFill>
            <w14:solidFill>
              <w14:schemeClr w14:val="tx1"/>
            </w14:solidFill>
          </w14:textFill>
        </w:rPr>
        <w:t>万元，新增耕地</w:t>
      </w:r>
      <w:r>
        <w:rPr>
          <w:rFonts w:hint="eastAsia" w:ascii="Times New Roman" w:hAnsi="Times New Roman" w:eastAsia="仿宋" w:cs="Times New Roman"/>
          <w:color w:val="000000" w:themeColor="text1"/>
          <w:highlight w:val="none"/>
          <w14:textFill>
            <w14:solidFill>
              <w14:schemeClr w14:val="tx1"/>
            </w14:solidFill>
          </w14:textFill>
        </w:rPr>
        <w:t>1</w:t>
      </w:r>
      <w:r>
        <w:rPr>
          <w:rFonts w:ascii="Times New Roman" w:hAnsi="Times New Roman" w:eastAsia="仿宋" w:cs="Times New Roman"/>
          <w:color w:val="000000" w:themeColor="text1"/>
          <w:highlight w:val="none"/>
          <w14:textFill>
            <w14:solidFill>
              <w14:schemeClr w14:val="tx1"/>
            </w14:solidFill>
          </w14:textFill>
        </w:rPr>
        <w:t>.</w:t>
      </w:r>
      <w:r>
        <w:rPr>
          <w:rFonts w:hint="eastAsia" w:ascii="Times New Roman" w:hAnsi="Times New Roman" w:eastAsia="仿宋" w:cs="Times New Roman"/>
          <w:color w:val="000000" w:themeColor="text1"/>
          <w:highlight w:val="none"/>
          <w14:textFill>
            <w14:solidFill>
              <w14:schemeClr w14:val="tx1"/>
            </w14:solidFill>
          </w14:textFill>
        </w:rPr>
        <w:t>6</w:t>
      </w:r>
      <w:r>
        <w:rPr>
          <w:rFonts w:ascii="Times New Roman" w:hAnsi="Times New Roman" w:eastAsia="仿宋" w:cs="Times New Roman"/>
          <w:color w:val="000000" w:themeColor="text1"/>
          <w:highlight w:val="none"/>
          <w14:textFill>
            <w14:solidFill>
              <w14:schemeClr w14:val="tx1"/>
            </w14:solidFill>
          </w14:textFill>
        </w:rPr>
        <w:t>8公顷。</w:t>
      </w:r>
    </w:p>
    <w:p>
      <w:pPr>
        <w:ind w:firstLine="562" w:firstLineChars="200"/>
        <w:rPr>
          <w:rFonts w:ascii="Times New Roman" w:hAnsi="Times New Roman" w:eastAsia="仿宋" w:cs="Times New Roman"/>
          <w:b/>
          <w:bCs/>
          <w:color w:val="000000" w:themeColor="text1"/>
          <w:kern w:val="21"/>
          <w:szCs w:val="20"/>
          <w:highlight w:val="none"/>
          <w14:textFill>
            <w14:solidFill>
              <w14:schemeClr w14:val="tx1"/>
            </w14:solidFill>
          </w14:textFill>
        </w:rPr>
      </w:pPr>
      <w:r>
        <w:rPr>
          <w:rFonts w:ascii="Times New Roman" w:hAnsi="Times New Roman" w:eastAsia="仿宋" w:cs="Times New Roman"/>
          <w:b/>
          <w:bCs/>
          <w:color w:val="000000" w:themeColor="text1"/>
          <w:kern w:val="21"/>
          <w:szCs w:val="20"/>
          <w:highlight w:val="none"/>
          <w14:textFill>
            <w14:solidFill>
              <w14:schemeClr w14:val="tx1"/>
            </w14:solidFill>
          </w14:textFill>
        </w:rPr>
        <w:fldChar w:fldCharType="begin"/>
      </w:r>
      <w:r>
        <w:rPr>
          <w:rFonts w:ascii="Times New Roman" w:hAnsi="Times New Roman" w:eastAsia="仿宋" w:cs="Times New Roman"/>
          <w:b/>
          <w:bCs/>
          <w:color w:val="000000" w:themeColor="text1"/>
          <w:kern w:val="21"/>
          <w:szCs w:val="20"/>
          <w:highlight w:val="none"/>
          <w14:textFill>
            <w14:solidFill>
              <w14:schemeClr w14:val="tx1"/>
            </w14:solidFill>
          </w14:textFill>
        </w:rPr>
        <w:instrText xml:space="preserve"> </w:instrText>
      </w:r>
      <w:r>
        <w:rPr>
          <w:rFonts w:hint="eastAsia" w:ascii="Times New Roman" w:hAnsi="Times New Roman" w:eastAsia="仿宋" w:cs="Times New Roman"/>
          <w:b/>
          <w:bCs/>
          <w:color w:val="000000" w:themeColor="text1"/>
          <w:kern w:val="21"/>
          <w:szCs w:val="20"/>
          <w:highlight w:val="none"/>
          <w14:textFill>
            <w14:solidFill>
              <w14:schemeClr w14:val="tx1"/>
            </w14:solidFill>
          </w14:textFill>
        </w:rPr>
        <w:instrText xml:space="preserve">= 2 \* GB3</w:instrText>
      </w:r>
      <w:r>
        <w:rPr>
          <w:rFonts w:ascii="Times New Roman" w:hAnsi="Times New Roman" w:eastAsia="仿宋" w:cs="Times New Roman"/>
          <w:b/>
          <w:bCs/>
          <w:color w:val="000000" w:themeColor="text1"/>
          <w:kern w:val="21"/>
          <w:szCs w:val="20"/>
          <w:highlight w:val="none"/>
          <w14:textFill>
            <w14:solidFill>
              <w14:schemeClr w14:val="tx1"/>
            </w14:solidFill>
          </w14:textFill>
        </w:rPr>
        <w:instrText xml:space="preserve"> </w:instrText>
      </w:r>
      <w:r>
        <w:rPr>
          <w:rFonts w:ascii="Times New Roman" w:hAnsi="Times New Roman" w:eastAsia="仿宋" w:cs="Times New Roman"/>
          <w:b/>
          <w:bCs/>
          <w:color w:val="000000" w:themeColor="text1"/>
          <w:kern w:val="21"/>
          <w:szCs w:val="20"/>
          <w:highlight w:val="none"/>
          <w14:textFill>
            <w14:solidFill>
              <w14:schemeClr w14:val="tx1"/>
            </w14:solidFill>
          </w14:textFill>
        </w:rPr>
        <w:fldChar w:fldCharType="separate"/>
      </w:r>
      <w:r>
        <w:rPr>
          <w:rFonts w:hint="eastAsia" w:ascii="Times New Roman" w:hAnsi="Times New Roman" w:eastAsia="仿宋" w:cs="Times New Roman"/>
          <w:b/>
          <w:bCs/>
          <w:color w:val="000000" w:themeColor="text1"/>
          <w:kern w:val="21"/>
          <w:szCs w:val="20"/>
          <w:highlight w:val="none"/>
          <w14:textFill>
            <w14:solidFill>
              <w14:schemeClr w14:val="tx1"/>
            </w14:solidFill>
          </w14:textFill>
        </w:rPr>
        <w:t>②</w:t>
      </w:r>
      <w:r>
        <w:rPr>
          <w:rFonts w:ascii="Times New Roman" w:hAnsi="Times New Roman" w:eastAsia="仿宋" w:cs="Times New Roman"/>
          <w:b/>
          <w:bCs/>
          <w:color w:val="000000" w:themeColor="text1"/>
          <w:kern w:val="21"/>
          <w:szCs w:val="20"/>
          <w:highlight w:val="none"/>
          <w14:textFill>
            <w14:solidFill>
              <w14:schemeClr w14:val="tx1"/>
            </w14:solidFill>
          </w14:textFill>
        </w:rPr>
        <w:fldChar w:fldCharType="end"/>
      </w:r>
      <w:r>
        <w:rPr>
          <w:rFonts w:ascii="Times New Roman" w:hAnsi="Times New Roman" w:eastAsia="仿宋" w:cs="Times New Roman"/>
          <w:b/>
          <w:bCs/>
          <w:color w:val="000000" w:themeColor="text1"/>
          <w:kern w:val="21"/>
          <w:szCs w:val="20"/>
          <w:highlight w:val="none"/>
          <w14:textFill>
            <w14:solidFill>
              <w14:schemeClr w14:val="tx1"/>
            </w14:solidFill>
          </w14:textFill>
        </w:rPr>
        <w:t>城乡建设用地增减挂钩</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按照“城镇建设用地增加与农村建设用地减少相挂钩”的原则，推进土地节约集约利用，为城镇建设用地拓展空间，统筹城乡发展，全面提高耕地质量和土地集约利用水平，优化农村土地利用结构，改善农村生产生活条件，建设社会主义新农村，提升土地资源可持续利用水平，项目优先布局在各乡（镇）用地供需紧张、社会经济条件较好、农民支持度较高的地区。</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规划期间，全市农村建设用地整治总规模为37</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73</w:t>
      </w:r>
      <w:r>
        <w:rPr>
          <w:rFonts w:hint="eastAsia" w:ascii="Times New Roman" w:hAnsi="Times New Roman" w:eastAsia="仿宋" w:cs="Times New Roman"/>
          <w:color w:val="000000" w:themeColor="text1"/>
          <w:kern w:val="21"/>
          <w:szCs w:val="20"/>
          <w:highlight w:val="none"/>
          <w14:textFill>
            <w14:solidFill>
              <w14:schemeClr w14:val="tx1"/>
            </w14:solidFill>
          </w14:textFill>
        </w:rPr>
        <w:t>平方公里</w:t>
      </w:r>
      <w:r>
        <w:rPr>
          <w:rFonts w:ascii="Times New Roman" w:hAnsi="Times New Roman" w:eastAsia="仿宋" w:cs="Times New Roman"/>
          <w:color w:val="000000" w:themeColor="text1"/>
          <w:kern w:val="21"/>
          <w:szCs w:val="20"/>
          <w:highlight w:val="none"/>
          <w14:textFill>
            <w14:solidFill>
              <w14:schemeClr w14:val="tx1"/>
            </w14:solidFill>
          </w14:textFill>
        </w:rPr>
        <w:t>，新增耕地30</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18</w:t>
      </w:r>
      <w:r>
        <w:rPr>
          <w:rFonts w:hint="eastAsia" w:ascii="Times New Roman" w:hAnsi="Times New Roman" w:eastAsia="仿宋" w:cs="Times New Roman"/>
          <w:color w:val="000000" w:themeColor="text1"/>
          <w:kern w:val="21"/>
          <w:szCs w:val="20"/>
          <w:highlight w:val="none"/>
          <w14:textFill>
            <w14:solidFill>
              <w14:schemeClr w14:val="tx1"/>
            </w14:solidFill>
          </w14:textFill>
        </w:rPr>
        <w:t>平方公里。</w:t>
      </w:r>
    </w:p>
    <w:p>
      <w:pPr>
        <w:ind w:firstLine="562" w:firstLineChars="200"/>
        <w:rPr>
          <w:rFonts w:ascii="Times New Roman" w:hAnsi="Times New Roman" w:eastAsia="仿宋" w:cs="Times New Roman"/>
          <w:b/>
          <w:bCs/>
          <w:color w:val="000000" w:themeColor="text1"/>
          <w:kern w:val="21"/>
          <w:szCs w:val="20"/>
          <w:highlight w:val="none"/>
          <w14:textFill>
            <w14:solidFill>
              <w14:schemeClr w14:val="tx1"/>
            </w14:solidFill>
          </w14:textFill>
        </w:rPr>
      </w:pPr>
      <w:r>
        <w:rPr>
          <w:rFonts w:ascii="Times New Roman" w:hAnsi="Times New Roman" w:eastAsia="仿宋" w:cs="Times New Roman"/>
          <w:b/>
          <w:bCs/>
          <w:color w:val="000000" w:themeColor="text1"/>
          <w:kern w:val="21"/>
          <w:szCs w:val="20"/>
          <w:highlight w:val="none"/>
          <w14:textFill>
            <w14:solidFill>
              <w14:schemeClr w14:val="tx1"/>
            </w14:solidFill>
          </w14:textFill>
        </w:rPr>
        <w:fldChar w:fldCharType="begin"/>
      </w:r>
      <w:r>
        <w:rPr>
          <w:rFonts w:ascii="Times New Roman" w:hAnsi="Times New Roman" w:eastAsia="仿宋" w:cs="Times New Roman"/>
          <w:b/>
          <w:bCs/>
          <w:color w:val="000000" w:themeColor="text1"/>
          <w:kern w:val="21"/>
          <w:szCs w:val="20"/>
          <w:highlight w:val="none"/>
          <w14:textFill>
            <w14:solidFill>
              <w14:schemeClr w14:val="tx1"/>
            </w14:solidFill>
          </w14:textFill>
        </w:rPr>
        <w:instrText xml:space="preserve"> </w:instrText>
      </w:r>
      <w:r>
        <w:rPr>
          <w:rFonts w:hint="eastAsia" w:ascii="Times New Roman" w:hAnsi="Times New Roman" w:eastAsia="仿宋" w:cs="Times New Roman"/>
          <w:b/>
          <w:bCs/>
          <w:color w:val="000000" w:themeColor="text1"/>
          <w:kern w:val="21"/>
          <w:szCs w:val="20"/>
          <w:highlight w:val="none"/>
          <w14:textFill>
            <w14:solidFill>
              <w14:schemeClr w14:val="tx1"/>
            </w14:solidFill>
          </w14:textFill>
        </w:rPr>
        <w:instrText xml:space="preserve">= 3 \* GB3</w:instrText>
      </w:r>
      <w:r>
        <w:rPr>
          <w:rFonts w:ascii="Times New Roman" w:hAnsi="Times New Roman" w:eastAsia="仿宋" w:cs="Times New Roman"/>
          <w:b/>
          <w:bCs/>
          <w:color w:val="000000" w:themeColor="text1"/>
          <w:kern w:val="21"/>
          <w:szCs w:val="20"/>
          <w:highlight w:val="none"/>
          <w14:textFill>
            <w14:solidFill>
              <w14:schemeClr w14:val="tx1"/>
            </w14:solidFill>
          </w14:textFill>
        </w:rPr>
        <w:instrText xml:space="preserve"> </w:instrText>
      </w:r>
      <w:r>
        <w:rPr>
          <w:rFonts w:ascii="Times New Roman" w:hAnsi="Times New Roman" w:eastAsia="仿宋" w:cs="Times New Roman"/>
          <w:b/>
          <w:bCs/>
          <w:color w:val="000000" w:themeColor="text1"/>
          <w:kern w:val="21"/>
          <w:szCs w:val="20"/>
          <w:highlight w:val="none"/>
          <w14:textFill>
            <w14:solidFill>
              <w14:schemeClr w14:val="tx1"/>
            </w14:solidFill>
          </w14:textFill>
        </w:rPr>
        <w:fldChar w:fldCharType="separate"/>
      </w:r>
      <w:r>
        <w:rPr>
          <w:rFonts w:hint="eastAsia" w:ascii="Times New Roman" w:hAnsi="Times New Roman" w:eastAsia="仿宋" w:cs="Times New Roman"/>
          <w:b/>
          <w:bCs/>
          <w:color w:val="000000" w:themeColor="text1"/>
          <w:kern w:val="21"/>
          <w:szCs w:val="20"/>
          <w:highlight w:val="none"/>
          <w14:textFill>
            <w14:solidFill>
              <w14:schemeClr w14:val="tx1"/>
            </w14:solidFill>
          </w14:textFill>
        </w:rPr>
        <w:t>③</w:t>
      </w:r>
      <w:r>
        <w:rPr>
          <w:rFonts w:ascii="Times New Roman" w:hAnsi="Times New Roman" w:eastAsia="仿宋" w:cs="Times New Roman"/>
          <w:b/>
          <w:bCs/>
          <w:color w:val="000000" w:themeColor="text1"/>
          <w:kern w:val="21"/>
          <w:szCs w:val="20"/>
          <w:highlight w:val="none"/>
          <w14:textFill>
            <w14:solidFill>
              <w14:schemeClr w14:val="tx1"/>
            </w14:solidFill>
          </w14:textFill>
        </w:rPr>
        <w:fldChar w:fldCharType="end"/>
      </w:r>
      <w:r>
        <w:rPr>
          <w:rFonts w:ascii="Times New Roman" w:hAnsi="Times New Roman" w:eastAsia="仿宋" w:cs="Times New Roman"/>
          <w:b/>
          <w:bCs/>
          <w:color w:val="000000" w:themeColor="text1"/>
          <w:kern w:val="21"/>
          <w:szCs w:val="20"/>
          <w:highlight w:val="none"/>
          <w14:textFill>
            <w14:solidFill>
              <w14:schemeClr w14:val="tx1"/>
            </w14:solidFill>
          </w14:textFill>
        </w:rPr>
        <w:t>高标准农田建设项目</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高标准基本农田建设内容主要包括土地平整、灌溉与排水、田间道路、农田防护与生态环境保持以及其他等五项工程。通过高标准基本农田建设，优化土地利用结构，完善田间基础设施，提高机械化水平和农业综合生产能力，增强抵御自然灾害能力，改善生态景观。</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规划期间，广水市安排高标准基本农田建设项目23个，建设规模达275.66</w:t>
      </w:r>
      <w:r>
        <w:rPr>
          <w:rFonts w:hint="eastAsia" w:ascii="Times New Roman" w:hAnsi="Times New Roman" w:eastAsia="仿宋" w:cs="Times New Roman"/>
          <w:color w:val="000000" w:themeColor="text1"/>
          <w:kern w:val="21"/>
          <w:szCs w:val="20"/>
          <w:highlight w:val="none"/>
          <w14:textFill>
            <w14:solidFill>
              <w14:schemeClr w14:val="tx1"/>
            </w14:solidFill>
          </w14:textFill>
        </w:rPr>
        <w:t>平方公里</w:t>
      </w:r>
      <w:r>
        <w:rPr>
          <w:rFonts w:ascii="Times New Roman" w:hAnsi="Times New Roman" w:eastAsia="仿宋" w:cs="Times New Roman"/>
          <w:color w:val="000000" w:themeColor="text1"/>
          <w:kern w:val="21"/>
          <w:szCs w:val="20"/>
          <w:highlight w:val="none"/>
          <w14:textFill>
            <w14:solidFill>
              <w14:schemeClr w14:val="tx1"/>
            </w14:solidFill>
          </w14:textFill>
        </w:rPr>
        <w:t>，预计新增耕地面积8.27</w:t>
      </w:r>
      <w:r>
        <w:rPr>
          <w:rFonts w:hint="eastAsia" w:ascii="Times New Roman" w:hAnsi="Times New Roman" w:eastAsia="仿宋" w:cs="Times New Roman"/>
          <w:color w:val="000000" w:themeColor="text1"/>
          <w:kern w:val="21"/>
          <w:szCs w:val="20"/>
          <w:highlight w:val="none"/>
          <w14:textFill>
            <w14:solidFill>
              <w14:schemeClr w14:val="tx1"/>
            </w14:solidFill>
          </w14:textFill>
        </w:rPr>
        <w:t>平方公里</w:t>
      </w:r>
      <w:r>
        <w:rPr>
          <w:rFonts w:ascii="Times New Roman" w:hAnsi="Times New Roman" w:eastAsia="仿宋" w:cs="Times New Roman"/>
          <w:color w:val="000000" w:themeColor="text1"/>
          <w:kern w:val="21"/>
          <w:szCs w:val="20"/>
          <w:highlight w:val="none"/>
          <w14:textFill>
            <w14:solidFill>
              <w14:schemeClr w14:val="tx1"/>
            </w14:solidFill>
          </w14:textFill>
        </w:rPr>
        <w:t>。</w:t>
      </w:r>
    </w:p>
    <w:p>
      <w:pPr>
        <w:pStyle w:val="4"/>
        <w:rPr>
          <w:rFonts w:ascii="仿宋" w:hAnsi="仿宋" w:eastAsia="仿宋"/>
          <w:color w:val="000000" w:themeColor="text1"/>
          <w:highlight w:val="none"/>
          <w14:textFill>
            <w14:solidFill>
              <w14:schemeClr w14:val="tx1"/>
            </w14:solidFill>
          </w14:textFill>
        </w:rPr>
      </w:pPr>
      <w:bookmarkStart w:id="90" w:name="_Toc8064"/>
      <w:bookmarkStart w:id="91" w:name="_Toc28380"/>
      <w:bookmarkStart w:id="92" w:name="_Toc10182"/>
      <w:r>
        <w:rPr>
          <w:rFonts w:ascii="仿宋" w:hAnsi="仿宋" w:eastAsia="仿宋"/>
          <w:color w:val="000000" w:themeColor="text1"/>
          <w:highlight w:val="none"/>
          <w14:textFill>
            <w14:solidFill>
              <w14:schemeClr w14:val="tx1"/>
            </w14:solidFill>
          </w14:textFill>
        </w:rPr>
        <w:t>第2节 生态修复</w:t>
      </w:r>
      <w:bookmarkEnd w:id="90"/>
      <w:bookmarkEnd w:id="91"/>
      <w:bookmarkEnd w:id="92"/>
    </w:p>
    <w:p>
      <w:pPr>
        <w:widowControl/>
        <w:ind w:firstLine="562" w:firstLineChars="200"/>
        <w:jc w:val="left"/>
        <w:rPr>
          <w:rFonts w:ascii="仿宋" w:hAnsi="仿宋" w:eastAsia="仿宋"/>
          <w:b/>
          <w:bCs/>
          <w:color w:val="000000" w:themeColor="text1"/>
          <w:highlight w:val="none"/>
          <w:u w:val="singl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1</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山体环境整治与修复</w:t>
      </w:r>
      <w:r>
        <w:rPr>
          <w:rFonts w:hint="eastAsia" w:ascii="仿宋" w:hAnsi="仿宋" w:eastAsia="仿宋"/>
          <w:b/>
          <w:bCs/>
          <w:color w:val="000000" w:themeColor="text1"/>
          <w:highlight w:val="none"/>
          <w:u w:val="single"/>
          <w14:textFill>
            <w14:solidFill>
              <w14:schemeClr w14:val="tx1"/>
            </w14:solidFill>
          </w14:textFill>
        </w:rPr>
        <w:t>（整治范围、整治目标，整治目标不清楚）</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fldChar w:fldCharType="begin"/>
      </w:r>
      <w:r>
        <w:rPr>
          <w:rFonts w:ascii="仿宋" w:hAnsi="仿宋" w:eastAsia="仿宋"/>
          <w:b/>
          <w:bCs/>
          <w:color w:val="000000" w:themeColor="text1"/>
          <w:highlight w:val="none"/>
          <w14:textFill>
            <w14:solidFill>
              <w14:schemeClr w14:val="tx1"/>
            </w14:solidFill>
          </w14:textFill>
        </w:rPr>
        <w:instrText xml:space="preserve"> </w:instrText>
      </w:r>
      <w:r>
        <w:rPr>
          <w:rFonts w:hint="eastAsia" w:ascii="仿宋" w:hAnsi="仿宋" w:eastAsia="仿宋"/>
          <w:b/>
          <w:bCs/>
          <w:color w:val="000000" w:themeColor="text1"/>
          <w:highlight w:val="none"/>
          <w14:textFill>
            <w14:solidFill>
              <w14:schemeClr w14:val="tx1"/>
            </w14:solidFill>
          </w14:textFill>
        </w:rPr>
        <w:instrText xml:space="preserve">= 1 \* GB3</w:instrText>
      </w:r>
      <w:r>
        <w:rPr>
          <w:rFonts w:ascii="仿宋" w:hAnsi="仿宋" w:eastAsia="仿宋"/>
          <w:b/>
          <w:bCs/>
          <w:color w:val="000000" w:themeColor="text1"/>
          <w:highlight w:val="none"/>
          <w14:textFill>
            <w14:solidFill>
              <w14:schemeClr w14:val="tx1"/>
            </w14:solidFill>
          </w14:textFill>
        </w:rPr>
        <w:instrText xml:space="preserve"> </w:instrText>
      </w:r>
      <w:r>
        <w:rPr>
          <w:rFonts w:ascii="仿宋" w:hAnsi="仿宋" w:eastAsia="仿宋"/>
          <w:b/>
          <w:bCs/>
          <w:color w:val="000000" w:themeColor="text1"/>
          <w:highlight w:val="none"/>
          <w14:textFill>
            <w14:solidFill>
              <w14:schemeClr w14:val="tx1"/>
            </w14:solidFill>
          </w14:textFill>
        </w:rPr>
        <w:fldChar w:fldCharType="separate"/>
      </w:r>
      <w:r>
        <w:rPr>
          <w:rFonts w:hint="eastAsia" w:ascii="仿宋" w:hAnsi="仿宋" w:eastAsia="仿宋"/>
          <w:b/>
          <w:bCs/>
          <w:color w:val="000000" w:themeColor="text1"/>
          <w:highlight w:val="none"/>
          <w14:textFill>
            <w14:solidFill>
              <w14:schemeClr w14:val="tx1"/>
            </w14:solidFill>
          </w14:textFill>
        </w:rPr>
        <w:t>①</w:t>
      </w:r>
      <w:r>
        <w:rPr>
          <w:rFonts w:ascii="仿宋" w:hAnsi="仿宋" w:eastAsia="仿宋"/>
          <w:b/>
          <w:bCs/>
          <w:color w:val="000000" w:themeColor="text1"/>
          <w:highlight w:val="none"/>
          <w14:textFill>
            <w14:solidFill>
              <w14:schemeClr w14:val="tx1"/>
            </w14:solidFill>
          </w14:textFill>
        </w:rPr>
        <w:fldChar w:fldCharType="end"/>
      </w:r>
      <w:r>
        <w:rPr>
          <w:rFonts w:ascii="仿宋" w:hAnsi="仿宋" w:eastAsia="仿宋"/>
          <w:b/>
          <w:bCs/>
          <w:color w:val="000000" w:themeColor="text1"/>
          <w:highlight w:val="none"/>
          <w14:textFill>
            <w14:solidFill>
              <w14:schemeClr w14:val="tx1"/>
            </w14:solidFill>
          </w14:textFill>
        </w:rPr>
        <w:t>整治目标</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重点开展自然保留区和林业发展区的森林山体生态保护修复工作，提升公益林质量</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适当控制经济林种植面积，补种本地树种，改善森林的树种组成、年龄和空间结构，提高林地生产力和林木生长量，促进森林、林木生长发育，丰富生物多样性，维护森林健康。对难以通过自然能力更新恢复的防护林，通过采用更替、择伐、抚育、林带渐进、综合等方式进行修复，以使其达到提高林分质量，恢复和提升生态防护功能。依托国省主干道路、山体修复、江河岸林等绿化工程建设，构建区域生态绿廊绿网。强化重点森林山体的修复和绿化，推进毁损山体的生态修复，通过植被恢复，增强碳汇和生物多样性功能</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通过</w:t>
      </w:r>
      <w:r>
        <w:rPr>
          <w:rFonts w:hint="eastAsia" w:ascii="Times New Roman" w:hAnsi="Times New Roman" w:eastAsia="仿宋" w:cs="Times New Roman"/>
          <w:color w:val="000000" w:themeColor="text1"/>
          <w:kern w:val="21"/>
          <w:szCs w:val="20"/>
          <w:highlight w:val="none"/>
          <w14:textFill>
            <w14:solidFill>
              <w14:schemeClr w14:val="tx1"/>
            </w14:solidFill>
          </w14:textFill>
        </w:rPr>
        <w:t>主要河流</w:t>
      </w:r>
      <w:r>
        <w:rPr>
          <w:rFonts w:ascii="Times New Roman" w:hAnsi="Times New Roman" w:eastAsia="仿宋" w:cs="Times New Roman"/>
          <w:color w:val="000000" w:themeColor="text1"/>
          <w:kern w:val="21"/>
          <w:szCs w:val="20"/>
          <w:highlight w:val="none"/>
          <w14:textFill>
            <w14:solidFill>
              <w14:schemeClr w14:val="tx1"/>
            </w14:solidFill>
          </w14:textFill>
        </w:rPr>
        <w:t>汇水区山体植被的生态保育和修复,改善河岸护坡森林质量，提升森林生态系统的稳定性和服务功能。加强饮用水源地、湖库周边绿化。</w:t>
      </w:r>
    </w:p>
    <w:p>
      <w:pPr>
        <w:ind w:firstLine="562" w:firstLineChars="200"/>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fldChar w:fldCharType="begin"/>
      </w:r>
      <w:r>
        <w:rPr>
          <w:rFonts w:ascii="仿宋" w:hAnsi="仿宋" w:eastAsia="仿宋"/>
          <w:b/>
          <w:bCs/>
          <w:color w:val="000000" w:themeColor="text1"/>
          <w:highlight w:val="none"/>
          <w14:textFill>
            <w14:solidFill>
              <w14:schemeClr w14:val="tx1"/>
            </w14:solidFill>
          </w14:textFill>
        </w:rPr>
        <w:instrText xml:space="preserve"> </w:instrText>
      </w:r>
      <w:r>
        <w:rPr>
          <w:rFonts w:hint="eastAsia" w:ascii="仿宋" w:hAnsi="仿宋" w:eastAsia="仿宋"/>
          <w:b/>
          <w:bCs/>
          <w:color w:val="000000" w:themeColor="text1"/>
          <w:highlight w:val="none"/>
          <w14:textFill>
            <w14:solidFill>
              <w14:schemeClr w14:val="tx1"/>
            </w14:solidFill>
          </w14:textFill>
        </w:rPr>
        <w:instrText xml:space="preserve">= 2 \* GB3</w:instrText>
      </w:r>
      <w:r>
        <w:rPr>
          <w:rFonts w:ascii="仿宋" w:hAnsi="仿宋" w:eastAsia="仿宋"/>
          <w:b/>
          <w:bCs/>
          <w:color w:val="000000" w:themeColor="text1"/>
          <w:highlight w:val="none"/>
          <w14:textFill>
            <w14:solidFill>
              <w14:schemeClr w14:val="tx1"/>
            </w14:solidFill>
          </w14:textFill>
        </w:rPr>
        <w:instrText xml:space="preserve"> </w:instrText>
      </w:r>
      <w:r>
        <w:rPr>
          <w:rFonts w:ascii="仿宋" w:hAnsi="仿宋" w:eastAsia="仿宋"/>
          <w:b/>
          <w:bCs/>
          <w:color w:val="000000" w:themeColor="text1"/>
          <w:highlight w:val="none"/>
          <w14:textFill>
            <w14:solidFill>
              <w14:schemeClr w14:val="tx1"/>
            </w14:solidFill>
          </w14:textFill>
        </w:rPr>
        <w:fldChar w:fldCharType="separate"/>
      </w:r>
      <w:r>
        <w:rPr>
          <w:rFonts w:hint="eastAsia" w:ascii="仿宋" w:hAnsi="仿宋" w:eastAsia="仿宋"/>
          <w:b/>
          <w:bCs/>
          <w:color w:val="000000" w:themeColor="text1"/>
          <w:highlight w:val="none"/>
          <w14:textFill>
            <w14:solidFill>
              <w14:schemeClr w14:val="tx1"/>
            </w14:solidFill>
          </w14:textFill>
        </w:rPr>
        <w:t>②</w:t>
      </w:r>
      <w:r>
        <w:rPr>
          <w:rFonts w:ascii="仿宋" w:hAnsi="仿宋" w:eastAsia="仿宋"/>
          <w:b/>
          <w:bCs/>
          <w:color w:val="000000" w:themeColor="text1"/>
          <w:highlight w:val="none"/>
          <w14:textFill>
            <w14:solidFill>
              <w14:schemeClr w14:val="tx1"/>
            </w14:solidFill>
          </w14:textFill>
        </w:rPr>
        <w:fldChar w:fldCharType="end"/>
      </w:r>
      <w:r>
        <w:rPr>
          <w:rFonts w:ascii="仿宋" w:hAnsi="仿宋" w:eastAsia="仿宋"/>
          <w:b/>
          <w:bCs/>
          <w:color w:val="000000" w:themeColor="text1"/>
          <w:highlight w:val="none"/>
          <w14:textFill>
            <w14:solidFill>
              <w14:schemeClr w14:val="tx1"/>
            </w14:solidFill>
          </w14:textFill>
        </w:rPr>
        <w:t>重点区域</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山体环境整治与修复主要为重点森林山体</w:t>
      </w:r>
      <w:r>
        <w:rPr>
          <w:rFonts w:ascii="Times New Roman" w:hAnsi="Times New Roman" w:eastAsia="仿宋" w:cs="Times New Roman"/>
          <w:color w:val="000000" w:themeColor="text1"/>
          <w:kern w:val="21"/>
          <w:szCs w:val="20"/>
          <w:highlight w:val="none"/>
          <w14:textFill>
            <w14:solidFill>
              <w14:schemeClr w14:val="tx1"/>
            </w14:solidFill>
          </w14:textFill>
        </w:rPr>
        <w:t>三潭风景区、大别山、二妹山、中华山、寿山、吉阳山、乐城山、桐柏山</w:t>
      </w:r>
      <w:r>
        <w:rPr>
          <w:rFonts w:hint="eastAsia" w:ascii="Times New Roman" w:hAnsi="Times New Roman" w:eastAsia="仿宋" w:cs="Times New Roman"/>
          <w:color w:val="000000" w:themeColor="text1"/>
          <w:kern w:val="21"/>
          <w:szCs w:val="20"/>
          <w:highlight w:val="none"/>
          <w14:textFill>
            <w14:solidFill>
              <w14:schemeClr w14:val="tx1"/>
            </w14:solidFill>
          </w14:textFill>
        </w:rPr>
        <w:t>以及</w:t>
      </w:r>
      <w:r>
        <w:rPr>
          <w:rFonts w:ascii="Times New Roman" w:hAnsi="Times New Roman" w:eastAsia="仿宋" w:cs="Times New Roman"/>
          <w:color w:val="000000" w:themeColor="text1"/>
          <w:kern w:val="21"/>
          <w:szCs w:val="20"/>
          <w:highlight w:val="none"/>
          <w14:textFill>
            <w14:solidFill>
              <w14:schemeClr w14:val="tx1"/>
            </w14:solidFill>
          </w14:textFill>
        </w:rPr>
        <w:t>广水河、应山河、府河二、三级支流汇水区山体</w:t>
      </w:r>
      <w:r>
        <w:rPr>
          <w:rFonts w:hint="eastAsia" w:ascii="Times New Roman" w:hAnsi="Times New Roman" w:eastAsia="仿宋" w:cs="Times New Roman"/>
          <w:color w:val="000000" w:themeColor="text1"/>
          <w:kern w:val="21"/>
          <w:szCs w:val="20"/>
          <w:highlight w:val="none"/>
          <w14:textFill>
            <w14:solidFill>
              <w14:schemeClr w14:val="tx1"/>
            </w14:solidFill>
          </w14:textFill>
        </w:rPr>
        <w:t>，飞沙河水库、黑洞湾水库、花山水库、霞家河水库、先觉庙水库重要水库周边。</w:t>
      </w:r>
    </w:p>
    <w:p>
      <w:pPr>
        <w:ind w:firstLine="562" w:firstLineChars="200"/>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fldChar w:fldCharType="begin"/>
      </w:r>
      <w:r>
        <w:rPr>
          <w:rFonts w:ascii="仿宋" w:hAnsi="仿宋" w:eastAsia="仿宋"/>
          <w:b/>
          <w:bCs/>
          <w:color w:val="000000" w:themeColor="text1"/>
          <w:highlight w:val="none"/>
          <w14:textFill>
            <w14:solidFill>
              <w14:schemeClr w14:val="tx1"/>
            </w14:solidFill>
          </w14:textFill>
        </w:rPr>
        <w:instrText xml:space="preserve"> </w:instrText>
      </w:r>
      <w:r>
        <w:rPr>
          <w:rFonts w:hint="eastAsia" w:ascii="仿宋" w:hAnsi="仿宋" w:eastAsia="仿宋"/>
          <w:b/>
          <w:bCs/>
          <w:color w:val="000000" w:themeColor="text1"/>
          <w:highlight w:val="none"/>
          <w14:textFill>
            <w14:solidFill>
              <w14:schemeClr w14:val="tx1"/>
            </w14:solidFill>
          </w14:textFill>
        </w:rPr>
        <w:instrText xml:space="preserve">= 3 \* GB3</w:instrText>
      </w:r>
      <w:r>
        <w:rPr>
          <w:rFonts w:ascii="仿宋" w:hAnsi="仿宋" w:eastAsia="仿宋"/>
          <w:b/>
          <w:bCs/>
          <w:color w:val="000000" w:themeColor="text1"/>
          <w:highlight w:val="none"/>
          <w14:textFill>
            <w14:solidFill>
              <w14:schemeClr w14:val="tx1"/>
            </w14:solidFill>
          </w14:textFill>
        </w:rPr>
        <w:instrText xml:space="preserve"> </w:instrText>
      </w:r>
      <w:r>
        <w:rPr>
          <w:rFonts w:ascii="仿宋" w:hAnsi="仿宋" w:eastAsia="仿宋"/>
          <w:b/>
          <w:bCs/>
          <w:color w:val="000000" w:themeColor="text1"/>
          <w:highlight w:val="none"/>
          <w14:textFill>
            <w14:solidFill>
              <w14:schemeClr w14:val="tx1"/>
            </w14:solidFill>
          </w14:textFill>
        </w:rPr>
        <w:fldChar w:fldCharType="separate"/>
      </w:r>
      <w:r>
        <w:rPr>
          <w:rFonts w:hint="eastAsia" w:ascii="仿宋" w:hAnsi="仿宋" w:eastAsia="仿宋"/>
          <w:b/>
          <w:bCs/>
          <w:color w:val="000000" w:themeColor="text1"/>
          <w:highlight w:val="none"/>
          <w14:textFill>
            <w14:solidFill>
              <w14:schemeClr w14:val="tx1"/>
            </w14:solidFill>
          </w14:textFill>
        </w:rPr>
        <w:t>③</w:t>
      </w:r>
      <w:r>
        <w:rPr>
          <w:rFonts w:ascii="仿宋" w:hAnsi="仿宋" w:eastAsia="仿宋"/>
          <w:b/>
          <w:bCs/>
          <w:color w:val="000000" w:themeColor="text1"/>
          <w:highlight w:val="none"/>
          <w14:textFill>
            <w14:solidFill>
              <w14:schemeClr w14:val="tx1"/>
            </w14:solidFill>
          </w14:textFill>
        </w:rPr>
        <w:fldChar w:fldCharType="end"/>
      </w:r>
      <w:r>
        <w:rPr>
          <w:rFonts w:ascii="仿宋" w:hAnsi="仿宋" w:eastAsia="仿宋"/>
          <w:b/>
          <w:bCs/>
          <w:color w:val="000000" w:themeColor="text1"/>
          <w:highlight w:val="none"/>
          <w14:textFill>
            <w14:solidFill>
              <w14:schemeClr w14:val="tx1"/>
            </w14:solidFill>
          </w14:textFill>
        </w:rPr>
        <w:t>重点</w:t>
      </w:r>
      <w:r>
        <w:rPr>
          <w:rFonts w:hint="eastAsia" w:ascii="仿宋" w:hAnsi="仿宋" w:eastAsia="仿宋"/>
          <w:b/>
          <w:bCs/>
          <w:color w:val="000000" w:themeColor="text1"/>
          <w:highlight w:val="none"/>
          <w14:textFill>
            <w14:solidFill>
              <w14:schemeClr w14:val="tx1"/>
            </w14:solidFill>
          </w14:textFill>
        </w:rPr>
        <w:t>工程</w:t>
      </w:r>
    </w:p>
    <w:p>
      <w:pPr>
        <w:ind w:firstLine="562"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b/>
          <w:bCs/>
          <w:color w:val="000000" w:themeColor="text1"/>
          <w:kern w:val="21"/>
          <w:szCs w:val="20"/>
          <w:highlight w:val="none"/>
          <w14:textFill>
            <w14:solidFill>
              <w14:schemeClr w14:val="tx1"/>
            </w14:solidFill>
          </w14:textFill>
        </w:rPr>
        <w:t>桐柏山生态修复治理工程：</w:t>
      </w:r>
      <w:r>
        <w:rPr>
          <w:rFonts w:ascii="Times New Roman" w:hAnsi="Times New Roman" w:eastAsia="仿宋" w:cs="Times New Roman"/>
          <w:color w:val="000000" w:themeColor="text1"/>
          <w:kern w:val="21"/>
          <w:szCs w:val="20"/>
          <w:highlight w:val="none"/>
          <w14:textFill>
            <w14:solidFill>
              <w14:schemeClr w14:val="tx1"/>
            </w14:solidFill>
          </w14:textFill>
        </w:rPr>
        <w:t>加强</w:t>
      </w:r>
      <w:r>
        <w:rPr>
          <w:rFonts w:ascii="Times New Roman" w:hAnsi="Times New Roman" w:eastAsia="仿宋" w:cs="Times New Roman"/>
          <w:b/>
          <w:bCs/>
          <w:color w:val="000000" w:themeColor="text1"/>
          <w:kern w:val="21"/>
          <w:szCs w:val="20"/>
          <w:highlight w:val="none"/>
          <w14:textFill>
            <w14:solidFill>
              <w14:schemeClr w14:val="tx1"/>
            </w14:solidFill>
          </w14:textFill>
        </w:rPr>
        <w:t>花山水库、黑洞湾水库</w:t>
      </w:r>
      <w:r>
        <w:rPr>
          <w:rFonts w:ascii="Times New Roman" w:hAnsi="Times New Roman" w:eastAsia="仿宋" w:cs="Times New Roman"/>
          <w:color w:val="000000" w:themeColor="text1"/>
          <w:kern w:val="21"/>
          <w:szCs w:val="20"/>
          <w:highlight w:val="none"/>
          <w14:textFill>
            <w14:solidFill>
              <w14:schemeClr w14:val="tx1"/>
            </w14:solidFill>
          </w14:textFill>
        </w:rPr>
        <w:t>库区及周边天然林保护和公益林建设，稳步推进退耕还林还草、防护林建设和森林质量精准提升。以自然恢复和人工辅助修复为主，开展植被恢复及生境改善工程，滨岸植被缓冲带恢复、生境恢复；通过封滩育草、人工种植、设置围栏等措施，减少人为活动和牲畜对区内植被的破坏，保护生态系统和自然景观的完整性。因地制宜对林分进行优化改造和高效利用。在吴店镇、郝店镇、蔡河镇开展封山育林、森林抚育、退化林修复、生态林建设、全面提高森林质量</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p>
    <w:p>
      <w:pPr>
        <w:ind w:firstLine="562"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b/>
          <w:bCs/>
          <w:color w:val="000000" w:themeColor="text1"/>
          <w:kern w:val="21"/>
          <w:szCs w:val="20"/>
          <w:highlight w:val="none"/>
          <w14:textFill>
            <w14:solidFill>
              <w14:schemeClr w14:val="tx1"/>
            </w14:solidFill>
          </w14:textFill>
        </w:rPr>
        <w:t>大别山生态修复治理工程：</w:t>
      </w:r>
      <w:r>
        <w:rPr>
          <w:rFonts w:ascii="Times New Roman" w:hAnsi="Times New Roman" w:eastAsia="仿宋" w:cs="Times New Roman"/>
          <w:color w:val="000000" w:themeColor="text1"/>
          <w:kern w:val="21"/>
          <w:szCs w:val="20"/>
          <w:highlight w:val="none"/>
          <w14:textFill>
            <w14:solidFill>
              <w14:schemeClr w14:val="tx1"/>
            </w14:solidFill>
          </w14:textFill>
        </w:rPr>
        <w:t>以大别山生态修复和保护为主线，按照整体保护、系统修复、综合治理的要求，在主要湖库所在乡镇开展防护林建设、历史遗留矿山生态修复、森林资源保护与质量提升</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在湖北中华山鸟类自然保护区、大贵寺森林公园等自然保护地、大贵寺林场天然林保护、森林抚育及质量提升</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开展防护林建设工程，在全市几条主要河流两岸和大中型水库周围开展人工造林，对未成林造林地、疏林地及灌木林地实行封山育林。</w:t>
      </w:r>
    </w:p>
    <w:p>
      <w:pPr>
        <w:ind w:firstLine="562"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b/>
          <w:bCs/>
          <w:color w:val="000000" w:themeColor="text1"/>
          <w:kern w:val="21"/>
          <w:szCs w:val="20"/>
          <w:highlight w:val="none"/>
          <w14:textFill>
            <w14:solidFill>
              <w14:schemeClr w14:val="tx1"/>
            </w14:solidFill>
          </w14:textFill>
        </w:rPr>
        <w:t>徐家河水库农林提升</w:t>
      </w:r>
      <w:r>
        <w:rPr>
          <w:rFonts w:hint="eastAsia" w:ascii="Times New Roman" w:hAnsi="Times New Roman" w:eastAsia="仿宋" w:cs="Times New Roman"/>
          <w:b/>
          <w:bCs/>
          <w:color w:val="000000" w:themeColor="text1"/>
          <w:kern w:val="21"/>
          <w:szCs w:val="20"/>
          <w:highlight w:val="none"/>
          <w14:textFill>
            <w14:solidFill>
              <w14:schemeClr w14:val="tx1"/>
            </w14:solidFill>
          </w14:textFill>
        </w:rPr>
        <w:t>工程：</w:t>
      </w:r>
      <w:r>
        <w:rPr>
          <w:rFonts w:ascii="Times New Roman" w:hAnsi="Times New Roman" w:eastAsia="仿宋" w:cs="Times New Roman"/>
          <w:color w:val="000000" w:themeColor="text1"/>
          <w:kern w:val="21"/>
          <w:szCs w:val="20"/>
          <w:highlight w:val="none"/>
          <w14:textFill>
            <w14:solidFill>
              <w14:schemeClr w14:val="tx1"/>
            </w14:solidFill>
          </w14:textFill>
        </w:rPr>
        <w:t>推进徐家河库区公益林和天然林建设和管理，在广水徐家河湿地公园自然保护地实施保护与修复，探索库周消落区生态修复，实施库区河湖岸线生态修复、生态护岸治理和水生植物修复</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强化公益林和天然林建设和管理，确保公益林和天然林面积不减少。严格实行封山育林，公益林和天然林区域内严禁任何形式的商业性采伐。</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w:t>
      </w:r>
      <w:r>
        <w:rPr>
          <w:rFonts w:ascii="仿宋" w:hAnsi="仿宋" w:eastAsia="仿宋"/>
          <w:b/>
          <w:bCs/>
          <w:color w:val="000000" w:themeColor="text1"/>
          <w:highlight w:val="none"/>
          <w14:textFill>
            <w14:solidFill>
              <w14:schemeClr w14:val="tx1"/>
            </w14:solidFill>
          </w14:textFill>
        </w:rPr>
        <w:t>水污染防治与修复</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fldChar w:fldCharType="begin"/>
      </w:r>
      <w:r>
        <w:rPr>
          <w:rFonts w:ascii="仿宋" w:hAnsi="仿宋" w:eastAsia="仿宋"/>
          <w:b/>
          <w:bCs/>
          <w:color w:val="000000" w:themeColor="text1"/>
          <w:highlight w:val="none"/>
          <w14:textFill>
            <w14:solidFill>
              <w14:schemeClr w14:val="tx1"/>
            </w14:solidFill>
          </w14:textFill>
        </w:rPr>
        <w:instrText xml:space="preserve"> </w:instrText>
      </w:r>
      <w:r>
        <w:rPr>
          <w:rFonts w:hint="eastAsia" w:ascii="仿宋" w:hAnsi="仿宋" w:eastAsia="仿宋"/>
          <w:b/>
          <w:bCs/>
          <w:color w:val="000000" w:themeColor="text1"/>
          <w:highlight w:val="none"/>
          <w14:textFill>
            <w14:solidFill>
              <w14:schemeClr w14:val="tx1"/>
            </w14:solidFill>
          </w14:textFill>
        </w:rPr>
        <w:instrText xml:space="preserve">= 1 \* GB3</w:instrText>
      </w:r>
      <w:r>
        <w:rPr>
          <w:rFonts w:ascii="仿宋" w:hAnsi="仿宋" w:eastAsia="仿宋"/>
          <w:b/>
          <w:bCs/>
          <w:color w:val="000000" w:themeColor="text1"/>
          <w:highlight w:val="none"/>
          <w14:textFill>
            <w14:solidFill>
              <w14:schemeClr w14:val="tx1"/>
            </w14:solidFill>
          </w14:textFill>
        </w:rPr>
        <w:instrText xml:space="preserve"> </w:instrText>
      </w:r>
      <w:r>
        <w:rPr>
          <w:rFonts w:ascii="仿宋" w:hAnsi="仿宋" w:eastAsia="仿宋"/>
          <w:b/>
          <w:bCs/>
          <w:color w:val="000000" w:themeColor="text1"/>
          <w:highlight w:val="none"/>
          <w14:textFill>
            <w14:solidFill>
              <w14:schemeClr w14:val="tx1"/>
            </w14:solidFill>
          </w14:textFill>
        </w:rPr>
        <w:fldChar w:fldCharType="separate"/>
      </w:r>
      <w:r>
        <w:rPr>
          <w:rFonts w:hint="eastAsia" w:ascii="仿宋" w:hAnsi="仿宋" w:eastAsia="仿宋"/>
          <w:b/>
          <w:bCs/>
          <w:color w:val="000000" w:themeColor="text1"/>
          <w:highlight w:val="none"/>
          <w14:textFill>
            <w14:solidFill>
              <w14:schemeClr w14:val="tx1"/>
            </w14:solidFill>
          </w14:textFill>
        </w:rPr>
        <w:t>①</w:t>
      </w:r>
      <w:r>
        <w:rPr>
          <w:rFonts w:ascii="仿宋" w:hAnsi="仿宋" w:eastAsia="仿宋"/>
          <w:b/>
          <w:bCs/>
          <w:color w:val="000000" w:themeColor="text1"/>
          <w:highlight w:val="none"/>
          <w14:textFill>
            <w14:solidFill>
              <w14:schemeClr w14:val="tx1"/>
            </w14:solidFill>
          </w14:textFill>
        </w:rPr>
        <w:fldChar w:fldCharType="end"/>
      </w:r>
      <w:r>
        <w:rPr>
          <w:rFonts w:ascii="仿宋" w:hAnsi="仿宋" w:eastAsia="仿宋"/>
          <w:b/>
          <w:bCs/>
          <w:color w:val="000000" w:themeColor="text1"/>
          <w:highlight w:val="none"/>
          <w14:textFill>
            <w14:solidFill>
              <w14:schemeClr w14:val="tx1"/>
            </w14:solidFill>
          </w14:textFill>
        </w:rPr>
        <w:t>整治目标</w:t>
      </w:r>
    </w:p>
    <w:p>
      <w:pPr>
        <w:ind w:firstLine="562" w:firstLineChars="200"/>
        <w:rPr>
          <w:rFonts w:ascii="Times New Roman" w:hAnsi="Times New Roman" w:eastAsia="仿宋" w:cs="Times New Roman"/>
          <w:b/>
          <w:bCs/>
          <w:color w:val="000000" w:themeColor="text1"/>
          <w:kern w:val="21"/>
          <w:szCs w:val="20"/>
          <w:highlight w:val="none"/>
          <w14:textFill>
            <w14:solidFill>
              <w14:schemeClr w14:val="tx1"/>
            </w14:solidFill>
          </w14:textFill>
        </w:rPr>
      </w:pPr>
      <w:r>
        <w:rPr>
          <w:rFonts w:ascii="Times New Roman" w:hAnsi="Times New Roman" w:eastAsia="仿宋" w:cs="Times New Roman"/>
          <w:b/>
          <w:bCs/>
          <w:color w:val="000000" w:themeColor="text1"/>
          <w:kern w:val="21"/>
          <w:szCs w:val="20"/>
          <w:highlight w:val="none"/>
          <w14:textFill>
            <w14:solidFill>
              <w14:schemeClr w14:val="tx1"/>
            </w14:solidFill>
          </w14:textFill>
        </w:rPr>
        <w:t>分区分段落实广水市水功能区划、水资源保护与利用要求，采取河道整治和污染源管控相结合的方式，提升河流水系综合整治效果。</w:t>
      </w:r>
    </w:p>
    <w:p>
      <w:pPr>
        <w:ind w:firstLine="562" w:firstLineChars="200"/>
        <w:rPr>
          <w:rFonts w:ascii="Times New Roman" w:hAnsi="Times New Roman" w:eastAsia="仿宋" w:cs="Times New Roman"/>
          <w:b/>
          <w:bCs/>
          <w:color w:val="000000" w:themeColor="text1"/>
          <w:kern w:val="21"/>
          <w:szCs w:val="20"/>
          <w:highlight w:val="none"/>
          <w14:textFill>
            <w14:solidFill>
              <w14:schemeClr w14:val="tx1"/>
            </w14:solidFill>
          </w14:textFill>
        </w:rPr>
      </w:pPr>
      <w:r>
        <w:rPr>
          <w:rFonts w:ascii="Times New Roman" w:hAnsi="Times New Roman" w:eastAsia="仿宋" w:cs="Times New Roman"/>
          <w:b/>
          <w:bCs/>
          <w:color w:val="000000" w:themeColor="text1"/>
          <w:kern w:val="21"/>
          <w:szCs w:val="20"/>
          <w:highlight w:val="none"/>
          <w14:textFill>
            <w14:solidFill>
              <w14:schemeClr w14:val="tx1"/>
            </w14:solidFill>
          </w14:textFill>
        </w:rPr>
        <w:t>根据水生态保护与修复的总体布局，结合已有工作基础，实施水源涵养工程、河岸带修复工程和水生态综合整治等工程，结合水生态监测、水生态补偿及水生态综合管理等非工程措施，加强流域水土保持、小流域综合治理等相结合，重点保护河流、水库、湿地等水生生物的自然生境，遏制水生态系统退化的趋势。</w:t>
      </w:r>
    </w:p>
    <w:p>
      <w:pPr>
        <w:ind w:firstLine="562" w:firstLineChars="200"/>
        <w:rPr>
          <w:rFonts w:ascii="Times New Roman" w:hAnsi="Times New Roman" w:eastAsia="仿宋" w:cs="Times New Roman"/>
          <w:b/>
          <w:bCs/>
          <w:color w:val="000000" w:themeColor="text1"/>
          <w:kern w:val="21"/>
          <w:szCs w:val="20"/>
          <w:highlight w:val="none"/>
          <w14:textFill>
            <w14:solidFill>
              <w14:schemeClr w14:val="tx1"/>
            </w14:solidFill>
          </w14:textFill>
        </w:rPr>
      </w:pPr>
      <w:r>
        <w:rPr>
          <w:rFonts w:ascii="Times New Roman" w:hAnsi="Times New Roman" w:eastAsia="仿宋" w:cs="Times New Roman"/>
          <w:b/>
          <w:bCs/>
          <w:color w:val="000000" w:themeColor="text1"/>
          <w:kern w:val="21"/>
          <w:szCs w:val="20"/>
          <w:highlight w:val="none"/>
          <w14:textFill>
            <w14:solidFill>
              <w14:schemeClr w14:val="tx1"/>
            </w14:solidFill>
          </w14:textFill>
        </w:rPr>
        <w:t>结合流域岸线项目清理整治和入河排污口排查整治行动，推进生活污水治理设施建设，清理河道两岸违章排放设施,整顿排污口等污染源。结合水污染防治,全面开展区域内重点流域的农村环境综合整治工作，实施化肥和农药使用减量行动，逐步消除畜禽养殖点源污染，深入控制农业面源污染，建设生态沟渠、污水净化塘、地表径流集蓄池等农业排水设施，推进农村饮用水水源地保护、农村生活污水处理，以及农药化肥等面源污染综合防治工作。</w:t>
      </w:r>
    </w:p>
    <w:p>
      <w:pPr>
        <w:ind w:firstLine="562" w:firstLineChars="200"/>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fldChar w:fldCharType="begin"/>
      </w:r>
      <w:r>
        <w:rPr>
          <w:rFonts w:ascii="仿宋" w:hAnsi="仿宋" w:eastAsia="仿宋"/>
          <w:b/>
          <w:bCs/>
          <w:color w:val="000000" w:themeColor="text1"/>
          <w:highlight w:val="none"/>
          <w14:textFill>
            <w14:solidFill>
              <w14:schemeClr w14:val="tx1"/>
            </w14:solidFill>
          </w14:textFill>
        </w:rPr>
        <w:instrText xml:space="preserve"> </w:instrText>
      </w:r>
      <w:r>
        <w:rPr>
          <w:rFonts w:hint="eastAsia" w:ascii="仿宋" w:hAnsi="仿宋" w:eastAsia="仿宋"/>
          <w:b/>
          <w:bCs/>
          <w:color w:val="000000" w:themeColor="text1"/>
          <w:highlight w:val="none"/>
          <w14:textFill>
            <w14:solidFill>
              <w14:schemeClr w14:val="tx1"/>
            </w14:solidFill>
          </w14:textFill>
        </w:rPr>
        <w:instrText xml:space="preserve">= 2 \* GB3</w:instrText>
      </w:r>
      <w:r>
        <w:rPr>
          <w:rFonts w:ascii="仿宋" w:hAnsi="仿宋" w:eastAsia="仿宋"/>
          <w:b/>
          <w:bCs/>
          <w:color w:val="000000" w:themeColor="text1"/>
          <w:highlight w:val="none"/>
          <w14:textFill>
            <w14:solidFill>
              <w14:schemeClr w14:val="tx1"/>
            </w14:solidFill>
          </w14:textFill>
        </w:rPr>
        <w:instrText xml:space="preserve"> </w:instrText>
      </w:r>
      <w:r>
        <w:rPr>
          <w:rFonts w:ascii="仿宋" w:hAnsi="仿宋" w:eastAsia="仿宋"/>
          <w:b/>
          <w:bCs/>
          <w:color w:val="000000" w:themeColor="text1"/>
          <w:highlight w:val="none"/>
          <w14:textFill>
            <w14:solidFill>
              <w14:schemeClr w14:val="tx1"/>
            </w14:solidFill>
          </w14:textFill>
        </w:rPr>
        <w:fldChar w:fldCharType="separate"/>
      </w:r>
      <w:r>
        <w:rPr>
          <w:rFonts w:hint="eastAsia" w:ascii="仿宋" w:hAnsi="仿宋" w:eastAsia="仿宋"/>
          <w:b/>
          <w:bCs/>
          <w:color w:val="000000" w:themeColor="text1"/>
          <w:highlight w:val="none"/>
          <w14:textFill>
            <w14:solidFill>
              <w14:schemeClr w14:val="tx1"/>
            </w14:solidFill>
          </w14:textFill>
        </w:rPr>
        <w:t>②</w:t>
      </w:r>
      <w:r>
        <w:rPr>
          <w:rFonts w:ascii="仿宋" w:hAnsi="仿宋" w:eastAsia="仿宋"/>
          <w:b/>
          <w:bCs/>
          <w:color w:val="000000" w:themeColor="text1"/>
          <w:highlight w:val="none"/>
          <w14:textFill>
            <w14:solidFill>
              <w14:schemeClr w14:val="tx1"/>
            </w14:solidFill>
          </w14:textFill>
        </w:rPr>
        <w:fldChar w:fldCharType="end"/>
      </w:r>
      <w:r>
        <w:rPr>
          <w:rFonts w:ascii="仿宋" w:hAnsi="仿宋" w:eastAsia="仿宋"/>
          <w:b/>
          <w:bCs/>
          <w:color w:val="000000" w:themeColor="text1"/>
          <w:highlight w:val="none"/>
          <w14:textFill>
            <w14:solidFill>
              <w14:schemeClr w14:val="tx1"/>
            </w14:solidFill>
          </w14:textFill>
        </w:rPr>
        <w:t>重点区域</w:t>
      </w:r>
    </w:p>
    <w:p>
      <w:pPr>
        <w:ind w:firstLine="562"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b/>
          <w:bCs/>
          <w:color w:val="000000" w:themeColor="text1"/>
          <w:kern w:val="21"/>
          <w:szCs w:val="20"/>
          <w:highlight w:val="none"/>
          <w14:textFill>
            <w14:solidFill>
              <w14:schemeClr w14:val="tx1"/>
            </w14:solidFill>
          </w14:textFill>
        </w:rPr>
        <w:t>河道整治。</w:t>
      </w:r>
      <w:r>
        <w:rPr>
          <w:rFonts w:ascii="Times New Roman" w:hAnsi="Times New Roman" w:eastAsia="仿宋" w:cs="Times New Roman"/>
          <w:color w:val="000000" w:themeColor="text1"/>
          <w:kern w:val="21"/>
          <w:szCs w:val="20"/>
          <w:highlight w:val="none"/>
          <w14:textFill>
            <w14:solidFill>
              <w14:schemeClr w14:val="tx1"/>
            </w14:solidFill>
          </w14:textFill>
        </w:rPr>
        <w:t>重点推进长江流域澴</w:t>
      </w:r>
      <w:r>
        <w:rPr>
          <w:rFonts w:hint="eastAsia" w:ascii="Times New Roman" w:hAnsi="Times New Roman" w:eastAsia="仿宋" w:cs="Times New Roman"/>
          <w:color w:val="000000" w:themeColor="text1"/>
          <w:kern w:val="21"/>
          <w:szCs w:val="20"/>
          <w:highlight w:val="none"/>
          <w:lang w:eastAsia="zh-CN"/>
          <w14:textFill>
            <w14:solidFill>
              <w14:schemeClr w14:val="tx1"/>
            </w14:solidFill>
          </w14:textFill>
        </w:rPr>
        <w:t>水</w:t>
      </w:r>
      <w:r>
        <w:rPr>
          <w:rFonts w:ascii="Times New Roman" w:hAnsi="Times New Roman" w:eastAsia="仿宋" w:cs="Times New Roman"/>
          <w:color w:val="000000" w:themeColor="text1"/>
          <w:kern w:val="21"/>
          <w:szCs w:val="20"/>
          <w:highlight w:val="none"/>
          <w14:textFill>
            <w14:solidFill>
              <w14:schemeClr w14:val="tx1"/>
            </w14:solidFill>
          </w14:textFill>
        </w:rPr>
        <w:t>系应山河、广水河，长江流域府河水系府河及其支流龙泉河、吴店河、余店河，淮河流域浉河水系飞沙河生态综合治理项目，进行河道综合整治，改善河道排水条件。</w:t>
      </w:r>
    </w:p>
    <w:p>
      <w:pPr>
        <w:ind w:firstLine="562" w:firstLineChars="200"/>
        <w:rPr>
          <w:rFonts w:ascii="仿宋" w:hAnsi="仿宋" w:eastAsia="仿宋" w:cs="Times New Roman"/>
          <w:color w:val="000000" w:themeColor="text1"/>
          <w:kern w:val="21"/>
          <w:szCs w:val="20"/>
          <w:highlight w:val="none"/>
          <w14:textFill>
            <w14:solidFill>
              <w14:schemeClr w14:val="tx1"/>
            </w14:solidFill>
          </w14:textFill>
        </w:rPr>
      </w:pPr>
      <w:r>
        <w:rPr>
          <w:rFonts w:ascii="仿宋" w:hAnsi="仿宋" w:eastAsia="仿宋" w:cs="Times New Roman"/>
          <w:b/>
          <w:bCs/>
          <w:color w:val="000000" w:themeColor="text1"/>
          <w:kern w:val="21"/>
          <w:szCs w:val="20"/>
          <w:highlight w:val="none"/>
          <w14:textFill>
            <w14:solidFill>
              <w14:schemeClr w14:val="tx1"/>
            </w14:solidFill>
          </w14:textFill>
        </w:rPr>
        <w:t>水库生态保护与修复。</w:t>
      </w:r>
      <w:r>
        <w:rPr>
          <w:rFonts w:ascii="仿宋" w:hAnsi="仿宋" w:eastAsia="仿宋" w:cs="Times New Roman"/>
          <w:color w:val="000000" w:themeColor="text1"/>
          <w:kern w:val="21"/>
          <w:szCs w:val="20"/>
          <w:highlight w:val="none"/>
          <w14:textFill>
            <w14:solidFill>
              <w14:schemeClr w14:val="tx1"/>
            </w14:solidFill>
          </w14:textFill>
        </w:rPr>
        <w:t>主要包含黑洞湾水库、高峰寺水库、花山水库、霞家河水库、许家冲水库和飞沙河水库、徐家河水库等7 个现状供水水源地。</w:t>
      </w:r>
    </w:p>
    <w:p>
      <w:pPr>
        <w:ind w:firstLine="562" w:firstLineChars="200"/>
        <w:rPr>
          <w:rFonts w:ascii="仿宋" w:hAnsi="仿宋" w:eastAsia="仿宋" w:cs="Times New Roman"/>
          <w:color w:val="000000" w:themeColor="text1"/>
          <w:kern w:val="21"/>
          <w:szCs w:val="20"/>
          <w:highlight w:val="none"/>
          <w14:textFill>
            <w14:solidFill>
              <w14:schemeClr w14:val="tx1"/>
            </w14:solidFill>
          </w14:textFill>
        </w:rPr>
      </w:pPr>
      <w:r>
        <w:rPr>
          <w:rFonts w:ascii="仿宋" w:hAnsi="仿宋" w:eastAsia="仿宋" w:cs="Times New Roman"/>
          <w:b/>
          <w:bCs/>
          <w:color w:val="000000" w:themeColor="text1"/>
          <w:kern w:val="21"/>
          <w:szCs w:val="20"/>
          <w:highlight w:val="none"/>
          <w14:textFill>
            <w14:solidFill>
              <w14:schemeClr w14:val="tx1"/>
            </w14:solidFill>
          </w14:textFill>
        </w:rPr>
        <w:t>湿地生态保护修复</w:t>
      </w:r>
      <w:r>
        <w:rPr>
          <w:rFonts w:hint="eastAsia" w:ascii="仿宋" w:hAnsi="仿宋" w:eastAsia="仿宋" w:cs="Times New Roman"/>
          <w:b/>
          <w:bCs/>
          <w:color w:val="000000" w:themeColor="text1"/>
          <w:kern w:val="21"/>
          <w:szCs w:val="20"/>
          <w:highlight w:val="none"/>
          <w14:textFill>
            <w14:solidFill>
              <w14:schemeClr w14:val="tx1"/>
            </w14:solidFill>
          </w14:textFill>
        </w:rPr>
        <w:t>。</w:t>
      </w:r>
      <w:r>
        <w:rPr>
          <w:rFonts w:ascii="仿宋" w:hAnsi="仿宋" w:eastAsia="仿宋" w:cs="Times New Roman"/>
          <w:color w:val="000000" w:themeColor="text1"/>
          <w:kern w:val="21"/>
          <w:szCs w:val="20"/>
          <w:highlight w:val="none"/>
          <w14:textFill>
            <w14:solidFill>
              <w14:schemeClr w14:val="tx1"/>
            </w14:solidFill>
          </w14:textFill>
        </w:rPr>
        <w:t>重点建设徐家河湿地公园，实施河岸湿地综合提升改造项目，通过沟渠改造、地形整治构建水循环体系，适时采取水系清淤措施，确水系畅通，以生态措施治理恢复生态脆弱区，净化水质，促进生物多样性保护，形成生物繁衍栖息的适宜环境，恢复湿地的生态系统功能。</w:t>
      </w:r>
    </w:p>
    <w:p>
      <w:pPr>
        <w:ind w:firstLine="562" w:firstLineChars="200"/>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fldChar w:fldCharType="begin"/>
      </w:r>
      <w:r>
        <w:rPr>
          <w:rFonts w:ascii="仿宋" w:hAnsi="仿宋" w:eastAsia="仿宋"/>
          <w:b/>
          <w:bCs/>
          <w:color w:val="000000" w:themeColor="text1"/>
          <w:highlight w:val="none"/>
          <w14:textFill>
            <w14:solidFill>
              <w14:schemeClr w14:val="tx1"/>
            </w14:solidFill>
          </w14:textFill>
        </w:rPr>
        <w:instrText xml:space="preserve"> </w:instrText>
      </w:r>
      <w:r>
        <w:rPr>
          <w:rFonts w:hint="eastAsia" w:ascii="仿宋" w:hAnsi="仿宋" w:eastAsia="仿宋"/>
          <w:b/>
          <w:bCs/>
          <w:color w:val="000000" w:themeColor="text1"/>
          <w:highlight w:val="none"/>
          <w14:textFill>
            <w14:solidFill>
              <w14:schemeClr w14:val="tx1"/>
            </w14:solidFill>
          </w14:textFill>
        </w:rPr>
        <w:instrText xml:space="preserve">= 3 \* GB3</w:instrText>
      </w:r>
      <w:r>
        <w:rPr>
          <w:rFonts w:ascii="仿宋" w:hAnsi="仿宋" w:eastAsia="仿宋"/>
          <w:b/>
          <w:bCs/>
          <w:color w:val="000000" w:themeColor="text1"/>
          <w:highlight w:val="none"/>
          <w14:textFill>
            <w14:solidFill>
              <w14:schemeClr w14:val="tx1"/>
            </w14:solidFill>
          </w14:textFill>
        </w:rPr>
        <w:instrText xml:space="preserve"> </w:instrText>
      </w:r>
      <w:r>
        <w:rPr>
          <w:rFonts w:ascii="仿宋" w:hAnsi="仿宋" w:eastAsia="仿宋"/>
          <w:b/>
          <w:bCs/>
          <w:color w:val="000000" w:themeColor="text1"/>
          <w:highlight w:val="none"/>
          <w14:textFill>
            <w14:solidFill>
              <w14:schemeClr w14:val="tx1"/>
            </w14:solidFill>
          </w14:textFill>
        </w:rPr>
        <w:fldChar w:fldCharType="separate"/>
      </w:r>
      <w:r>
        <w:rPr>
          <w:rFonts w:hint="eastAsia" w:ascii="仿宋" w:hAnsi="仿宋" w:eastAsia="仿宋"/>
          <w:b/>
          <w:bCs/>
          <w:color w:val="000000" w:themeColor="text1"/>
          <w:highlight w:val="none"/>
          <w14:textFill>
            <w14:solidFill>
              <w14:schemeClr w14:val="tx1"/>
            </w14:solidFill>
          </w14:textFill>
        </w:rPr>
        <w:t>③</w:t>
      </w:r>
      <w:r>
        <w:rPr>
          <w:rFonts w:ascii="仿宋" w:hAnsi="仿宋" w:eastAsia="仿宋"/>
          <w:b/>
          <w:bCs/>
          <w:color w:val="000000" w:themeColor="text1"/>
          <w:highlight w:val="none"/>
          <w14:textFill>
            <w14:solidFill>
              <w14:schemeClr w14:val="tx1"/>
            </w14:solidFill>
          </w14:textFill>
        </w:rPr>
        <w:fldChar w:fldCharType="end"/>
      </w:r>
      <w:r>
        <w:rPr>
          <w:rFonts w:ascii="仿宋" w:hAnsi="仿宋" w:eastAsia="仿宋"/>
          <w:b/>
          <w:bCs/>
          <w:color w:val="000000" w:themeColor="text1"/>
          <w:highlight w:val="none"/>
          <w14:textFill>
            <w14:solidFill>
              <w14:schemeClr w14:val="tx1"/>
            </w14:solidFill>
          </w14:textFill>
        </w:rPr>
        <w:t>重点</w:t>
      </w:r>
      <w:r>
        <w:rPr>
          <w:rFonts w:hint="eastAsia" w:ascii="仿宋" w:hAnsi="仿宋" w:eastAsia="仿宋"/>
          <w:b/>
          <w:bCs/>
          <w:color w:val="000000" w:themeColor="text1"/>
          <w:highlight w:val="none"/>
          <w14:textFill>
            <w14:solidFill>
              <w14:schemeClr w14:val="tx1"/>
            </w14:solidFill>
          </w14:textFill>
        </w:rPr>
        <w:t>工程</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龙泉河水域生态修复工程：建设河段生态廊道；实施流域综合治理。对龙泉河水源地涉及的流域范围进行水污染防治和水生态综合治理，实施人工湿地水质净化工程。减少河床坡降，两侧河滩造林、种草、增强土地对水分的</w:t>
      </w:r>
      <w:r>
        <w:rPr>
          <w:rFonts w:hint="eastAsia" w:ascii="Times New Roman" w:hAnsi="Times New Roman" w:eastAsia="仿宋" w:cs="Times New Roman"/>
          <w:color w:val="000000" w:themeColor="text1"/>
          <w:kern w:val="21"/>
          <w:szCs w:val="20"/>
          <w:highlight w:val="none"/>
          <w:lang w:eastAsia="zh-CN"/>
          <w14:textFill>
            <w14:solidFill>
              <w14:schemeClr w14:val="tx1"/>
            </w14:solidFill>
          </w14:textFill>
        </w:rPr>
        <w:t>含蓄</w:t>
      </w:r>
      <w:r>
        <w:rPr>
          <w:rFonts w:ascii="Times New Roman" w:hAnsi="Times New Roman" w:eastAsia="仿宋" w:cs="Times New Roman"/>
          <w:color w:val="000000" w:themeColor="text1"/>
          <w:kern w:val="21"/>
          <w:szCs w:val="20"/>
          <w:highlight w:val="none"/>
          <w14:textFill>
            <w14:solidFill>
              <w14:schemeClr w14:val="tx1"/>
            </w14:solidFill>
          </w14:textFill>
        </w:rPr>
        <w:t>能力；对传统水利工程实行生态化改造，恢复弯曲的河道形式，构建河流廊道；优化设计生态型护坡，控制好河段沿岸污染物排放，提升河流水环境质量；进行河道整治，保持河道畅通。完成水源地内对水源存在污染厂矿企业进行搬迁改造；一、二级保护区移民搬迁；库区河道清淤疏浚；整个水源地进行水土保持治理；水生态修复和</w:t>
      </w:r>
      <w:r>
        <w:rPr>
          <w:rFonts w:hint="eastAsia" w:ascii="Times New Roman" w:hAnsi="Times New Roman" w:eastAsia="仿宋" w:cs="Times New Roman"/>
          <w:color w:val="000000" w:themeColor="text1"/>
          <w:kern w:val="21"/>
          <w:szCs w:val="20"/>
          <w:highlight w:val="none"/>
          <w:lang w:eastAsia="zh-CN"/>
          <w14:textFill>
            <w14:solidFill>
              <w14:schemeClr w14:val="tx1"/>
            </w14:solidFill>
          </w14:textFill>
        </w:rPr>
        <w:t>监测</w:t>
      </w:r>
      <w:r>
        <w:rPr>
          <w:rFonts w:ascii="Times New Roman" w:hAnsi="Times New Roman" w:eastAsia="仿宋" w:cs="Times New Roman"/>
          <w:color w:val="000000" w:themeColor="text1"/>
          <w:kern w:val="21"/>
          <w:szCs w:val="20"/>
          <w:highlight w:val="none"/>
          <w14:textFill>
            <w14:solidFill>
              <w14:schemeClr w14:val="tx1"/>
            </w14:solidFill>
          </w14:textFill>
        </w:rPr>
        <w:t>；水产养殖污染综合治理工程；流域内农村面源污染治理。对龙泉河的防洪排涝、截污控污、河底清淤、生态护岸及生态驳岸、水土流失防治、生态补水等综合治理。在保证河道综合治理运行功能的前提下，结合各片区定位，采用控源截污——内源治理——生态修复的治理思路。</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浆溪店河河道治理工程</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浆溪店河位于吴店镇，山高坡陡，该片需调整作物种植结构，发展节水避灾农业；加强水源涵养、封育保护和自然修复，全面预防水土流失；修复河流提升河流水质，恢复自然岸线、进行河道清障，建设生态护堤。</w:t>
      </w:r>
    </w:p>
    <w:p>
      <w:pPr>
        <w:ind w:firstLine="560" w:firstLineChars="200"/>
        <w:rPr>
          <w:rFonts w:hint="eastAsia"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水库水闸除险加固工程</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整修进出口段、拆除重建拦河坝及冲砂闸、新建消能段及海漫段，更新闸门及启闭设施、增设观测和监测设施。主要涉及许家冲水库、高峰寺水库、霞家河水库。</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霞家河水库、许家冲水库饮用水水源地保护工程</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建设隔离网、修建生态滚水堰，推广生态农业种植，推广科学养殖以净化水质，库区改水改厕。加强广水市饮用水水源地规范化建设，乡镇集中式饮用水水源达到或优于Ⅲ类比例目标为90%。</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浉河（南界段）综合治理工程：加大对浉河生态自然修复和预防保护，按照“保总量、降破碎、促连通”的思路，统筹开展浉河水生态系统治理。</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徐家河水库水生态环境综合修复工程</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开展徐家河库区水生态环境修复与保护，有效控制徐家河水库污染及富营养化问题，库区内实施河道治理工程，生态岸线治理、湖滨带植被恢复、水生植被保护区建立、水系连通及生态流量调度、截污控污等项目。</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应山河水生态修复与治理工程</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加强对水系自然形态的保护，避免盲目截弯取直，禁止明河改暗渠、填湖造地、违法取砂等破坏行为。科学开展水体清淤，恢复和保持河湖水系的自然连通和流动性。因地制宜改造渠化河道，恢复自然岸线、滩涂和滨水植被群落，增强水体自净能力。在河流所在乡镇实施生态修复及综合治理，主要开展水生态环境综合治理、河道疏浚、生态护岸、河滨生态隔离缓冲带建设、湿地保护和修复、水生生物多样性保护、周边裸露山体修复等项目。</w:t>
      </w:r>
    </w:p>
    <w:p>
      <w:pPr>
        <w:ind w:firstLine="560" w:firstLineChars="200"/>
        <w:jc w:val="left"/>
        <w:rPr>
          <w:rFonts w:hint="eastAsia"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广水河水生态综合治理工程</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r>
        <w:rPr>
          <w:rFonts w:ascii="Times New Roman" w:hAnsi="Times New Roman" w:eastAsia="仿宋" w:cs="Times New Roman"/>
          <w:color w:val="000000" w:themeColor="text1"/>
          <w:kern w:val="21"/>
          <w:szCs w:val="20"/>
          <w:highlight w:val="none"/>
          <w14:textFill>
            <w14:solidFill>
              <w14:schemeClr w14:val="tx1"/>
            </w14:solidFill>
          </w14:textFill>
        </w:rPr>
        <w:t>对广水河进行生态护岸治理，水生植物栽植，生态绿化；河道清淤清障治理，对项目区河道沿岸的危石进行清理，对河道危石、淤积严重区域进行疏浚；对河道环境进行改善，开展河道、河岸等方面的治理工作，重点实施广水市广水河城区段及支流综合治理，因地制宜建设农田面源污染综合防控、畜禽养殖污染治理，提升生态环境。</w:t>
      </w:r>
    </w:p>
    <w:p>
      <w:pPr>
        <w:widowControl/>
        <w:ind w:left="560" w:left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w:t>
      </w:r>
      <w:r>
        <w:rPr>
          <w:rFonts w:ascii="仿宋" w:hAnsi="仿宋" w:eastAsia="仿宋"/>
          <w:b/>
          <w:bCs/>
          <w:color w:val="000000" w:themeColor="text1"/>
          <w:highlight w:val="none"/>
          <w14:textFill>
            <w14:solidFill>
              <w14:schemeClr w14:val="tx1"/>
            </w14:solidFill>
          </w14:textFill>
        </w:rPr>
        <w:t>矿山环境整治与修复</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fldChar w:fldCharType="begin"/>
      </w:r>
      <w:r>
        <w:rPr>
          <w:rFonts w:ascii="仿宋" w:hAnsi="仿宋" w:eastAsia="仿宋"/>
          <w:b/>
          <w:bCs/>
          <w:color w:val="000000" w:themeColor="text1"/>
          <w:highlight w:val="none"/>
          <w14:textFill>
            <w14:solidFill>
              <w14:schemeClr w14:val="tx1"/>
            </w14:solidFill>
          </w14:textFill>
        </w:rPr>
        <w:instrText xml:space="preserve"> </w:instrText>
      </w:r>
      <w:r>
        <w:rPr>
          <w:rFonts w:hint="eastAsia" w:ascii="仿宋" w:hAnsi="仿宋" w:eastAsia="仿宋"/>
          <w:b/>
          <w:bCs/>
          <w:color w:val="000000" w:themeColor="text1"/>
          <w:highlight w:val="none"/>
          <w14:textFill>
            <w14:solidFill>
              <w14:schemeClr w14:val="tx1"/>
            </w14:solidFill>
          </w14:textFill>
        </w:rPr>
        <w:instrText xml:space="preserve">= 1 \* GB3</w:instrText>
      </w:r>
      <w:r>
        <w:rPr>
          <w:rFonts w:ascii="仿宋" w:hAnsi="仿宋" w:eastAsia="仿宋"/>
          <w:b/>
          <w:bCs/>
          <w:color w:val="000000" w:themeColor="text1"/>
          <w:highlight w:val="none"/>
          <w14:textFill>
            <w14:solidFill>
              <w14:schemeClr w14:val="tx1"/>
            </w14:solidFill>
          </w14:textFill>
        </w:rPr>
        <w:instrText xml:space="preserve"> </w:instrText>
      </w:r>
      <w:r>
        <w:rPr>
          <w:rFonts w:ascii="仿宋" w:hAnsi="仿宋" w:eastAsia="仿宋"/>
          <w:b/>
          <w:bCs/>
          <w:color w:val="000000" w:themeColor="text1"/>
          <w:highlight w:val="none"/>
          <w14:textFill>
            <w14:solidFill>
              <w14:schemeClr w14:val="tx1"/>
            </w14:solidFill>
          </w14:textFill>
        </w:rPr>
        <w:fldChar w:fldCharType="separate"/>
      </w:r>
      <w:r>
        <w:rPr>
          <w:rFonts w:hint="eastAsia" w:ascii="仿宋" w:hAnsi="仿宋" w:eastAsia="仿宋"/>
          <w:b/>
          <w:bCs/>
          <w:color w:val="000000" w:themeColor="text1"/>
          <w:highlight w:val="none"/>
          <w14:textFill>
            <w14:solidFill>
              <w14:schemeClr w14:val="tx1"/>
            </w14:solidFill>
          </w14:textFill>
        </w:rPr>
        <w:t>①</w:t>
      </w:r>
      <w:r>
        <w:rPr>
          <w:rFonts w:ascii="仿宋" w:hAnsi="仿宋" w:eastAsia="仿宋"/>
          <w:b/>
          <w:bCs/>
          <w:color w:val="000000" w:themeColor="text1"/>
          <w:highlight w:val="none"/>
          <w14:textFill>
            <w14:solidFill>
              <w14:schemeClr w14:val="tx1"/>
            </w14:solidFill>
          </w14:textFill>
        </w:rPr>
        <w:fldChar w:fldCharType="end"/>
      </w:r>
      <w:r>
        <w:rPr>
          <w:rFonts w:ascii="仿宋" w:hAnsi="仿宋" w:eastAsia="仿宋"/>
          <w:b/>
          <w:bCs/>
          <w:color w:val="000000" w:themeColor="text1"/>
          <w:highlight w:val="none"/>
          <w14:textFill>
            <w14:solidFill>
              <w14:schemeClr w14:val="tx1"/>
            </w14:solidFill>
          </w14:textFill>
        </w:rPr>
        <w:t>整治目标</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结合广水市矿山地质环境及矿区损毁土地实际情况，以废弃矿山治理为重点,开展矿山生态修复工作，实施矿山地质环境恢复治理工程。优先治理历史遗留损毁矿山的废弃矿山,采用工程和生物措施,进行土地综合整治，安排重点矿山生态修复。</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fldChar w:fldCharType="begin"/>
      </w:r>
      <w:r>
        <w:rPr>
          <w:rFonts w:ascii="仿宋" w:hAnsi="仿宋" w:eastAsia="仿宋"/>
          <w:b/>
          <w:bCs/>
          <w:color w:val="000000" w:themeColor="text1"/>
          <w:highlight w:val="none"/>
          <w14:textFill>
            <w14:solidFill>
              <w14:schemeClr w14:val="tx1"/>
            </w14:solidFill>
          </w14:textFill>
        </w:rPr>
        <w:instrText xml:space="preserve"> </w:instrText>
      </w:r>
      <w:r>
        <w:rPr>
          <w:rFonts w:hint="eastAsia" w:ascii="仿宋" w:hAnsi="仿宋" w:eastAsia="仿宋"/>
          <w:b/>
          <w:bCs/>
          <w:color w:val="000000" w:themeColor="text1"/>
          <w:highlight w:val="none"/>
          <w14:textFill>
            <w14:solidFill>
              <w14:schemeClr w14:val="tx1"/>
            </w14:solidFill>
          </w14:textFill>
        </w:rPr>
        <w:instrText xml:space="preserve">= 2 \* GB3</w:instrText>
      </w:r>
      <w:r>
        <w:rPr>
          <w:rFonts w:ascii="仿宋" w:hAnsi="仿宋" w:eastAsia="仿宋"/>
          <w:b/>
          <w:bCs/>
          <w:color w:val="000000" w:themeColor="text1"/>
          <w:highlight w:val="none"/>
          <w14:textFill>
            <w14:solidFill>
              <w14:schemeClr w14:val="tx1"/>
            </w14:solidFill>
          </w14:textFill>
        </w:rPr>
        <w:instrText xml:space="preserve"> </w:instrText>
      </w:r>
      <w:r>
        <w:rPr>
          <w:rFonts w:ascii="仿宋" w:hAnsi="仿宋" w:eastAsia="仿宋"/>
          <w:b/>
          <w:bCs/>
          <w:color w:val="000000" w:themeColor="text1"/>
          <w:highlight w:val="none"/>
          <w14:textFill>
            <w14:solidFill>
              <w14:schemeClr w14:val="tx1"/>
            </w14:solidFill>
          </w14:textFill>
        </w:rPr>
        <w:fldChar w:fldCharType="separate"/>
      </w:r>
      <w:r>
        <w:rPr>
          <w:rFonts w:hint="eastAsia" w:ascii="仿宋" w:hAnsi="仿宋" w:eastAsia="仿宋"/>
          <w:b/>
          <w:bCs/>
          <w:color w:val="000000" w:themeColor="text1"/>
          <w:highlight w:val="none"/>
          <w14:textFill>
            <w14:solidFill>
              <w14:schemeClr w14:val="tx1"/>
            </w14:solidFill>
          </w14:textFill>
        </w:rPr>
        <w:t>②</w:t>
      </w:r>
      <w:r>
        <w:rPr>
          <w:rFonts w:ascii="仿宋" w:hAnsi="仿宋" w:eastAsia="仿宋"/>
          <w:b/>
          <w:bCs/>
          <w:color w:val="000000" w:themeColor="text1"/>
          <w:highlight w:val="none"/>
          <w14:textFill>
            <w14:solidFill>
              <w14:schemeClr w14:val="tx1"/>
            </w14:solidFill>
          </w14:textFill>
        </w:rPr>
        <w:fldChar w:fldCharType="end"/>
      </w:r>
      <w:r>
        <w:rPr>
          <w:rFonts w:ascii="仿宋" w:hAnsi="仿宋" w:eastAsia="仿宋"/>
          <w:b/>
          <w:bCs/>
          <w:color w:val="000000" w:themeColor="text1"/>
          <w:highlight w:val="none"/>
          <w14:textFill>
            <w14:solidFill>
              <w14:schemeClr w14:val="tx1"/>
            </w14:solidFill>
          </w14:textFill>
        </w:rPr>
        <w:t>重点区域与重点工程</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广水</w:t>
      </w:r>
      <w:r>
        <w:rPr>
          <w:rFonts w:hint="eastAsia" w:ascii="Times New Roman" w:hAnsi="Times New Roman" w:eastAsia="仿宋" w:cs="Times New Roman"/>
          <w:color w:val="000000" w:themeColor="text1"/>
          <w:kern w:val="21"/>
          <w:szCs w:val="20"/>
          <w:highlight w:val="none"/>
          <w14:textFill>
            <w14:solidFill>
              <w14:schemeClr w14:val="tx1"/>
            </w14:solidFill>
          </w14:textFill>
        </w:rPr>
        <w:t>市</w:t>
      </w:r>
      <w:r>
        <w:rPr>
          <w:rFonts w:ascii="Times New Roman" w:hAnsi="Times New Roman" w:eastAsia="仿宋" w:cs="Times New Roman"/>
          <w:color w:val="000000" w:themeColor="text1"/>
          <w:kern w:val="21"/>
          <w:szCs w:val="20"/>
          <w:highlight w:val="none"/>
          <w14:textFill>
            <w14:solidFill>
              <w14:schemeClr w14:val="tx1"/>
            </w14:solidFill>
          </w14:textFill>
        </w:rPr>
        <w:t>蔡河镇矿区重点治理工程：对于</w:t>
      </w:r>
      <w:r>
        <w:rPr>
          <w:rFonts w:hint="eastAsia" w:ascii="Times New Roman" w:hAnsi="Times New Roman" w:eastAsia="仿宋" w:cs="Times New Roman"/>
          <w:color w:val="000000" w:themeColor="text1"/>
          <w:kern w:val="21"/>
          <w:szCs w:val="20"/>
          <w:highlight w:val="none"/>
          <w14:textFill>
            <w14:solidFill>
              <w14:schemeClr w14:val="tx1"/>
            </w14:solidFill>
          </w14:textFill>
        </w:rPr>
        <w:t>洞采开</w:t>
      </w:r>
      <w:r>
        <w:rPr>
          <w:rFonts w:ascii="Times New Roman" w:hAnsi="Times New Roman" w:eastAsia="仿宋" w:cs="Times New Roman"/>
          <w:color w:val="000000" w:themeColor="text1"/>
          <w:kern w:val="21"/>
          <w:szCs w:val="20"/>
          <w:highlight w:val="none"/>
          <w14:textFill>
            <w14:solidFill>
              <w14:schemeClr w14:val="tx1"/>
            </w14:solidFill>
          </w14:textFill>
        </w:rPr>
        <w:t>采矿山萤石矿，改善矿山环境状况，控制矿山环境污染和环境恶化趋势，形成矿业开发与生态环境保护和相关产业良性 循环、协调发展的局面，使汉江沿线生态环境得到进一步恢复。对于已经关闭的固废场，可通过种植适宜的灌木、种草绿化来稳定固废堆斜坡剥离物的表面层，减少起尘。</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 xml:space="preserve">李店镇姚店村重晶石矿重点治理工程：姚店村矿区修 复措施主要有：坡面排水、边坡防护、植被恢复。对土壤基质改良和污染治理后选择合适物种，通过造林等对矿山还建进行修复和综合整治。矿山开发过程中对环境 敏感目标进行避让，施工过程中，尽量缩小施工范围，减少开挖，地表植被能保留的给予保留。 </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废弃矿山生态修复工程：对十里办事处仙人洞村、广 水办事处土门村、长岭镇永阳村、马坪镇河湾村和郝店镇沙子岗村废弃矿山进行生态修复治理工程建设。废弃矿山地块周边地貌多以草地、林地和耕地为主要地类，按照“宜耕则耕、宜林则林”的复垦原则，不能一味地追求增加耕地而忽略周边地貌对地块适宜性的影响对废 弃矿山进行复垦。</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 xml:space="preserve">重要生态区矿山修复工程：对武胜关镇和蔡河镇通过坡改梯等工程整治土地，改善坡耕地生态环境。开展以坡耕地改造为重点的综合治理，在流域源头区，通过封禁治理、疏林补植，形成乔、灌、草相结合的立体防护体系。加强矿山、矿业经济区周围生态功能区、环境保护目标区和重要水源地的水质调查。从水土保持出发，利用领先的集水、灌溉技术，结合有利于土壤修复的作 物种植、养殖，“以光促保”，将光伏发电项目与需要水土保持区域生态修复有机结合，建成“光伏发电+生态修复”微型项目，实现生态与能源的良性互动。 </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ascii="Times New Roman" w:hAnsi="Times New Roman" w:eastAsia="仿宋" w:cs="Times New Roman"/>
          <w:color w:val="000000" w:themeColor="text1"/>
          <w:kern w:val="21"/>
          <w:szCs w:val="20"/>
          <w:highlight w:val="none"/>
          <w14:textFill>
            <w14:solidFill>
              <w14:schemeClr w14:val="tx1"/>
            </w14:solidFill>
          </w14:textFill>
        </w:rPr>
        <w:t>绿色矿山修复工程：对恒天矿业有限公司、鸿利石料 厂、帽子石矿区建筑用大理岩矿、卢家岗—易家湾萤石矿、六猪咀矿区建筑石料用灰岩矿、刘家河建筑用白云岩矿等主要矿区进行生态环境综合治理，以加强生态保 护和节约集约利用作为重点，开展废弃工矿用地复垦、矿业转型升级、资源合理利用、矿山环境保护等工程，实现产业绿色发展。规划人工造林3500亩，封山育林 3500亩，实施植被恢复，通过矿坑填土、渣石清理、表 层盖土，种植乔灌木、封山育林、恢复植被</w:t>
      </w:r>
      <w:r>
        <w:rPr>
          <w:rFonts w:hint="eastAsia" w:ascii="Times New Roman" w:hAnsi="Times New Roman" w:eastAsia="仿宋" w:cs="Times New Roman"/>
          <w:color w:val="000000" w:themeColor="text1"/>
          <w:kern w:val="21"/>
          <w:szCs w:val="20"/>
          <w:highlight w:val="none"/>
          <w14:textFill>
            <w14:solidFill>
              <w14:schemeClr w14:val="tx1"/>
            </w14:solidFill>
          </w14:textFill>
        </w:rPr>
        <w:t>。</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autoSpaceDE w:val="0"/>
        <w:autoSpaceDN w:val="0"/>
        <w:adjustRightInd w:val="0"/>
        <w:spacing w:before="0" w:after="0" w:line="240" w:lineRule="auto"/>
        <w:jc w:val="left"/>
        <w:rPr>
          <w:rFonts w:ascii="仿宋" w:hAnsi="仿宋" w:eastAsia="仿宋" w:cs="Times New Roman"/>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
        <w:pageBreakBefore/>
        <w:rPr>
          <w:rFonts w:ascii="仿宋" w:hAnsi="仿宋" w:eastAsia="仿宋"/>
          <w:color w:val="000000" w:themeColor="text1"/>
          <w:highlight w:val="none"/>
          <w14:textFill>
            <w14:solidFill>
              <w14:schemeClr w14:val="tx1"/>
            </w14:solidFill>
          </w14:textFill>
        </w:rPr>
      </w:pPr>
      <w:bookmarkStart w:id="93" w:name="_Toc22636"/>
      <w:r>
        <w:rPr>
          <w:rFonts w:hint="eastAsia" w:ascii="仿宋" w:hAnsi="仿宋" w:eastAsia="仿宋"/>
          <w:color w:val="000000" w:themeColor="text1"/>
          <w:highlight w:val="none"/>
          <w14:textFill>
            <w14:solidFill>
              <w14:schemeClr w14:val="tx1"/>
            </w14:solidFill>
          </w14:textFill>
        </w:rPr>
        <w:t>第十章 中心城区规划</w:t>
      </w:r>
      <w:bookmarkEnd w:id="93"/>
    </w:p>
    <w:p>
      <w:pPr>
        <w:pStyle w:val="4"/>
        <w:rPr>
          <w:rFonts w:ascii="仿宋" w:hAnsi="仿宋" w:eastAsia="仿宋"/>
          <w:color w:val="000000" w:themeColor="text1"/>
          <w:highlight w:val="none"/>
          <w14:textFill>
            <w14:solidFill>
              <w14:schemeClr w14:val="tx1"/>
            </w14:solidFill>
          </w14:textFill>
        </w:rPr>
      </w:pPr>
      <w:bookmarkStart w:id="94" w:name="_Toc11064"/>
      <w:bookmarkStart w:id="95" w:name="_Toc77947022"/>
      <w:r>
        <w:rPr>
          <w:rFonts w:hint="eastAsia" w:ascii="仿宋" w:hAnsi="仿宋" w:eastAsia="仿宋"/>
          <w:color w:val="000000" w:themeColor="text1"/>
          <w:highlight w:val="none"/>
          <w14:textFill>
            <w14:solidFill>
              <w14:schemeClr w14:val="tx1"/>
            </w14:solidFill>
          </w14:textFill>
        </w:rPr>
        <w:t>第1节 范围划定</w:t>
      </w:r>
      <w:bookmarkEnd w:id="94"/>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为控制规划期内城市建设用地集中紧凑发展，规划划定中心城区和城镇开发边界线。以城镇开发建设现状为基础，综合考虑资源承载能力、人口分布、经济布局、城乡统筹、城镇发展阶段和发展潜力，框定总量，限定容量，防止城镇盲目扩张和无序蔓延。</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中心城区范围：西至S210省道以西150米处，南抵麻竹高速公路及广武大道边界，东达武胜关镇，107国道以东500米处，北至黑虎冲村、鄂北红色旅游高速及九皇、车站社区居民委员会现状建设的边界。</w:t>
      </w:r>
    </w:p>
    <w:bookmarkEnd w:id="95"/>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中心城区划定面积</w:t>
      </w:r>
      <w:r>
        <w:rPr>
          <w:rFonts w:ascii="仿宋" w:hAnsi="仿宋" w:eastAsia="仿宋"/>
          <w:color w:val="000000" w:themeColor="text1"/>
          <w:highlight w:val="none"/>
          <w14:textFill>
            <w14:solidFill>
              <w14:schemeClr w14:val="tx1"/>
            </w14:solidFill>
          </w14:textFill>
        </w:rPr>
        <w:t>75.82</w:t>
      </w:r>
      <w:r>
        <w:rPr>
          <w:rFonts w:hint="eastAsia" w:ascii="仿宋" w:hAnsi="仿宋" w:eastAsia="仿宋"/>
          <w:color w:val="000000" w:themeColor="text1"/>
          <w:highlight w:val="none"/>
          <w14:textFill>
            <w14:solidFill>
              <w14:schemeClr w14:val="tx1"/>
            </w14:solidFill>
          </w14:textFill>
        </w:rPr>
        <w:t>平方公里，规划建设用地</w:t>
      </w:r>
      <w:r>
        <w:rPr>
          <w:rFonts w:ascii="仿宋" w:hAnsi="仿宋" w:eastAsia="仿宋"/>
          <w:color w:val="000000" w:themeColor="text1"/>
          <w:highlight w:val="none"/>
          <w14:textFill>
            <w14:solidFill>
              <w14:schemeClr w14:val="tx1"/>
            </w14:solidFill>
          </w14:textFill>
        </w:rPr>
        <w:t>63.95</w:t>
      </w:r>
      <w:r>
        <w:rPr>
          <w:rFonts w:hint="eastAsia" w:ascii="仿宋" w:hAnsi="仿宋" w:eastAsia="仿宋"/>
          <w:color w:val="000000" w:themeColor="text1"/>
          <w:highlight w:val="none"/>
          <w14:textFill>
            <w14:solidFill>
              <w14:schemeClr w14:val="tx1"/>
            </w14:solidFill>
          </w14:textFill>
        </w:rPr>
        <w:t>平方公里,城镇开发边界面积46</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8</w:t>
      </w:r>
      <w:r>
        <w:rPr>
          <w:rFonts w:ascii="仿宋" w:hAnsi="仿宋" w:eastAsia="仿宋"/>
          <w:color w:val="000000" w:themeColor="text1"/>
          <w:highlight w:val="none"/>
          <w14:textFill>
            <w14:solidFill>
              <w14:schemeClr w14:val="tx1"/>
            </w14:solidFill>
          </w14:textFill>
        </w:rPr>
        <w:t>5</w:t>
      </w:r>
      <w:r>
        <w:rPr>
          <w:rFonts w:hint="eastAsia" w:ascii="仿宋" w:hAnsi="仿宋" w:eastAsia="仿宋"/>
          <w:color w:val="000000" w:themeColor="text1"/>
          <w:highlight w:val="none"/>
          <w14:textFill>
            <w14:solidFill>
              <w14:schemeClr w14:val="tx1"/>
            </w14:solidFill>
          </w14:textFill>
        </w:rPr>
        <w:t>平方公里。</w:t>
      </w:r>
    </w:p>
    <w:p>
      <w:pPr>
        <w:pStyle w:val="4"/>
        <w:rPr>
          <w:rFonts w:ascii="仿宋" w:hAnsi="仿宋" w:eastAsia="仿宋"/>
          <w:color w:val="000000" w:themeColor="text1"/>
          <w:highlight w:val="none"/>
          <w14:textFill>
            <w14:solidFill>
              <w14:schemeClr w14:val="tx1"/>
            </w14:solidFill>
          </w14:textFill>
        </w:rPr>
      </w:pPr>
      <w:bookmarkStart w:id="96" w:name="_Toc7176"/>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2</w:t>
      </w:r>
      <w:r>
        <w:rPr>
          <w:rFonts w:hint="eastAsia" w:ascii="仿宋" w:hAnsi="仿宋" w:eastAsia="仿宋"/>
          <w:color w:val="000000" w:themeColor="text1"/>
          <w:highlight w:val="none"/>
          <w14:textFill>
            <w14:solidFill>
              <w14:schemeClr w14:val="tx1"/>
            </w14:solidFill>
          </w14:textFill>
        </w:rPr>
        <w:t>节 用地布局</w:t>
      </w:r>
      <w:bookmarkEnd w:id="96"/>
    </w:p>
    <w:p>
      <w:pPr>
        <w:ind w:firstLine="562" w:firstLineChars="200"/>
        <w:rPr>
          <w:rFonts w:ascii="仿宋" w:hAnsi="仿宋" w:eastAsia="仿宋"/>
          <w:color w:val="000000" w:themeColor="text1"/>
          <w:highlight w:val="none"/>
          <w14:textFill>
            <w14:solidFill>
              <w14:schemeClr w14:val="tx1"/>
            </w14:solidFill>
          </w14:textFill>
        </w:rPr>
      </w:pPr>
      <w:bookmarkStart w:id="97" w:name="_Hlk85047309"/>
      <w:r>
        <w:rPr>
          <w:rFonts w:ascii="仿宋" w:hAnsi="仿宋" w:eastAsia="仿宋"/>
          <w:b/>
          <w:bCs/>
          <w:color w:val="000000" w:themeColor="text1"/>
          <w:highlight w:val="none"/>
          <w14:textFill>
            <w14:solidFill>
              <w14:schemeClr w14:val="tx1"/>
            </w14:solidFill>
          </w14:textFill>
        </w:rPr>
        <w:t>合理控制增量，以</w:t>
      </w:r>
      <w:r>
        <w:rPr>
          <w:rFonts w:hint="eastAsia" w:ascii="仿宋" w:hAnsi="仿宋" w:eastAsia="仿宋"/>
          <w:b/>
          <w:bCs/>
          <w:color w:val="000000" w:themeColor="text1"/>
          <w:highlight w:val="none"/>
          <w14:textFill>
            <w14:solidFill>
              <w14:schemeClr w14:val="tx1"/>
            </w14:solidFill>
          </w14:textFill>
        </w:rPr>
        <w:t>落实实际用地需求，促进广水市发展为根本，对现状</w:t>
      </w:r>
      <w:r>
        <w:rPr>
          <w:rFonts w:ascii="仿宋" w:hAnsi="仿宋" w:eastAsia="仿宋"/>
          <w:b/>
          <w:bCs/>
          <w:color w:val="000000" w:themeColor="text1"/>
          <w:highlight w:val="none"/>
          <w14:textFill>
            <w14:solidFill>
              <w14:schemeClr w14:val="tx1"/>
            </w14:solidFill>
          </w14:textFill>
        </w:rPr>
        <w:t>用地结构调整优化</w:t>
      </w:r>
      <w:r>
        <w:rPr>
          <w:rFonts w:hint="eastAsia" w:ascii="仿宋" w:hAnsi="仿宋" w:eastAsia="仿宋"/>
          <w:b/>
          <w:bCs/>
          <w:color w:val="000000" w:themeColor="text1"/>
          <w:highlight w:val="none"/>
          <w14:textFill>
            <w14:solidFill>
              <w14:schemeClr w14:val="tx1"/>
            </w14:solidFill>
          </w14:textFill>
        </w:rPr>
        <w:t>，对新区用地结构集约建设</w:t>
      </w:r>
      <w:r>
        <w:rPr>
          <w:rFonts w:ascii="仿宋" w:hAnsi="仿宋" w:eastAsia="仿宋"/>
          <w:b/>
          <w:bCs/>
          <w:color w:val="000000" w:themeColor="text1"/>
          <w:highlight w:val="none"/>
          <w14:textFill>
            <w14:solidFill>
              <w14:schemeClr w14:val="tx1"/>
            </w14:solidFill>
          </w14:textFill>
        </w:rPr>
        <w:t>。</w:t>
      </w:r>
      <w:r>
        <w:rPr>
          <w:rFonts w:ascii="仿宋" w:hAnsi="仿宋" w:eastAsia="仿宋"/>
          <w:color w:val="000000" w:themeColor="text1"/>
          <w:highlight w:val="none"/>
          <w14:textFill>
            <w14:solidFill>
              <w14:schemeClr w14:val="tx1"/>
            </w14:solidFill>
          </w14:textFill>
        </w:rPr>
        <w:t>按照“集约发展，</w:t>
      </w:r>
      <w:r>
        <w:rPr>
          <w:rFonts w:hint="eastAsia" w:ascii="仿宋" w:hAnsi="仿宋" w:eastAsia="仿宋"/>
          <w:color w:val="000000" w:themeColor="text1"/>
          <w:highlight w:val="none"/>
          <w14:textFill>
            <w14:solidFill>
              <w14:schemeClr w14:val="tx1"/>
            </w14:solidFill>
          </w14:textFill>
        </w:rPr>
        <w:t>生态保护，完善公服</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产城融合</w:t>
      </w:r>
      <w:r>
        <w:rPr>
          <w:rFonts w:ascii="仿宋" w:hAnsi="仿宋" w:eastAsia="仿宋"/>
          <w:color w:val="000000" w:themeColor="text1"/>
          <w:highlight w:val="none"/>
          <w14:textFill>
            <w14:solidFill>
              <w14:schemeClr w14:val="tx1"/>
            </w14:solidFill>
          </w14:textFill>
        </w:rPr>
        <w:t>”的原则，合理控制增量拓展，大力加强存量更新，重点增加公共管理与公共服务、绿地与开敞空间等用地，</w:t>
      </w:r>
      <w:r>
        <w:rPr>
          <w:rFonts w:hint="eastAsia" w:ascii="仿宋" w:hAnsi="仿宋" w:eastAsia="仿宋"/>
          <w:color w:val="000000" w:themeColor="text1"/>
          <w:highlight w:val="none"/>
          <w14:textFill>
            <w14:solidFill>
              <w14:schemeClr w14:val="tx1"/>
            </w14:solidFill>
          </w14:textFill>
        </w:rPr>
        <w:t>主要落实工业基地、广水市化工园区和北部片区建设用地需求</w:t>
      </w:r>
      <w:r>
        <w:rPr>
          <w:rFonts w:ascii="仿宋" w:hAnsi="仿宋" w:eastAsia="仿宋"/>
          <w:color w:val="000000" w:themeColor="text1"/>
          <w:highlight w:val="none"/>
          <w14:textFill>
            <w14:solidFill>
              <w14:schemeClr w14:val="tx1"/>
            </w14:solidFill>
          </w14:textFill>
        </w:rPr>
        <w:t>，保障交通和市政基础设施用地。确保绿地与开敞空间用地占城市</w:t>
      </w:r>
      <w:r>
        <w:rPr>
          <w:rFonts w:hint="eastAsia" w:ascii="仿宋" w:hAnsi="仿宋" w:eastAsia="仿宋"/>
          <w:color w:val="000000" w:themeColor="text1"/>
          <w:highlight w:val="none"/>
          <w14:textFill>
            <w14:solidFill>
              <w14:schemeClr w14:val="tx1"/>
            </w14:solidFill>
          </w14:textFill>
        </w:rPr>
        <w:t>建设用地的比例控制在10%—15%，交通设施用地比例控制在10%—30%，工矿</w:t>
      </w:r>
      <w:r>
        <w:rPr>
          <w:rFonts w:ascii="仿宋" w:hAnsi="仿宋" w:eastAsia="仿宋"/>
          <w:color w:val="000000" w:themeColor="text1"/>
          <w:highlight w:val="none"/>
          <w14:textFill>
            <w14:solidFill>
              <w14:schemeClr w14:val="tx1"/>
            </w14:solidFill>
          </w14:textFill>
        </w:rPr>
        <w:t>用地的比例控制在</w:t>
      </w:r>
      <w:r>
        <w:rPr>
          <w:rFonts w:hint="eastAsia" w:ascii="仿宋" w:hAnsi="仿宋" w:eastAsia="仿宋"/>
          <w:color w:val="000000" w:themeColor="text1"/>
          <w:highlight w:val="none"/>
          <w14:textFill>
            <w14:solidFill>
              <w14:schemeClr w14:val="tx1"/>
            </w14:solidFill>
          </w14:textFill>
        </w:rPr>
        <w:t>15</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30</w:t>
      </w:r>
      <w:r>
        <w:rPr>
          <w:rFonts w:ascii="仿宋" w:hAnsi="仿宋" w:eastAsia="仿宋"/>
          <w:color w:val="000000" w:themeColor="text1"/>
          <w:highlight w:val="none"/>
          <w14:textFill>
            <w14:solidFill>
              <w14:schemeClr w14:val="tx1"/>
            </w14:solidFill>
          </w14:textFill>
        </w:rPr>
        <w:t>%，居住用地比例控制在</w:t>
      </w:r>
      <w:r>
        <w:rPr>
          <w:rFonts w:hint="eastAsia" w:ascii="仿宋" w:hAnsi="仿宋" w:eastAsia="仿宋"/>
          <w:color w:val="000000" w:themeColor="text1"/>
          <w:highlight w:val="none"/>
          <w14:textFill>
            <w14:solidFill>
              <w14:schemeClr w14:val="tx1"/>
            </w14:solidFill>
          </w14:textFill>
        </w:rPr>
        <w:t>25</w:t>
      </w:r>
      <w:r>
        <w:rPr>
          <w:rFonts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40</w:t>
      </w:r>
      <w:r>
        <w:rPr>
          <w:rFonts w:ascii="仿宋" w:hAnsi="仿宋" w:eastAsia="仿宋"/>
          <w:color w:val="000000" w:themeColor="text1"/>
          <w:highlight w:val="none"/>
          <w14:textFill>
            <w14:solidFill>
              <w14:schemeClr w14:val="tx1"/>
            </w14:solidFill>
          </w14:textFill>
        </w:rPr>
        <w:t>%。</w:t>
      </w:r>
      <w:bookmarkEnd w:id="97"/>
      <w:r>
        <w:rPr>
          <w:rFonts w:ascii="仿宋" w:hAnsi="仿宋" w:eastAsia="仿宋"/>
          <w:color w:val="000000" w:themeColor="text1"/>
          <w:highlight w:val="none"/>
          <w14:textFill>
            <w14:solidFill>
              <w14:schemeClr w14:val="tx1"/>
            </w14:solidFill>
          </w14:textFill>
        </w:rPr>
        <w:t>规划</w:t>
      </w:r>
      <w:r>
        <w:rPr>
          <w:rFonts w:hint="eastAsia" w:ascii="仿宋" w:hAnsi="仿宋" w:eastAsia="仿宋"/>
          <w:color w:val="000000" w:themeColor="text1"/>
          <w:highlight w:val="none"/>
          <w14:textFill>
            <w14:solidFill>
              <w14:schemeClr w14:val="tx1"/>
            </w14:solidFill>
          </w14:textFill>
        </w:rPr>
        <w:t>至</w:t>
      </w:r>
      <w:r>
        <w:rPr>
          <w:rFonts w:ascii="仿宋" w:hAnsi="仿宋" w:eastAsia="仿宋"/>
          <w:color w:val="000000" w:themeColor="text1"/>
          <w:highlight w:val="none"/>
          <w14:textFill>
            <w14:solidFill>
              <w14:schemeClr w14:val="tx1"/>
            </w14:solidFill>
          </w14:textFill>
        </w:rPr>
        <w:t>2035年，按照</w:t>
      </w:r>
      <w:r>
        <w:rPr>
          <w:rFonts w:hint="eastAsia" w:ascii="仿宋" w:hAnsi="仿宋" w:eastAsia="仿宋"/>
          <w:color w:val="000000" w:themeColor="text1"/>
          <w:highlight w:val="none"/>
          <w14:textFill>
            <w14:solidFill>
              <w14:schemeClr w14:val="tx1"/>
            </w14:solidFill>
          </w14:textFill>
        </w:rPr>
        <w:t>45</w:t>
      </w:r>
      <w:r>
        <w:rPr>
          <w:rFonts w:ascii="仿宋" w:hAnsi="仿宋" w:eastAsia="仿宋"/>
          <w:color w:val="000000" w:themeColor="text1"/>
          <w:highlight w:val="none"/>
          <w14:textFill>
            <w14:solidFill>
              <w14:schemeClr w14:val="tx1"/>
            </w14:solidFill>
          </w14:textFill>
        </w:rPr>
        <w:t>万常住人口需求，规划中心城区内城市建设用地控制在</w:t>
      </w:r>
      <w:r>
        <w:rPr>
          <w:rFonts w:hint="eastAsia" w:ascii="仿宋" w:hAnsi="仿宋" w:eastAsia="仿宋"/>
          <w:color w:val="000000" w:themeColor="text1"/>
          <w:highlight w:val="none"/>
          <w14:textFill>
            <w14:solidFill>
              <w14:schemeClr w14:val="tx1"/>
            </w14:solidFill>
          </w14:textFill>
        </w:rPr>
        <w:t>5909.44公顷</w:t>
      </w:r>
      <w:r>
        <w:rPr>
          <w:rFonts w:ascii="仿宋" w:hAnsi="仿宋" w:eastAsia="仿宋"/>
          <w:color w:val="000000" w:themeColor="text1"/>
          <w:highlight w:val="none"/>
          <w14:textFill>
            <w14:solidFill>
              <w14:schemeClr w14:val="tx1"/>
            </w14:solidFill>
          </w14:textFill>
        </w:rPr>
        <w:t>，人均城</w:t>
      </w:r>
      <w:r>
        <w:rPr>
          <w:rFonts w:hint="eastAsia" w:ascii="仿宋" w:hAnsi="仿宋" w:eastAsia="仿宋"/>
          <w:color w:val="000000" w:themeColor="text1"/>
          <w:highlight w:val="none"/>
          <w14:textFill>
            <w14:solidFill>
              <w14:schemeClr w14:val="tx1"/>
            </w14:solidFill>
          </w14:textFill>
        </w:rPr>
        <w:t>镇</w:t>
      </w:r>
      <w:r>
        <w:rPr>
          <w:rFonts w:ascii="仿宋" w:hAnsi="仿宋" w:eastAsia="仿宋"/>
          <w:color w:val="000000" w:themeColor="text1"/>
          <w:highlight w:val="none"/>
          <w14:textFill>
            <w14:solidFill>
              <w14:schemeClr w14:val="tx1"/>
            </w14:solidFill>
          </w14:textFill>
        </w:rPr>
        <w:t>建设用地1</w:t>
      </w:r>
      <w:r>
        <w:rPr>
          <w:rFonts w:hint="eastAsia" w:ascii="仿宋" w:hAnsi="仿宋" w:eastAsia="仿宋"/>
          <w:color w:val="000000" w:themeColor="text1"/>
          <w:highlight w:val="none"/>
          <w14:textFill>
            <w14:solidFill>
              <w14:schemeClr w14:val="tx1"/>
            </w14:solidFill>
          </w14:textFill>
        </w:rPr>
        <w:t>30</w:t>
      </w:r>
      <w:r>
        <w:rPr>
          <w:rFonts w:ascii="仿宋" w:hAnsi="仿宋" w:eastAsia="仿宋"/>
          <w:color w:val="000000" w:themeColor="text1"/>
          <w:highlight w:val="none"/>
          <w14:textFill>
            <w14:solidFill>
              <w14:schemeClr w14:val="tx1"/>
            </w14:solidFill>
          </w14:textFill>
        </w:rPr>
        <w:t>平方米。</w:t>
      </w:r>
      <w:r>
        <w:rPr>
          <w:rFonts w:hint="eastAsia" w:ascii="仿宋" w:hAnsi="仿宋" w:eastAsia="仿宋"/>
          <w:color w:val="000000" w:themeColor="text1"/>
          <w:highlight w:val="none"/>
          <w14:textFill>
            <w14:solidFill>
              <w14:schemeClr w14:val="tx1"/>
            </w14:solidFill>
          </w14:textFill>
        </w:rPr>
        <w:t>为了应对未来经济发展的不确定性，保证规划弹性，预留485.49公顷的留白用地。</w:t>
      </w:r>
    </w:p>
    <w:p>
      <w:pPr>
        <w:ind w:firstLine="442" w:firstLineChars="200"/>
        <w:jc w:val="center"/>
        <w:rPr>
          <w:rFonts w:ascii="仿宋" w:hAnsi="仿宋" w:eastAsia="仿宋"/>
          <w:b/>
          <w:bCs/>
          <w:color w:val="000000" w:themeColor="text1"/>
          <w:sz w:val="22"/>
          <w:szCs w:val="20"/>
          <w:highlight w:val="none"/>
          <w14:textFill>
            <w14:solidFill>
              <w14:schemeClr w14:val="tx1"/>
            </w14:solidFill>
          </w14:textFill>
        </w:rPr>
      </w:pPr>
      <w:bookmarkStart w:id="98" w:name="_Hlk85047346"/>
      <w:r>
        <w:rPr>
          <w:rFonts w:hint="eastAsia" w:ascii="仿宋" w:hAnsi="仿宋" w:eastAsia="仿宋"/>
          <w:b/>
          <w:bCs/>
          <w:color w:val="000000" w:themeColor="text1"/>
          <w:sz w:val="22"/>
          <w:szCs w:val="20"/>
          <w:highlight w:val="none"/>
          <w14:textFill>
            <w14:solidFill>
              <w14:schemeClr w14:val="tx1"/>
            </w14:solidFill>
          </w14:textFill>
        </w:rPr>
        <w:t>中心城区城镇用地结构规划表</w:t>
      </w:r>
    </w:p>
    <w:tbl>
      <w:tblPr>
        <w:tblStyle w:val="12"/>
        <w:tblW w:w="843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59"/>
        <w:gridCol w:w="3380"/>
        <w:gridCol w:w="1433"/>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ascii="仿宋" w:hAnsi="仿宋" w:eastAsia="仿宋"/>
                <w:b/>
                <w:bCs/>
                <w:color w:val="000000" w:themeColor="text1"/>
                <w:sz w:val="22"/>
                <w:highlight w:val="none"/>
                <w14:textFill>
                  <w14:solidFill>
                    <w14:schemeClr w14:val="tx1"/>
                  </w14:solidFill>
                </w14:textFill>
              </w:rPr>
              <w:t>序号</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ascii="仿宋" w:hAnsi="仿宋" w:eastAsia="仿宋"/>
                <w:b/>
                <w:bCs/>
                <w:color w:val="000000" w:themeColor="text1"/>
                <w:sz w:val="22"/>
                <w:highlight w:val="none"/>
                <w14:textFill>
                  <w14:solidFill>
                    <w14:schemeClr w14:val="tx1"/>
                  </w14:solidFill>
                </w14:textFill>
              </w:rPr>
              <w:t>用地类型</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ascii="仿宋" w:hAnsi="仿宋" w:eastAsia="仿宋"/>
                <w:b/>
                <w:bCs/>
                <w:color w:val="000000" w:themeColor="text1"/>
                <w:sz w:val="22"/>
                <w:highlight w:val="none"/>
                <w14:textFill>
                  <w14:solidFill>
                    <w14:schemeClr w14:val="tx1"/>
                  </w14:solidFill>
                </w14:textFill>
              </w:rPr>
              <w:t>面积（</w:t>
            </w:r>
            <w:r>
              <w:rPr>
                <w:rFonts w:hint="eastAsia" w:ascii="仿宋" w:hAnsi="仿宋" w:eastAsia="仿宋"/>
                <w:b/>
                <w:bCs/>
                <w:color w:val="000000" w:themeColor="text1"/>
                <w:sz w:val="22"/>
                <w:highlight w:val="none"/>
                <w14:textFill>
                  <w14:solidFill>
                    <w14:schemeClr w14:val="tx1"/>
                  </w14:solidFill>
                </w14:textFill>
              </w:rPr>
              <w:t>公顷</w:t>
            </w:r>
            <w:r>
              <w:rPr>
                <w:rFonts w:ascii="仿宋" w:hAnsi="仿宋" w:eastAsia="仿宋"/>
                <w:b/>
                <w:bCs/>
                <w:color w:val="000000" w:themeColor="text1"/>
                <w:sz w:val="22"/>
                <w:highlight w:val="none"/>
                <w14:textFill>
                  <w14:solidFill>
                    <w14:schemeClr w14:val="tx1"/>
                  </w14:solidFill>
                </w14:textFill>
              </w:rPr>
              <w:t>）</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ascii="仿宋" w:hAnsi="仿宋" w:eastAsia="仿宋"/>
                <w:b/>
                <w:bCs/>
                <w:color w:val="000000" w:themeColor="text1"/>
                <w:sz w:val="22"/>
                <w:highlight w:val="none"/>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hint="eastAsia" w:ascii="仿宋" w:hAnsi="仿宋" w:eastAsia="仿宋"/>
                <w:b/>
                <w:bCs/>
                <w:color w:val="000000" w:themeColor="text1"/>
                <w:sz w:val="22"/>
                <w:highlight w:val="none"/>
                <w14:textFill>
                  <w14:solidFill>
                    <w14:schemeClr w14:val="tx1"/>
                  </w14:solidFill>
                </w14:textFill>
              </w:rPr>
              <w:t>1</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s="Times New Roman"/>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居住用地</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1625.74</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hint="eastAsia" w:ascii="仿宋" w:hAnsi="仿宋" w:eastAsia="仿宋"/>
                <w:b/>
                <w:bCs/>
                <w:color w:val="000000" w:themeColor="text1"/>
                <w:sz w:val="22"/>
                <w:highlight w:val="none"/>
                <w14:textFill>
                  <w14:solidFill>
                    <w14:schemeClr w14:val="tx1"/>
                  </w14:solidFill>
                </w14:textFill>
              </w:rPr>
              <w:t>2</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bottom"/>
          </w:tcPr>
          <w:p>
            <w:pPr>
              <w:widowControl/>
              <w:spacing w:before="0" w:after="0" w:line="240" w:lineRule="auto"/>
              <w:jc w:val="center"/>
              <w:rPr>
                <w:rFonts w:ascii="仿宋" w:hAnsi="仿宋" w:eastAsia="仿宋" w:cs="Times New Roman"/>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公共管理与公共服务用地</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325.44</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hint="eastAsia" w:ascii="仿宋" w:hAnsi="仿宋" w:eastAsia="仿宋"/>
                <w:b/>
                <w:bCs/>
                <w:color w:val="000000" w:themeColor="text1"/>
                <w:sz w:val="22"/>
                <w:highlight w:val="none"/>
                <w14:textFill>
                  <w14:solidFill>
                    <w14:schemeClr w14:val="tx1"/>
                  </w14:solidFill>
                </w14:textFill>
              </w:rPr>
              <w:t>3</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bottom"/>
          </w:tcPr>
          <w:p>
            <w:pPr>
              <w:widowControl/>
              <w:spacing w:before="0" w:after="0" w:line="240" w:lineRule="auto"/>
              <w:jc w:val="center"/>
              <w:rPr>
                <w:rFonts w:ascii="仿宋" w:hAnsi="仿宋" w:eastAsia="仿宋" w:cs="Times New Roman"/>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商业服务业用地</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 xml:space="preserve">422.29 </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hint="eastAsia" w:ascii="仿宋" w:hAnsi="仿宋" w:eastAsia="仿宋"/>
                <w:b/>
                <w:bCs/>
                <w:color w:val="000000" w:themeColor="text1"/>
                <w:sz w:val="22"/>
                <w:highlight w:val="none"/>
                <w14:textFill>
                  <w14:solidFill>
                    <w14:schemeClr w14:val="tx1"/>
                  </w14:solidFill>
                </w14:textFill>
              </w:rPr>
              <w:t>4</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bottom"/>
          </w:tcPr>
          <w:p>
            <w:pPr>
              <w:widowControl/>
              <w:spacing w:before="0" w:after="0" w:line="240" w:lineRule="auto"/>
              <w:jc w:val="center"/>
              <w:rPr>
                <w:rFonts w:ascii="仿宋" w:hAnsi="仿宋" w:eastAsia="仿宋" w:cs="Times New Roman"/>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工矿用地</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1352.82</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 xml:space="preserve">21.15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hint="eastAsia" w:ascii="仿宋" w:hAnsi="仿宋" w:eastAsia="仿宋"/>
                <w:b/>
                <w:bCs/>
                <w:color w:val="000000" w:themeColor="text1"/>
                <w:sz w:val="22"/>
                <w:highlight w:val="none"/>
                <w14:textFill>
                  <w14:solidFill>
                    <w14:schemeClr w14:val="tx1"/>
                  </w14:solidFill>
                </w14:textFill>
              </w:rPr>
              <w:t>5</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bottom"/>
          </w:tcPr>
          <w:p>
            <w:pPr>
              <w:widowControl/>
              <w:spacing w:before="0" w:after="0" w:line="240" w:lineRule="auto"/>
              <w:jc w:val="center"/>
              <w:rPr>
                <w:rFonts w:ascii="仿宋" w:hAnsi="仿宋" w:eastAsia="仿宋" w:cs="Times New Roman"/>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仓储用地</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121.74</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 xml:space="preserve">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hint="eastAsia" w:ascii="仿宋" w:hAnsi="仿宋" w:eastAsia="仿宋"/>
                <w:b/>
                <w:bCs/>
                <w:color w:val="000000" w:themeColor="text1"/>
                <w:sz w:val="22"/>
                <w:highlight w:val="none"/>
                <w14:textFill>
                  <w14:solidFill>
                    <w14:schemeClr w14:val="tx1"/>
                  </w14:solidFill>
                </w14:textFill>
              </w:rPr>
              <w:t>6</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bottom"/>
          </w:tcPr>
          <w:p>
            <w:pPr>
              <w:widowControl/>
              <w:spacing w:before="0" w:after="0" w:line="240" w:lineRule="auto"/>
              <w:jc w:val="center"/>
              <w:rPr>
                <w:rFonts w:ascii="仿宋" w:hAnsi="仿宋" w:eastAsia="仿宋" w:cs="Times New Roman"/>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交通运输用地</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1024.24</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hint="eastAsia" w:ascii="仿宋" w:hAnsi="仿宋" w:eastAsia="仿宋"/>
                <w:b/>
                <w:bCs/>
                <w:color w:val="000000" w:themeColor="text1"/>
                <w:sz w:val="22"/>
                <w:highlight w:val="none"/>
                <w14:textFill>
                  <w14:solidFill>
                    <w14:schemeClr w14:val="tx1"/>
                  </w14:solidFill>
                </w14:textFill>
              </w:rPr>
              <w:t>7</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bottom"/>
          </w:tcPr>
          <w:p>
            <w:pPr>
              <w:widowControl/>
              <w:spacing w:before="0" w:after="0" w:line="240" w:lineRule="auto"/>
              <w:jc w:val="center"/>
              <w:rPr>
                <w:rFonts w:ascii="仿宋" w:hAnsi="仿宋" w:eastAsia="仿宋" w:cs="Times New Roman"/>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公用设施用地</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65.95</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 xml:space="preserve">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hint="eastAsia" w:ascii="仿宋" w:hAnsi="仿宋" w:eastAsia="仿宋"/>
                <w:b/>
                <w:bCs/>
                <w:color w:val="000000" w:themeColor="text1"/>
                <w:sz w:val="22"/>
                <w:highlight w:val="none"/>
                <w14:textFill>
                  <w14:solidFill>
                    <w14:schemeClr w14:val="tx1"/>
                  </w14:solidFill>
                </w14:textFill>
              </w:rPr>
              <w:t>8</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bottom"/>
          </w:tcPr>
          <w:p>
            <w:pPr>
              <w:widowControl/>
              <w:spacing w:before="0" w:after="0" w:line="240" w:lineRule="auto"/>
              <w:jc w:val="center"/>
              <w:rPr>
                <w:rFonts w:ascii="仿宋" w:hAnsi="仿宋" w:eastAsia="仿宋" w:cs="Times New Roman"/>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绿地与开敞空间用地</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944.22</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1259" w:type="dxa"/>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b/>
                <w:bCs/>
                <w:color w:val="000000" w:themeColor="text1"/>
                <w:sz w:val="22"/>
                <w:highlight w:val="none"/>
                <w14:textFill>
                  <w14:solidFill>
                    <w14:schemeClr w14:val="tx1"/>
                  </w14:solidFill>
                </w14:textFill>
              </w:rPr>
            </w:pPr>
            <w:r>
              <w:rPr>
                <w:rFonts w:hint="eastAsia" w:ascii="仿宋" w:hAnsi="仿宋" w:eastAsia="仿宋"/>
                <w:b/>
                <w:bCs/>
                <w:color w:val="000000" w:themeColor="text1"/>
                <w:sz w:val="22"/>
                <w:highlight w:val="none"/>
                <w14:textFill>
                  <w14:solidFill>
                    <w14:schemeClr w14:val="tx1"/>
                  </w14:solidFill>
                </w14:textFill>
              </w:rPr>
              <w:t>9</w:t>
            </w:r>
          </w:p>
        </w:tc>
        <w:tc>
          <w:tcPr>
            <w:tcW w:w="3380"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bottom"/>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留白用地</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485.48</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after="0"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blCellSpacing w:w="0" w:type="dxa"/>
          <w:jc w:val="center"/>
        </w:trPr>
        <w:tc>
          <w:tcPr>
            <w:tcW w:w="4639" w:type="dxa"/>
            <w:gridSpan w:val="2"/>
            <w:tcBorders>
              <w:top w:val="single" w:color="auto" w:sz="2" w:space="0"/>
              <w:left w:val="single" w:color="auto" w:sz="4"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100" w:beforeAutospacing="1" w:after="100" w:afterAutospacing="1" w:line="240" w:lineRule="auto"/>
              <w:jc w:val="center"/>
              <w:rPr>
                <w:rFonts w:ascii="仿宋" w:hAnsi="仿宋" w:eastAsia="仿宋" w:cs="Times New Roman"/>
                <w:b/>
                <w:bCs/>
                <w:color w:val="000000" w:themeColor="text1"/>
                <w:sz w:val="22"/>
                <w:highlight w:val="none"/>
                <w14:textFill>
                  <w14:solidFill>
                    <w14:schemeClr w14:val="tx1"/>
                  </w14:solidFill>
                </w14:textFill>
              </w:rPr>
            </w:pPr>
            <w:r>
              <w:rPr>
                <w:rFonts w:ascii="仿宋" w:hAnsi="仿宋" w:eastAsia="仿宋"/>
                <w:b/>
                <w:bCs/>
                <w:color w:val="000000" w:themeColor="text1"/>
                <w:sz w:val="22"/>
                <w:highlight w:val="none"/>
                <w14:textFill>
                  <w14:solidFill>
                    <w14:schemeClr w14:val="tx1"/>
                  </w14:solidFill>
                </w14:textFill>
              </w:rPr>
              <w:t>总计</w:t>
            </w:r>
          </w:p>
        </w:tc>
        <w:tc>
          <w:tcPr>
            <w:tcW w:w="1433"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6394.92</w:t>
            </w:r>
          </w:p>
        </w:tc>
        <w:tc>
          <w:tcPr>
            <w:tcW w:w="2366" w:type="dxa"/>
            <w:tcBorders>
              <w:top w:val="single" w:color="auto" w:sz="2" w:space="0"/>
              <w:left w:val="single" w:color="auto" w:sz="2" w:space="0"/>
              <w:bottom w:val="single" w:color="auto" w:sz="2" w:space="0"/>
              <w:right w:val="single" w:color="auto" w:sz="2" w:space="0"/>
            </w:tcBorders>
            <w:shd w:val="clear" w:color="auto" w:fill="auto"/>
            <w:tcMar>
              <w:top w:w="20" w:type="dxa"/>
              <w:left w:w="20" w:type="dxa"/>
              <w:bottom w:w="72" w:type="dxa"/>
              <w:right w:w="20" w:type="dxa"/>
            </w:tcMar>
            <w:vAlign w:val="center"/>
          </w:tcPr>
          <w:p>
            <w:pPr>
              <w:widowControl/>
              <w:spacing w:before="0" w:beforeAutospacing="1" w:after="0" w:afterAutospacing="1" w:line="240" w:lineRule="auto"/>
              <w:jc w:val="center"/>
              <w:rPr>
                <w:rFonts w:ascii="仿宋" w:hAnsi="仿宋" w:eastAsia="仿宋"/>
                <w:color w:val="000000" w:themeColor="text1"/>
                <w:sz w:val="22"/>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100</w:t>
            </w:r>
          </w:p>
        </w:tc>
      </w:tr>
      <w:bookmarkEnd w:id="98"/>
    </w:tbl>
    <w:p>
      <w:pPr>
        <w:pStyle w:val="4"/>
        <w:rPr>
          <w:rFonts w:ascii="仿宋" w:hAnsi="仿宋" w:eastAsia="仿宋"/>
          <w:color w:val="000000" w:themeColor="text1"/>
          <w:highlight w:val="none"/>
          <w14:textFill>
            <w14:solidFill>
              <w14:schemeClr w14:val="tx1"/>
            </w14:solidFill>
          </w14:textFill>
        </w:rPr>
      </w:pPr>
      <w:bookmarkStart w:id="99" w:name="_Toc1967"/>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3</w:t>
      </w:r>
      <w:r>
        <w:rPr>
          <w:rFonts w:hint="eastAsia" w:ascii="仿宋" w:hAnsi="仿宋" w:eastAsia="仿宋"/>
          <w:color w:val="000000" w:themeColor="text1"/>
          <w:highlight w:val="none"/>
          <w14:textFill>
            <w14:solidFill>
              <w14:schemeClr w14:val="tx1"/>
            </w14:solidFill>
          </w14:textFill>
        </w:rPr>
        <w:t>节 绿地系统与开敞空间</w:t>
      </w:r>
      <w:bookmarkEnd w:id="99"/>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1</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提高城市生态系统服务功能，建设宜居的山水生态城市</w:t>
      </w:r>
    </w:p>
    <w:p>
      <w:pPr>
        <w:widowControl/>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结合城市的自然地理特征，充分利用桐柏山、应山河、广水河、护城河、霞家河等自然资源，合理引导城市功能空间与自然生态系统的发展；衔接专项规划，落实并优化《广水市城市绿地系统规划（2017-2035年）》，高标准建设国家园林城市。</w:t>
      </w:r>
    </w:p>
    <w:p>
      <w:pPr>
        <w:widowControl/>
        <w:ind w:firstLine="562"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规划2035年公园绿地面积944.22公顷，占城镇建设用地的15.98</w:t>
      </w:r>
      <w:r>
        <w:rPr>
          <w:rFonts w:ascii="仿宋" w:hAnsi="仿宋" w:eastAsia="仿宋"/>
          <w:b/>
          <w:bCs/>
          <w:color w:val="000000" w:themeColor="text1"/>
          <w:highlight w:val="none"/>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，人均公园绿地面积20.98平方米。</w:t>
      </w:r>
      <w:r>
        <w:rPr>
          <w:rFonts w:hint="eastAsia" w:ascii="仿宋" w:hAnsi="仿宋" w:eastAsia="仿宋"/>
          <w:color w:val="000000" w:themeColor="text1"/>
          <w:highlight w:val="none"/>
          <w14:textFill>
            <w14:solidFill>
              <w14:schemeClr w14:val="tx1"/>
            </w14:solidFill>
          </w14:textFill>
        </w:rPr>
        <w:t>规划印台山文化生态园、印台山公园、人民公园、三里塘公园、九篁公园共计5处城市综合公园作为大型的城市公共空间景观绿地；构建以“市级综合性公园—专类公园—组团公园—社区公园”为主体的四级公园绿地体系，其中，市级公园服务半径1500-2000米，片区级公园服务半径为1000-1500米，居住区级公园服务半径为500-1000米，街头绿地与小游园服务半径为500米以下。构建完整连贯的绿地系统，利用城市建成区的河道、河涌两侧规划建设 30～50米宽的滨水绿化带，设置休闲服务设施，形成整体连续带状公园，连通全区各类绿地，构成全区的城市绿廊。按照“三百米见绿，五百米见园”的要求，优化绿地布局，提高城市绿化效果。对老旧公园等存量绿地进行提质改造，营造山清水秀的城市性质。</w:t>
      </w:r>
    </w:p>
    <w:p>
      <w:pPr>
        <w:ind w:firstLine="562" w:firstLineChars="200"/>
        <w:rPr>
          <w:rFonts w:ascii="仿宋" w:hAnsi="仿宋" w:eastAsia="仿宋"/>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规划</w:t>
      </w:r>
      <w:r>
        <w:rPr>
          <w:rFonts w:hint="eastAsia" w:ascii="仿宋" w:hAnsi="仿宋" w:eastAsia="仿宋"/>
          <w:b/>
          <w:bCs/>
          <w:color w:val="000000" w:themeColor="text1"/>
          <w:highlight w:val="none"/>
          <w14:textFill>
            <w14:solidFill>
              <w14:schemeClr w14:val="tx1"/>
            </w14:solidFill>
          </w14:textFill>
        </w:rPr>
        <w:t>至</w:t>
      </w:r>
      <w:r>
        <w:rPr>
          <w:rFonts w:ascii="仿宋" w:hAnsi="仿宋" w:eastAsia="仿宋"/>
          <w:b/>
          <w:bCs/>
          <w:color w:val="000000" w:themeColor="text1"/>
          <w:highlight w:val="none"/>
          <w14:textFill>
            <w14:solidFill>
              <w14:schemeClr w14:val="tx1"/>
            </w14:solidFill>
          </w14:textFill>
        </w:rPr>
        <w:t>2035年，</w:t>
      </w:r>
      <w:r>
        <w:rPr>
          <w:rFonts w:hint="eastAsia" w:ascii="仿宋" w:hAnsi="仿宋" w:eastAsia="仿宋"/>
          <w:b/>
          <w:bCs/>
          <w:color w:val="000000" w:themeColor="text1"/>
          <w:highlight w:val="none"/>
          <w14:textFill>
            <w14:solidFill>
              <w14:schemeClr w14:val="tx1"/>
            </w14:solidFill>
          </w14:textFill>
        </w:rPr>
        <w:t>防护绿地</w:t>
      </w:r>
      <w:r>
        <w:rPr>
          <w:rFonts w:ascii="仿宋" w:hAnsi="仿宋" w:eastAsia="仿宋"/>
          <w:b/>
          <w:bCs/>
          <w:color w:val="000000" w:themeColor="text1"/>
          <w:highlight w:val="none"/>
          <w14:textFill>
            <w14:solidFill>
              <w14:schemeClr w14:val="tx1"/>
            </w14:solidFill>
          </w14:textFill>
        </w:rPr>
        <w:t>用地</w:t>
      </w:r>
      <w:r>
        <w:rPr>
          <w:rFonts w:hint="eastAsia" w:ascii="仿宋" w:hAnsi="仿宋" w:eastAsia="仿宋"/>
          <w:b/>
          <w:bCs/>
          <w:color w:val="000000" w:themeColor="text1"/>
          <w:highlight w:val="none"/>
          <w14:textFill>
            <w14:solidFill>
              <w14:schemeClr w14:val="tx1"/>
            </w14:solidFill>
          </w14:textFill>
        </w:rPr>
        <w:t>面积为110.35公顷，占城镇建设用地的1.87%</w:t>
      </w:r>
      <w:r>
        <w:rPr>
          <w:rFonts w:ascii="仿宋" w:hAnsi="仿宋" w:eastAsia="仿宋"/>
          <w:color w:val="000000" w:themeColor="text1"/>
          <w:highlight w:val="none"/>
          <w14:textFill>
            <w14:solidFill>
              <w14:schemeClr w14:val="tx1"/>
            </w14:solidFill>
          </w14:textFill>
        </w:rPr>
        <w:t>。为了减少道路粉尘和噪音对城市生活的影响，城市干道规划红线外两侧建筑退缩地带和公路规划红线外两侧不准建设区</w:t>
      </w:r>
      <w:r>
        <w:rPr>
          <w:rFonts w:hint="eastAsia" w:ascii="仿宋" w:hAnsi="仿宋" w:eastAsia="仿宋"/>
          <w:color w:val="000000" w:themeColor="text1"/>
          <w:highlight w:val="none"/>
          <w14:textFill>
            <w14:solidFill>
              <w14:schemeClr w14:val="tx1"/>
            </w14:solidFill>
          </w14:textFill>
        </w:rPr>
        <w:t>域</w:t>
      </w:r>
      <w:r>
        <w:rPr>
          <w:rFonts w:ascii="仿宋" w:hAnsi="仿宋" w:eastAsia="仿宋"/>
          <w:color w:val="000000" w:themeColor="text1"/>
          <w:highlight w:val="none"/>
          <w14:textFill>
            <w14:solidFill>
              <w14:schemeClr w14:val="tx1"/>
            </w14:solidFill>
          </w14:textFill>
        </w:rPr>
        <w:t>，除按规划设置人流集散场地外，均应用于建造隔离绿化带。卫生隔离带主要设在工业区内部及工业区与居住区之间，防护绿带宽度不小于20米。城市干道规划红线宽度26米以下的，两侧各2米至5米；26至60米的，两侧各5米至10米；60米以上的，两侧不少于10米。110kV高压走廊宽度经过生活区宽度不少于30米；经过工业区宽度不少于24米。</w:t>
      </w:r>
    </w:p>
    <w:p>
      <w:pPr>
        <w:ind w:firstLine="562" w:firstLineChars="200"/>
        <w:rPr>
          <w:rFonts w:ascii="仿宋" w:hAnsi="仿宋" w:eastAsia="仿宋"/>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规划</w:t>
      </w:r>
      <w:r>
        <w:rPr>
          <w:rFonts w:hint="eastAsia" w:ascii="仿宋" w:hAnsi="仿宋" w:eastAsia="仿宋"/>
          <w:b/>
          <w:bCs/>
          <w:color w:val="000000" w:themeColor="text1"/>
          <w:highlight w:val="none"/>
          <w14:textFill>
            <w14:solidFill>
              <w14:schemeClr w14:val="tx1"/>
            </w14:solidFill>
          </w14:textFill>
        </w:rPr>
        <w:t>至</w:t>
      </w:r>
      <w:r>
        <w:rPr>
          <w:rFonts w:ascii="仿宋" w:hAnsi="仿宋" w:eastAsia="仿宋"/>
          <w:b/>
          <w:bCs/>
          <w:color w:val="000000" w:themeColor="text1"/>
          <w:highlight w:val="none"/>
          <w14:textFill>
            <w14:solidFill>
              <w14:schemeClr w14:val="tx1"/>
            </w14:solidFill>
          </w14:textFill>
        </w:rPr>
        <w:t>2035年，广场用地</w:t>
      </w:r>
      <w:r>
        <w:rPr>
          <w:rFonts w:hint="eastAsia" w:ascii="仿宋" w:hAnsi="仿宋" w:eastAsia="仿宋"/>
          <w:b/>
          <w:bCs/>
          <w:color w:val="000000" w:themeColor="text1"/>
          <w:highlight w:val="none"/>
          <w14:textFill>
            <w14:solidFill>
              <w14:schemeClr w14:val="tx1"/>
            </w14:solidFill>
          </w14:textFill>
        </w:rPr>
        <w:t>面积为8.78公顷，占城建设用地的0.14%</w:t>
      </w:r>
      <w:r>
        <w:rPr>
          <w:rFonts w:hint="eastAsia" w:ascii="仿宋" w:hAnsi="仿宋" w:eastAsia="仿宋"/>
          <w:color w:val="000000" w:themeColor="text1"/>
          <w:highlight w:val="none"/>
          <w14:textFill>
            <w14:solidFill>
              <w14:schemeClr w14:val="tx1"/>
            </w14:solidFill>
          </w14:textFill>
        </w:rPr>
        <w:t>,</w:t>
      </w:r>
      <w:r>
        <w:rPr>
          <w:rFonts w:ascii="仿宋" w:hAnsi="仿宋" w:eastAsia="仿宋"/>
          <w:color w:val="000000" w:themeColor="text1"/>
          <w:highlight w:val="none"/>
          <w14:textFill>
            <w14:solidFill>
              <w14:schemeClr w14:val="tx1"/>
            </w14:solidFill>
          </w14:textFill>
        </w:rPr>
        <w:t>规划</w:t>
      </w:r>
      <w:r>
        <w:rPr>
          <w:rFonts w:hint="eastAsia" w:ascii="仿宋" w:hAnsi="仿宋" w:eastAsia="仿宋"/>
          <w:color w:val="000000" w:themeColor="text1"/>
          <w:highlight w:val="none"/>
          <w14:textFill>
            <w14:solidFill>
              <w14:schemeClr w14:val="tx1"/>
            </w14:solidFill>
          </w14:textFill>
        </w:rPr>
        <w:t>重点新增武胜关镇茶旅小镇站前广场等项目</w:t>
      </w:r>
      <w:r>
        <w:rPr>
          <w:rFonts w:ascii="仿宋" w:hAnsi="仿宋" w:eastAsia="仿宋"/>
          <w:color w:val="000000" w:themeColor="text1"/>
          <w:highlight w:val="none"/>
          <w14:textFill>
            <w14:solidFill>
              <w14:schemeClr w14:val="tx1"/>
            </w14:solidFill>
          </w14:textFill>
        </w:rPr>
        <w:t>。</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2</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全面拓展滨水岸线，大力打造滨水生态景观风貌</w:t>
      </w:r>
    </w:p>
    <w:p>
      <w:pPr>
        <w:widowControl/>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结合片区发展</w:t>
      </w:r>
      <w:r>
        <w:rPr>
          <w:rFonts w:hint="eastAsia" w:ascii="仿宋" w:hAnsi="仿宋" w:eastAsia="仿宋"/>
          <w:color w:val="000000" w:themeColor="text1"/>
          <w:highlight w:val="none"/>
          <w14:textFill>
            <w14:solidFill>
              <w14:schemeClr w14:val="tx1"/>
            </w14:solidFill>
          </w14:textFill>
        </w:rPr>
        <w:t>滨水岸线</w:t>
      </w:r>
      <w:r>
        <w:rPr>
          <w:rFonts w:ascii="仿宋" w:hAnsi="仿宋" w:eastAsia="仿宋"/>
          <w:color w:val="000000" w:themeColor="text1"/>
          <w:highlight w:val="none"/>
          <w14:textFill>
            <w14:solidFill>
              <w14:schemeClr w14:val="tx1"/>
            </w14:solidFill>
          </w14:textFill>
        </w:rPr>
        <w:t>，整合水域与陆地资源，强调岸线资源的公共属性，全面拓展公共岸线，大力发展滨水旅游业，塑造多样性的滨水城市景观风貌，形成具有核心竞争力的生态、商贸、旅游产业群，构建广水市山水特色城市骨架。</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应山河水道</w:t>
      </w:r>
    </w:p>
    <w:p>
      <w:pPr>
        <w:widowControl/>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以应山河“一河两岸”开发为契机，重点建设应山三桥上游段城市滨水生活岸线，有计划地调整岸线利用，置换现状不合理的用地，建设滨江城市公共空间走廊，建设现代滨江城市生活</w:t>
      </w:r>
      <w:r>
        <w:rPr>
          <w:rFonts w:hint="eastAsia" w:ascii="仿宋" w:hAnsi="仿宋" w:eastAsia="仿宋"/>
          <w:color w:val="000000" w:themeColor="text1"/>
          <w:highlight w:val="none"/>
          <w14:textFill>
            <w14:solidFill>
              <w14:schemeClr w14:val="tx1"/>
            </w14:solidFill>
          </w14:textFill>
        </w:rPr>
        <w:t>休闲游憩的公共绿带</w:t>
      </w:r>
      <w:r>
        <w:rPr>
          <w:rFonts w:ascii="仿宋" w:hAnsi="仿宋" w:eastAsia="仿宋"/>
          <w:color w:val="000000" w:themeColor="text1"/>
          <w:highlight w:val="none"/>
          <w14:textFill>
            <w14:solidFill>
              <w14:schemeClr w14:val="tx1"/>
            </w14:solidFill>
          </w14:textFill>
        </w:rPr>
        <w:t>。</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广水河水道</w:t>
      </w:r>
    </w:p>
    <w:p>
      <w:pPr>
        <w:widowControl/>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拓展生活岸线，优化生态、生产岸线，协调工业岸线，以老京九铁路线南侧滨水用地空间改造为发展契机，</w:t>
      </w:r>
      <w:r>
        <w:rPr>
          <w:rFonts w:hint="eastAsia" w:ascii="仿宋" w:hAnsi="仿宋" w:eastAsia="仿宋"/>
          <w:color w:val="000000" w:themeColor="text1"/>
          <w:highlight w:val="none"/>
          <w14:textFill>
            <w14:solidFill>
              <w14:schemeClr w14:val="tx1"/>
            </w14:solidFill>
          </w14:textFill>
        </w:rPr>
        <w:t>整合</w:t>
      </w:r>
      <w:r>
        <w:rPr>
          <w:rFonts w:ascii="仿宋" w:hAnsi="仿宋" w:eastAsia="仿宋"/>
          <w:color w:val="000000" w:themeColor="text1"/>
          <w:highlight w:val="none"/>
          <w14:textFill>
            <w14:solidFill>
              <w14:schemeClr w14:val="tx1"/>
            </w14:solidFill>
          </w14:textFill>
        </w:rPr>
        <w:t>滨水资源，整体打造滨水城市环境风貌，营造生态型湿地景观带，建设成为滨水生态休闲旅游区。</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护城河水道</w:t>
      </w:r>
    </w:p>
    <w:p>
      <w:pPr>
        <w:widowControl/>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以生活岸线为主，应台北路东段南岸布置生态岸线。重点结合应山城区旧城改造的建设要求，综合治理护城河水道周边污染物的排放，整治河道卫生环境，逐步清理河道水系两侧空间，拓展公共岸线，提升岸线环境质量，打造应山片区滨水休闲生活示范区。</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十里河水道</w:t>
      </w:r>
    </w:p>
    <w:p>
      <w:pPr>
        <w:widowControl/>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重点结合马都司新城建设，拓展十里河水道滨河生活岸线，保护生态岸线，控制生产岸线。重点优化滨水公共空间，强化旅游服务设施建设，完善新城滨水居住环境，营造新城滨水景观氛围，打造广水市魅力滨水特色生活区。</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付家沟水道</w:t>
      </w:r>
    </w:p>
    <w:p>
      <w:pPr>
        <w:widowControl/>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依托马都司新城建设，结合新区公共空间的建设，整合现有景观资源，打造现代化滨水城市生活景观带，塑造特色滨水生活岸线。</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长冲河水道</w:t>
      </w:r>
    </w:p>
    <w:p>
      <w:pPr>
        <w:widowControl/>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结合广水片区的旧区改造工程，重点改变原有滨水区域的综合环境品质，逐步迁出沿河区域有污染、等级低的工业企业，优化河道水体水质，塑造城市新型生活空间，打造广水片区的滨水生活岸线，建设滨水景观空间。</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霞家河水道</w:t>
      </w:r>
    </w:p>
    <w:p>
      <w:pPr>
        <w:widowControl/>
        <w:ind w:firstLine="56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重点保护生态、生产岸线，控制工业岸线，协调生活岸线。承接水源保护地和生态廊道的规划建设，进行岸线的生态修复，保障区域生态安全。</w:t>
      </w:r>
    </w:p>
    <w:p>
      <w:pPr>
        <w:pStyle w:val="4"/>
        <w:rPr>
          <w:rFonts w:ascii="仿宋" w:hAnsi="仿宋" w:eastAsia="仿宋"/>
          <w:color w:val="000000" w:themeColor="text1"/>
          <w:highlight w:val="none"/>
          <w14:textFill>
            <w14:solidFill>
              <w14:schemeClr w14:val="tx1"/>
            </w14:solidFill>
          </w14:textFill>
        </w:rPr>
      </w:pPr>
      <w:bookmarkStart w:id="100" w:name="_Toc23906"/>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4</w:t>
      </w:r>
      <w:r>
        <w:rPr>
          <w:rFonts w:hint="eastAsia" w:ascii="仿宋" w:hAnsi="仿宋" w:eastAsia="仿宋"/>
          <w:color w:val="000000" w:themeColor="text1"/>
          <w:highlight w:val="none"/>
          <w14:textFill>
            <w14:solidFill>
              <w14:schemeClr w14:val="tx1"/>
            </w14:solidFill>
          </w14:textFill>
        </w:rPr>
        <w:t>节 居住与住房保障</w:t>
      </w:r>
      <w:bookmarkEnd w:id="100"/>
    </w:p>
    <w:p>
      <w:pPr>
        <w:pStyle w:val="21"/>
        <w:numPr>
          <w:ilvl w:val="0"/>
          <w:numId w:val="0"/>
        </w:numPr>
        <w:tabs>
          <w:tab w:val="left" w:pos="712"/>
        </w:tabs>
        <w:ind w:left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1</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居住用地布局规划</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随着人民生活水平不断提高，城市居住区的开发方式、开发强度与建设模式越来越多元化，住宅建筑形式、居住环境与生活需求越来越多样化，规划按照“中心城区-居住片区-生活圈”分层引导居住空间布局和设施配置。中心城区共分为应山和广水两大居住片区。</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应山居住片区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位于老城组团，规划居住用地面积1137.37公顷，规划居住人口31.48万人。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延续老城区现状的空间结构，整体遵循“延续老城肌理，完善服务配套，综合整治环境，提升生活品质，疏解人口压力，避免大拆大建”的要求，随着旧城更新的实施，补充配置市政基础设施、公共服务设施和公共绿地，协调职住关系，改善现状“绿地不足，居住环境差，设施配套不完善”等问题。</w:t>
      </w:r>
    </w:p>
    <w:p>
      <w:pPr>
        <w:widowControl/>
        <w:ind w:firstLine="562" w:firstLineChars="200"/>
        <w:jc w:val="left"/>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广水居住片区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位于广水组团，规划居住用地面积488.36公顷，规划居住人口13.52万人。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保持该片区居住用地适度拓展，严格限制居住用地开发强度，注重居住与配套、交通的一体化发展，加快居住片区的教育、商业、绿地、停车场等服务配套设施的建设。优化居住环境，依托火车站打造城市门户，建设山水特色鲜明的现代化宜居生活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以15分钟步行距离为覆盖范围，将集中建设区划分为20个社区生活圈，每个单元平均用地面积3-5平方公里，服务常住人口约</w:t>
      </w:r>
      <w:r>
        <w:rPr>
          <w:rFonts w:hint="eastAsia" w:ascii="仿宋" w:hAnsi="仿宋" w:eastAsia="仿宋"/>
          <w:color w:val="000000" w:themeColor="text1"/>
          <w:highlight w:val="none"/>
          <w:lang w:eastAsia="zh-CN"/>
          <w14:textFill>
            <w14:solidFill>
              <w14:schemeClr w14:val="tx1"/>
            </w14:solidFill>
          </w14:textFill>
        </w:rPr>
        <w:t>5万-10万</w:t>
      </w:r>
      <w:r>
        <w:rPr>
          <w:rFonts w:hint="eastAsia" w:ascii="仿宋" w:hAnsi="仿宋" w:eastAsia="仿宋"/>
          <w:color w:val="000000" w:themeColor="text1"/>
          <w:highlight w:val="none"/>
          <w14:textFill>
            <w14:solidFill>
              <w14:schemeClr w14:val="tx1"/>
            </w14:solidFill>
          </w14:textFill>
        </w:rPr>
        <w:t>人。按需配置各类设施，主要包含社区文化设施、基础教育设施、健身设施、社区医疗卫生设施、社区养老和福利设施。</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2</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住房供应体系规划</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规划按照调整住房供应结构、稳定住房价格和保障居民安居的需求，拓展住房保障渠道，建立以公共租赁住房为主体、实物保障和货币补贴相结合的保障性住房供应体系。</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制定完善房屋租赁地方性法规，规范住房租赁市场。房屋租赁市场的完善必须和住房保障制度建设结合起来，建立专业、规范的租赁服务企业，专业化管理，督促租赁合同备案，强化市场监管；政府应当深入介入公共性房屋租赁体系建构，坚持行业自律与部门监管并重，积极培育中介协会组织发展，促进形成高效运转的中介行业管理体系。通过政策激励开发企业将在途或待售住房转化为租赁住房；鼓励农村集体经济组织利用集体建设用地建设租赁住房。到2025年，租赁住房占新增住房供应量的比例不少于10%；到2035年，建成与商品房均衡发展的住房租赁市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构建以公共租赁房和政策性租赁房为主体的住房保障体系，规范发展公租房、大力发展面向中低、低和最低收入阶层的政策性租赁房，满足低保、低收入住房困难家庭的居住需求。应充分考虑居住群体的就业需求、交通需求和生活成本需求,集约、高效利用土地资源，普通商品住房、限价商品住房、公共租赁住房和廉租房建设用地各地块的容积率不宜低于1.2,新增建设用地应按其规划住宅建筑面积不低于10%的比例配套建设限价商品住房，限价商品住房布局应兼顾市场经济与社会公平。</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建设一批公共服务设施完善的老年公寓、人才公寓。针对老龄人群，增加老年公寓、老年社区供给，优化现有居住区养老服务配套设施，积极推进既有小区进行适老性改造，鼓励多层住宅加装电梯。针对青年人才，按照不同需求，采取购房税费优惠、货币补贴、提供公共租赁住房等多渠道的解决路径。</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统筹住房布局与就业岗位分布、公共交通、公共服务配套等在空间上的联动发展。在城市大型工业、物流园区的周边地区，建设面向产业的政策保障性住房，满足产业发展所需的居住配套，优化大型居住社区公共服务和就业岗位配套，促进产城融合。</w:t>
      </w:r>
    </w:p>
    <w:p>
      <w:pPr>
        <w:pStyle w:val="21"/>
        <w:numPr>
          <w:ilvl w:val="0"/>
          <w:numId w:val="0"/>
        </w:numPr>
        <w:ind w:left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lang w:val="en-US" w:eastAsia="zh-CN"/>
          <w14:textFill>
            <w14:solidFill>
              <w14:schemeClr w14:val="tx1"/>
            </w14:solidFill>
          </w14:textFill>
        </w:rPr>
        <w:t>3</w:t>
      </w:r>
      <w:r>
        <w:rPr>
          <w:rFonts w:hint="eastAsia" w:ascii="仿宋" w:hAnsi="仿宋" w:eastAsia="仿宋"/>
          <w:b/>
          <w:bCs/>
          <w:color w:val="000000" w:themeColor="text1"/>
          <w:highlight w:val="none"/>
          <w:lang w:eastAsia="zh-CN"/>
          <w14:textFill>
            <w14:solidFill>
              <w14:schemeClr w14:val="tx1"/>
            </w14:solidFill>
          </w14:textFill>
        </w:rPr>
        <w:t>）</w:t>
      </w:r>
      <w:r>
        <w:rPr>
          <w:rFonts w:hint="eastAsia" w:ascii="仿宋" w:hAnsi="仿宋" w:eastAsia="仿宋"/>
          <w:b/>
          <w:bCs/>
          <w:color w:val="000000" w:themeColor="text1"/>
          <w:highlight w:val="none"/>
          <w14:textFill>
            <w14:solidFill>
              <w14:schemeClr w14:val="tx1"/>
            </w14:solidFill>
          </w14:textFill>
        </w:rPr>
        <w:t>居住用地与住房发展规模</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规划至2035年，中心城区内城镇居住用地面积为1625.73公顷，人均居住用地面积36.12平方米。住房建筑面积总规模达到3000万平方米,住房总套数达到22万套。规划新增政策保障性住房占地面积250公顷，总套数达到4万套以上。</w:t>
      </w:r>
    </w:p>
    <w:p>
      <w:pPr>
        <w:pStyle w:val="4"/>
        <w:rPr>
          <w:rFonts w:ascii="仿宋" w:hAnsi="仿宋" w:eastAsia="仿宋"/>
          <w:color w:val="000000" w:themeColor="text1"/>
          <w:highlight w:val="none"/>
          <w14:textFill>
            <w14:solidFill>
              <w14:schemeClr w14:val="tx1"/>
            </w14:solidFill>
          </w14:textFill>
        </w:rPr>
      </w:pPr>
      <w:bookmarkStart w:id="101" w:name="_Toc22913"/>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5</w:t>
      </w:r>
      <w:r>
        <w:rPr>
          <w:rFonts w:hint="eastAsia" w:ascii="仿宋" w:hAnsi="仿宋" w:eastAsia="仿宋"/>
          <w:color w:val="000000" w:themeColor="text1"/>
          <w:highlight w:val="none"/>
          <w14:textFill>
            <w14:solidFill>
              <w14:schemeClr w14:val="tx1"/>
            </w14:solidFill>
          </w14:textFill>
        </w:rPr>
        <w:t>节 城市更新</w:t>
      </w:r>
      <w:bookmarkEnd w:id="101"/>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由于广水市内存量棚户区改造项目已经全部改造完成，国家规定未来将由“棚改”转向“旧改”，因此本次规划城市更新主要包括对旧城区、旧小区、旧厂区的改造，不再新增“棚改”项目。改造范围包括布局散乱、条件落后、规划确定改造的城区；已建20年以上、需进行改造提升的老旧小区；城区“退二进三”产业用地；城乡规划确定的不再作为工业用途的厂房（厂区）用地；国家产业政策规定的禁止类、淘汰类产业的原厂房用地；不符合安全生产和环保要求的厂房用地等。</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（1）旧城更新</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旧城更新范围：航空路以东、广安路以北、随州市电大广水分校西侧与南侧区域，民进路以北、四贤路以东，印台山公园西侧与南侧区域，东大街、文化路、广安路、文昌路围合的区域，以及广水火车站西南侧区域，面积共计约76公顷。</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明确划分保护性修缮、整治性改造或成片拆除重建区域，采取差异化措施进行城市更新。对旧城范围内建筑质量存在重大安全隐患、具有重大基础设施和公共设施建设需要以及保障性安居工程等公共利益建设需求的旧住宅区，可在政府主导下实施拆除重建；对历史街区，主要通过保护性修缮的手段进行有机更新，整饬建筑肌理，恢复空间秩序，对建筑的风貌、质量、年代、人文价值、艺术价值进行评价，根据评价结果分为修缮、改善、整饬、保留、拆除五类处理策略，注重环境保护与文化继承，保留传统街区和生活特色，并鼓励与旅游开发进行有机结合；对工商住混合等综合性旧城区，采取整治性改造与拆除重建相结合，高效配置土地要素推进产城融合，聚焦土地复合利用，促使旧城区重新焕发活力，强化面向区域的中心城市职能；同时完善欠缺的社区服务功能，充分考虑居民对于现代化城市服务的需求，构建养老、幼托等其他综合服务为一体的改造项目，发挥旧城居民在项目建设中的主动参与，建设功能完善、符合现代城市生活需求的综合城区。</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（2）旧小区更新</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中心城区内旧小区改造地块总计</w:t>
      </w:r>
      <w:r>
        <w:rPr>
          <w:rFonts w:ascii="仿宋" w:hAnsi="仿宋" w:eastAsia="仿宋"/>
          <w:color w:val="000000" w:themeColor="text1"/>
          <w:highlight w:val="none"/>
          <w14:textFill>
            <w14:solidFill>
              <w14:schemeClr w14:val="tx1"/>
            </w14:solidFill>
          </w14:textFill>
        </w:rPr>
        <w:t>15</w:t>
      </w:r>
      <w:r>
        <w:rPr>
          <w:rFonts w:hint="eastAsia" w:ascii="仿宋" w:hAnsi="仿宋" w:eastAsia="仿宋"/>
          <w:color w:val="000000" w:themeColor="text1"/>
          <w:highlight w:val="none"/>
          <w14:textFill>
            <w14:solidFill>
              <w14:schemeClr w14:val="tx1"/>
            </w14:solidFill>
          </w14:textFill>
        </w:rPr>
        <w:t>个，总用地面积</w:t>
      </w:r>
      <w:r>
        <w:rPr>
          <w:rFonts w:ascii="仿宋" w:hAnsi="仿宋" w:eastAsia="仿宋"/>
          <w:color w:val="000000" w:themeColor="text1"/>
          <w:highlight w:val="none"/>
          <w14:textFill>
            <w14:solidFill>
              <w14:schemeClr w14:val="tx1"/>
            </w14:solidFill>
          </w14:textFill>
        </w:rPr>
        <w:t>18.6</w:t>
      </w:r>
      <w:r>
        <w:rPr>
          <w:rFonts w:hint="eastAsia" w:ascii="仿宋" w:hAnsi="仿宋" w:eastAsia="仿宋"/>
          <w:color w:val="000000" w:themeColor="text1"/>
          <w:highlight w:val="none"/>
          <w14:textFill>
            <w14:solidFill>
              <w14:schemeClr w14:val="tx1"/>
            </w14:solidFill>
          </w14:textFill>
        </w:rPr>
        <w:t>4公顷。包括南关小学宿舍楼、余店路教育局宿舍小区、中国信合小区等。</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分三类推进旧小区改造。改造内容分为基础类、完善类、提升类3类。“基础类”是保障居民安全需要和基本生活需求的重点改造内容，包括供水、排水、供电、弱电、道路、供气、通信、安防、消防、垃圾分类、管线整治等。“完善类”是满足居民改善型和便利性生活需求的改造内容，包括小区及周边违法建设拆除及绿化、照明、停车场、加装电梯、无障碍设施、文体休闲设施、体育健身设施等。“提升类”是丰富社会服务供给、提升居民生活品质的改造内容，包括社区综合服务设施、社区公共卫生、幼教、体育、养老、托育、家政保洁、便民市场、菜市场等公共服务设施配套。制定城镇老旧小区改造评估标准，对老旧小区基础设施与公共服务进行评价，发现短板和不足的，老旧小区内部逐项落实基础类改造内容，结合社区补短板行动共建共享，统筹安排完善类、提升类改造内容，同步实施。对建筑层数低矮、建筑质量差、房龄超过二十年、有安全、治安和消防隐患的多孔板建材建筑，规划允许酌情考虑以拆除新建的方式进行整体规划、统一改造，对地块内部分建筑层数较高、质量较好，但配套设施不完善、道路狭窄、治安和消防隐患大、环境卫生较差的小区，采取整体规划与局部改造相结合的方式，合理界定保留与改造区域，对保留区域以立面整治为主，对改造区域以环境综合整治为主，科学利用空间，合理组织道路交通，完善配套设施，增加公共绿地，重点解决影响居民安全和居住功能等群众反映迫切的问题，积极推进相邻小区打破围墙，形成微循环，解决居民停车、出行难等问题，有效改善居住条件和城市面貌。对地块规划为绿地等用地或地块内存在河道、山体、铁路及管线等设施，涉及安全防护距离和城市规划要求的老旧小区，该地块建筑物拆除后禁止建设，仅作为绿化用地或基础设施用地。</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按照“整体规划、分区推进、有序实施”的思路，稳妥有序推进广水市老旧小区改造。坚持连片整体规划，分区域分年度实施，对改造区域内土地房屋征收、安置楼建设、市政基础设施配套、商业开发进行整体规划设计，合理确定改造范围、次序。促进还建住区向城市新区转移，并综合考虑公共服务设施、市政基础设施以及公共交通状况，选择具备相对完善服务设施及方便公共交通出行的区位。</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（3）旧工业区更新</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坚持以产业结构升级、城市功能结构调整为主，以政府引导促进改造，通过园区整合，资源集约利用以及现代服务业、先进制造业引导为改造目标，有序腾退工业用地面积约80公顷。统筹运用拆除重建、综合整治、功能提升等多种方式更新，置换的工业用地优先满足市政设施与公共设施发展的需要。加快改造土地利用效益较低、对环境有影响、设施配套较差的旧工业区，通过重建式的全面改造为新兴产业提供发展空间。根据市场需要，发展居住、商业、科教培训、旅游、文化创意等特色功能，增加城区服务设施供给与提升空间品质。</w:t>
      </w:r>
    </w:p>
    <w:p>
      <w:pPr>
        <w:widowControl/>
        <w:numPr>
          <w:ilvl w:val="0"/>
          <w:numId w:val="5"/>
        </w:numPr>
        <w:ind w:firstLine="560" w:firstLineChars="200"/>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拆除重建型</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位于重大项目及未来城市重点发展地区的工业区。该类工业区主要通过城市功能调整，优化城市重点地区的土地利用效率。</w:t>
      </w:r>
    </w:p>
    <w:p>
      <w:pPr>
        <w:widowControl/>
        <w:numPr>
          <w:ilvl w:val="0"/>
          <w:numId w:val="5"/>
        </w:numPr>
        <w:ind w:firstLine="560" w:firstLineChars="200"/>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综合整治型</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针对规划保留的工业区、旧厂房，该类旧厂房改造条件尚不成熟，或目前对城市工业化发展有积极作用，规划主要通过环境整治，改善生产生活环境进行改造。</w:t>
      </w:r>
    </w:p>
    <w:p>
      <w:pPr>
        <w:widowControl/>
        <w:numPr>
          <w:ilvl w:val="0"/>
          <w:numId w:val="5"/>
        </w:numPr>
        <w:ind w:firstLine="560" w:firstLineChars="200"/>
        <w:jc w:val="left"/>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功能提升型</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对于部分容积率低、厂房建筑质量较差的企业，鼓励土地二次开发，适当提高开发强度，将旧厂房改造与产业结构调整同步进行。</w:t>
      </w:r>
    </w:p>
    <w:p>
      <w:pPr>
        <w:pStyle w:val="4"/>
        <w:rPr>
          <w:rFonts w:ascii="仿宋" w:hAnsi="仿宋" w:eastAsia="仿宋"/>
          <w:color w:val="000000" w:themeColor="text1"/>
          <w:highlight w:val="none"/>
          <w14:textFill>
            <w14:solidFill>
              <w14:schemeClr w14:val="tx1"/>
            </w14:solidFill>
          </w14:textFill>
        </w:rPr>
      </w:pPr>
      <w:bookmarkStart w:id="102" w:name="_Toc22508"/>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6</w:t>
      </w:r>
      <w:r>
        <w:rPr>
          <w:rFonts w:hint="eastAsia" w:ascii="仿宋" w:hAnsi="仿宋" w:eastAsia="仿宋"/>
          <w:color w:val="000000" w:themeColor="text1"/>
          <w:highlight w:val="none"/>
          <w14:textFill>
            <w14:solidFill>
              <w14:schemeClr w14:val="tx1"/>
            </w14:solidFill>
          </w14:textFill>
        </w:rPr>
        <w:t>节 地下空间利用</w:t>
      </w:r>
      <w:bookmarkEnd w:id="102"/>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合理开发利用地下空间，是优化城市空间结构和管理格局，增强地下空间之间以及地下空间与地面建设之间有机联系，促进地下空间与城市整体同步发展，缓解城市土地资源紧张的必要措施，对于推动城市由外延扩张式向内涵提升式转变，改善城市环境，建设宜居城市，提高城市综合承载能力具有重要意义。</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（1）地下空间利用策略</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坚持先地下后地上、地上地下相协调、平战结合、分层开发的原则，按照建设紧凑集约城市的发展要求，积极探索地下空间利用的可行性。以广水火车站、公共活动中心等节点和骨架路网体系为建设重点，加强地下空间的综合利用，实现地上地下空间的一体化开发。加强地下空间统筹规划、管理与利用。深化地下空间的通道、管线等接口的预留控制，实现地下空间互联互通。逐步完善地上与地下空间权属、建设用地有偿使用的管理制度，完善地下空间开发利用法规政策。建立全市地下空间数据库，地下空间灾害事故监测预警系统，地下市政管线数据实时测绘机制。</w:t>
      </w:r>
    </w:p>
    <w:p>
      <w:pPr>
        <w:ind w:firstLine="560"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地下空间优先安排市政基础设施、人防工程、应急防灾设施，有序、适度开发公共活动功能。推进建设用地的多功能立体开发和复合利用, 形成功能适宜、布局合理的竖向结构，构建立体式宜居城市。</w:t>
      </w:r>
      <w:r>
        <w:rPr>
          <w:rFonts w:hint="eastAsia" w:ascii="仿宋" w:hAnsi="仿宋" w:eastAsia="仿宋"/>
          <w:b/>
          <w:bCs/>
          <w:color w:val="000000" w:themeColor="text1"/>
          <w:highlight w:val="none"/>
          <w14:textFill>
            <w14:solidFill>
              <w14:schemeClr w14:val="tx1"/>
            </w14:solidFill>
          </w14:textFill>
        </w:rPr>
        <w:t>规划到2035年，新建项目地上地下一体化开发比例达到15%以上，地下空间面积达到703万平方米。</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（2）地下空间利用内容</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分层合理利用地下空间。</w:t>
      </w:r>
      <w:r>
        <w:rPr>
          <w:rFonts w:hint="eastAsia" w:ascii="仿宋" w:hAnsi="仿宋" w:eastAsia="仿宋"/>
          <w:b/>
          <w:bCs/>
          <w:color w:val="000000" w:themeColor="text1"/>
          <w:highlight w:val="none"/>
          <w14:textFill>
            <w14:solidFill>
              <w14:schemeClr w14:val="tx1"/>
            </w14:solidFill>
          </w14:textFill>
        </w:rPr>
        <w:t>浅、中层地下空间（地面以下30米深度范围）重点安排市政、防灾等功能，适度安排商业功能；深层地下空间（地面以下大于50米深度范围）做好雨水调蓄、能源输送等功能系统的预留控制。</w:t>
      </w:r>
      <w:r>
        <w:rPr>
          <w:rFonts w:hint="eastAsia" w:ascii="仿宋" w:hAnsi="仿宋" w:eastAsia="仿宋"/>
          <w:color w:val="000000" w:themeColor="text1"/>
          <w:highlight w:val="none"/>
          <w14:textFill>
            <w14:solidFill>
              <w14:schemeClr w14:val="tx1"/>
            </w14:solidFill>
          </w14:textFill>
        </w:rPr>
        <w:t>在浅、中层与深层地下空间之间的过渡区域，控制厚度约20米的保护层，作为近期暂不开发的安全缓冲带，提高地下空间安全利用标准。</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地下公共空间以商业区为核心，开发其周边地块，提高土地使用效率。体现多功能、多空间的有机结合，复合利用，提高空间效率，同时要满足城市防空、防灾的需要；在保证火车站站前交通组织顺畅的基础上应考虑地下空间开发利用的问题。火车站地下可建设公共停车场，适当发展商业、文娱等服务设施，形成地下商业街、文化娱乐、停车等综合一体化的多功能地下公共活动片区；依托主要骨架路网体系，建设复合型地下综合管廊，融合市政公用、人防、防洪等多种功能，为城市的可持续发展提供支撑和保障；规划新建社会停车场原则上应地下化，在中心商业区规划地下步行交通系统，净化地面交通，实现人车分流，达到商业功能与交通功能的和谐统一。</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人防工程设施层：地下防灾工程主要控制在0-15米。</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市政基础设施层：市政基础设施管线，包括直埋、电缆沟道或管束和排洪暗沟深度主要控制在0—6米。</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地下公共设施层：商业、文化娱乐、医疗卫生、教育科研等人群活动频繁的设施深度主要控制在0—15米。</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地下交通设施层：地下人行通道、地下机动车停车场、地下自行车停车场等深度主要控制在0—10米。</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地下防灾设施层：蓄水池、人防工程等深度主要控制在0—20米。</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其他设施层：地下室、设备用房、仓储设施等深度主要控制在0—30米。</w:t>
      </w:r>
    </w:p>
    <w:p>
      <w:pPr>
        <w:pStyle w:val="4"/>
        <w:rPr>
          <w:rFonts w:ascii="仿宋" w:hAnsi="仿宋" w:eastAsia="仿宋"/>
          <w:color w:val="000000" w:themeColor="text1"/>
          <w:highlight w:val="none"/>
          <w14:textFill>
            <w14:solidFill>
              <w14:schemeClr w14:val="tx1"/>
            </w14:solidFill>
          </w14:textFill>
        </w:rPr>
      </w:pPr>
      <w:bookmarkStart w:id="103" w:name="_Toc1284"/>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7</w:t>
      </w:r>
      <w:r>
        <w:rPr>
          <w:rFonts w:hint="eastAsia" w:ascii="仿宋" w:hAnsi="仿宋" w:eastAsia="仿宋"/>
          <w:color w:val="000000" w:themeColor="text1"/>
          <w:highlight w:val="none"/>
          <w14:textFill>
            <w14:solidFill>
              <w14:schemeClr w14:val="tx1"/>
            </w14:solidFill>
          </w14:textFill>
        </w:rPr>
        <w:t>节 “城市四线”管控</w:t>
      </w:r>
      <w:bookmarkEnd w:id="103"/>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运用空间管制的技术和方法，加强对广水市的空间资源保护和监管，有助于促进城市经济、社会与环境效益的统一。本次深入贯彻落实国家和部门相关规定，结合广水实际，明确“城市四线”（绿线、蓝线、紫线、黄线），制定管控措施，同时因地制宜，注重弹性适应。绿线应划定重要公园和结构性绿地控制范围。蓝线应划定湖泊（大中型水库）、骨干河道水域边界。紫线应划定国家历史文化名城内的历史文化街区和省人民政府公布的历史文化街区的保护范围界线，以及历史文化街区外经县级以上人民政府公布保护的历史建筑的保护范围界线。黄线应划定对城市发展有影响的交通、市政、防灾等城市基础设施用地控制界线。</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（1）城市绿线划定与管制</w:t>
      </w:r>
    </w:p>
    <w:p>
      <w:pPr>
        <w:numPr>
          <w:ilvl w:val="0"/>
          <w:numId w:val="6"/>
        </w:numPr>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划定范围</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广水市的绿线划定范围主要有以下内容：</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城市生态保障区域：包括水源保护区、自然保护区、城市隔离绿地、湿地、河流水系、山体、农林用地等；</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基础设施防护隔离区域：包括各级公路、铁路、轨道交通、输变电设施、管道运输设施、环卫设施等沿线或周边设置的绿化隔离区域等；</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休闲游憩区域：包括风景名胜区、郊野公园、森林公园、湿地公园以及各类主题公园等；</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其他区域：包括苗圃、花圃、草圃等。</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对于现状、在建和已经确定具体选址的城市各类绿地，按照具体用地范围控制线划定城市绿线；对于尚未确定具体用地范围控制线的城市绿地，按照选址、规模等要求控制用地布局，待编制绿地系统专项规划和控制性详细规划后再确定各类绿地用地范围控制线，并与地理信息平台对接，动态反馈到总体规划绿线管控相关图纸后具体落实，同时向上级规划审批部门备案。</w:t>
      </w:r>
    </w:p>
    <w:p>
      <w:pPr>
        <w:numPr>
          <w:ilvl w:val="0"/>
          <w:numId w:val="6"/>
        </w:numPr>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管制要求</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城市绿线严格按照《城市绿线管理办法》实施管控。</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划定的城市绿线应向社会公布，接受社会监督，核准后的现状绿线，由城市规划建设行政主管部门登记造册，编制控制图则。规划绿线同批准的规划一并公布，由建设行政主管部门登记造册，编制规划绿线控制图，并编制分期实施计划。</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城市绿线内的用地，不得改作</w:t>
      </w:r>
      <w:r>
        <w:rPr>
          <w:rFonts w:hint="eastAsia" w:ascii="仿宋" w:hAnsi="仿宋" w:eastAsia="仿宋"/>
          <w:color w:val="000000" w:themeColor="text1"/>
          <w:highlight w:val="none"/>
          <w:lang w:eastAsia="zh-CN"/>
          <w14:textFill>
            <w14:solidFill>
              <w14:schemeClr w14:val="tx1"/>
            </w14:solidFill>
          </w14:textFill>
        </w:rPr>
        <w:t>他</w:t>
      </w:r>
      <w:r>
        <w:rPr>
          <w:rFonts w:hint="eastAsia" w:ascii="仿宋" w:hAnsi="仿宋" w:eastAsia="仿宋"/>
          <w:color w:val="000000" w:themeColor="text1"/>
          <w:highlight w:val="none"/>
          <w14:textFill>
            <w14:solidFill>
              <w14:schemeClr w14:val="tx1"/>
            </w14:solidFill>
          </w14:textFill>
        </w:rPr>
        <w:t>用，不得违反法律法规、强制性标准以及其他通过审批的规划进行开发。</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城市绿线划定的规划绿地，暂不进行建设的，应当予以严格控制，不得擅自改变绿地性质。</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各类建设工程的配套绿化要与其主体工程同步设计，同步施工，不得擅自减少绿化面积，市园林绿化行政主管部门应加大审查监督力度，达不到规定标准的，不得投入使用。</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在城市绿线范围内禁止进行以下活动：有关部门不得擅自批准在城市绿线范围内进行建设；因建设或其他特殊情况需要临时占用城市绿线内用地的，必须依法办理相关审批手续；城市绿线范围内不符合规划要求的建筑物、构筑物及其他设施应当限期迁出；任何单位或个人不得在城市绿地范围内进行拦河截溪、取土采石、设置垃圾堆场、排放污水以及其他对生态环境构成破坏的活动。</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（2）城市蓝线划定与管制</w:t>
      </w:r>
    </w:p>
    <w:p>
      <w:pPr>
        <w:numPr>
          <w:ilvl w:val="0"/>
          <w:numId w:val="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划定原则</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需遵循完整性原则、强制性原则、可操作性原则及动态性原则，科学划定城市蓝线。</w:t>
      </w:r>
    </w:p>
    <w:p>
      <w:pPr>
        <w:numPr>
          <w:ilvl w:val="0"/>
          <w:numId w:val="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划定范围</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主要包括广水河，应山河等主要地表水体及其支流，以及其他流经城市重要地区的河流的范围控制线。</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对于水利等相关部门已经划定的城市蓝线，在规划中严格落实；对于尚未划定为城市蓝线且确需规划管控的，暂划定主要地表水体的保护和控制地域的示意性界线，待编制城市蓝线专项规划和控制性详细规划后再确定主要地表水体保护和控制的地域控制线，并动态反馈到总体规划蓝线管控相关图纸后具体落实，同时向上级规划审批部门备案。</w:t>
      </w:r>
    </w:p>
    <w:p>
      <w:pPr>
        <w:numPr>
          <w:ilvl w:val="0"/>
          <w:numId w:val="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管制要求</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城市蓝线严格按照《城市蓝线管理办法》实施管控。</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在蓝线范围内的道路、绿化带等，由运输、城管等相关部门依各自的职能进行管理，但不得妨碍水务主管部门根据河道管理的需要实施的统一管理。</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在城市蓝线内禁止进行下列活动：违反城市蓝线保护和控制要求的建设活动；从事与蓝线规划要求不符的活动；擅自填埋、占用城市蓝线内水域；破坏河网水系、从事与防洪排涝、水环境保护要求不相符合的活动；影响水系安全的爆破、采石、取土活动；擅自建设各类排污设施，擅自建设与防洪无关的各类建筑物、构筑物；其他对城市水系保护构成破坏的活动；其他违反法律法规强制性规定的活动等。</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在河道管理范围内禁止以下行为：设置阻碍行洪物体或围垦、种植阻碍行洪植物；堆放、倾倒淤泥、渣土及其他固体废弃物或阻碍行洪的物体；堆放、倾倒、掩埋或排放污染水体的物质；清洗装储过油类或有毒物的车辆、容器等污染水质的物品；其他妨碍河道行洪的行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在城市蓝线内进行各项建设，必须符合经批准的城市规划。在城市蓝线内新建、改建、扩建各类建筑物、构筑物、道路、管线和其他工程设施，应当依法向城乡规划主管部门申请办理城市规划许可，并依照有关法律、法规办理相关手续。需要临时占用城市蓝线内的用地或水域的，应当报经人民政府建设主管部门（空间规划主管部门）同意，并依法办理相关审批手续，临时占用后，应当限期恢复。</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对不符合蓝线规划要求，影响防洪抢险、除涝排水、引洪畅通、水环境保护以及影响城市河道景观的建筑物、构筑物及其他设施，应当限期整改或者拆除。</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（3）城市紫线划定与管制</w:t>
      </w:r>
    </w:p>
    <w:p>
      <w:pPr>
        <w:numPr>
          <w:ilvl w:val="0"/>
          <w:numId w:val="8"/>
        </w:numPr>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划定原则</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需遵循整体性原则、差异性原则、合理性原则及动态性原则，科学划定城市紫线。</w:t>
      </w:r>
    </w:p>
    <w:p>
      <w:pPr>
        <w:numPr>
          <w:ilvl w:val="0"/>
          <w:numId w:val="8"/>
        </w:numPr>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划定范围</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主要包括文物保护单位、历史文化街区、近现代历史建筑等，根据保护级别划分为终点不可移动文物、一般文物保护单位、市级文物保护单位、省级文物保护单位，分类进行保护。</w:t>
      </w:r>
    </w:p>
    <w:p>
      <w:pPr>
        <w:numPr>
          <w:ilvl w:val="0"/>
          <w:numId w:val="8"/>
        </w:numPr>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管制要求</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城市紫线严格按照《城市紫线管理办法》实施管控。</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保护范围内不得进行其他建设工程，对保护范围内有碍景观的非文物建筑的拆除、改建以及为文保单位本身复原、配套而进行的建设工程，必须经文物和规划主管部门审核、批准后才能进行。</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在保护范围内，禁止存放易燃易爆物品，禁止取土、开矿、采石、拦河截溪、设置垃圾堆场、排放污水、违章搭建、私设广告和其他有碍观瞻、破坏环境风貌的活动。不得进行新的建设工程。确因特殊需要必须兴建其他工程、拆除、改建或迁建原有古建筑及其附属建筑时，需经市政府和上级文物行政主管部门批准。</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（4）城市黄线划定与管制</w:t>
      </w:r>
    </w:p>
    <w:p>
      <w:pPr>
        <w:numPr>
          <w:ilvl w:val="0"/>
          <w:numId w:val="9"/>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划定原则</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城市黄线的划定应遵循全覆盖原则、系统性原则、可操作性原则、远近结合原则。</w:t>
      </w:r>
    </w:p>
    <w:p>
      <w:pPr>
        <w:numPr>
          <w:ilvl w:val="0"/>
          <w:numId w:val="9"/>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划定范围</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主要包括公共交通设施、供水设施、环境卫生设施、供燃气设施、供电设施、供热设施、通信设施、消防设施、防洪设施、抗震防灾设施等用地的控制界线。</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对于现状、在建和已经确定选址的城市基础设施，按照具体用地界线划定城市黄线；对于尚未确定具体用地控制界线的城市基础设施，按照选址要求控制用地布局，待编制城市基础设施专项规划和控制性详细规划后再确定具体用地界线，并动态反馈到总体规划黄线管控相关图纸后具体落实，同时向上级规划审批部门备案。</w:t>
      </w:r>
    </w:p>
    <w:p>
      <w:pPr>
        <w:numPr>
          <w:ilvl w:val="0"/>
          <w:numId w:val="9"/>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管制要求</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城市黄线严格按照《城市黄线管理办法》实施管控。</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在城市黄线内进行建设活动，应当贯彻安全、高效、经济的方针，处理好近远期关系，根据城市发展的实际需要，分期有序实施。</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黄线内新建、改建、扩建各类建筑物、构筑物、道路、管线和其他工程设施，应当依法向城乡规划主管部门申请办理城市规划许可，并依据有关法律、法规办理相关手续。在城市黄线内进行建设，应当符合经批准的城市规划。</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由国土空间规划主管部门统一设立各未建基础设施的城市黄线范围标志。标志上应说明该用地的用途、面积及建设要求，任何单位和个人不得毁坏或擅自改变城市黄线范围标志。</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黄线范围内禁止进行以下活动：违反城市规划要求，进行建筑物、构筑物及其他设施的建设；违反国家有关技术标准和规范进行建设；未经批准，改装、迁移或拆毁原有城市基础设施；其他损坏城市基础设施或影响城市基础设施安全和正常运转的行为。</w:t>
      </w:r>
    </w:p>
    <w:p>
      <w:pPr>
        <w:pStyle w:val="4"/>
        <w:rPr>
          <w:rFonts w:ascii="仿宋" w:hAnsi="仿宋" w:eastAsia="仿宋"/>
          <w:color w:val="000000" w:themeColor="text1"/>
          <w:highlight w:val="none"/>
          <w14:textFill>
            <w14:solidFill>
              <w14:schemeClr w14:val="tx1"/>
            </w14:solidFill>
          </w14:textFill>
        </w:rPr>
      </w:pPr>
      <w:bookmarkStart w:id="104" w:name="_Toc17064"/>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8</w:t>
      </w:r>
      <w:r>
        <w:rPr>
          <w:rFonts w:hint="eastAsia" w:ascii="仿宋" w:hAnsi="仿宋" w:eastAsia="仿宋"/>
          <w:color w:val="000000" w:themeColor="text1"/>
          <w:highlight w:val="none"/>
          <w14:textFill>
            <w14:solidFill>
              <w14:schemeClr w14:val="tx1"/>
            </w14:solidFill>
          </w14:textFill>
        </w:rPr>
        <w:t>节 城市设计指引</w:t>
      </w:r>
      <w:bookmarkEnd w:id="104"/>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（1）总体城市设计目标</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 xml:space="preserve">通过对广水市自然生态环境、历史文脉和物质空间等多个要素的控制，明确城市意象和形态，营造宜人环境，建设高品质国家园林城市和生态宜居城市。 </w:t>
      </w:r>
      <w:r>
        <w:rPr>
          <w:rFonts w:ascii="仿宋" w:hAnsi="仿宋" w:eastAsia="仿宋"/>
          <w:color w:val="000000" w:themeColor="text1"/>
          <w:highlight w:val="none"/>
          <w14:textFill>
            <w14:solidFill>
              <w14:schemeClr w14:val="tx1"/>
            </w14:solidFill>
          </w14:textFill>
        </w:rPr>
        <w:t xml:space="preserve">  </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（2）城市形象定位</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城市形象定位为：青山拥城，绿水穿城的生态宜居城市。</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（3）总体城市特色景观格局</w:t>
      </w:r>
    </w:p>
    <w:p>
      <w:pPr>
        <w:numPr>
          <w:ilvl w:val="0"/>
          <w:numId w:val="10"/>
        </w:numPr>
        <w:ind w:firstLine="562"/>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营造山水城有机融合的特色景观格局</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广水属于桐柏山与大别山交汇区域，群山环抱，应山河和广水河自南向北穿过城区，形成山环水绕的独特城市景观。加强对山体景观环境的保护和培育，利用生态廊道、公园等绿色开放空间将城市周边山体城市空间有机融合，控制近山城市建设，凸显山体景观，使山体成为城市景观系统的一部分。打通部分河流、水塘，形成富有特色的水面空间形态，塑造水陆相依、河涌相连的水乡景观，</w:t>
      </w:r>
      <w:bookmarkStart w:id="105" w:name="_Hlk85811491"/>
      <w:r>
        <w:rPr>
          <w:rFonts w:hint="eastAsia" w:ascii="仿宋" w:hAnsi="仿宋" w:eastAsia="仿宋"/>
          <w:color w:val="000000" w:themeColor="text1"/>
          <w:highlight w:val="none"/>
          <w14:textFill>
            <w14:solidFill>
              <w14:schemeClr w14:val="tx1"/>
            </w14:solidFill>
          </w14:textFill>
        </w:rPr>
        <w:t>沿应山河水道、广水河水道塑造滨河城市景观带</w:t>
      </w:r>
      <w:bookmarkEnd w:id="105"/>
      <w:r>
        <w:rPr>
          <w:rFonts w:hint="eastAsia" w:ascii="仿宋" w:hAnsi="仿宋" w:eastAsia="仿宋"/>
          <w:color w:val="000000" w:themeColor="text1"/>
          <w:highlight w:val="none"/>
          <w14:textFill>
            <w14:solidFill>
              <w14:schemeClr w14:val="tx1"/>
            </w14:solidFill>
          </w14:textFill>
        </w:rPr>
        <w:t>。将城市建设与山水生态景观紧密结合，营造高品质城市环境，塑造山水相融的城市景观。构建山景、水景视廊，增加山体景观、水体景观与城市景观的互动和渗透。</w:t>
      </w:r>
    </w:p>
    <w:p>
      <w:pPr>
        <w:numPr>
          <w:ilvl w:val="0"/>
          <w:numId w:val="10"/>
        </w:numPr>
        <w:ind w:firstLine="562"/>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打造“两心六区、绿水穿城，绿轴相通”的总体景观结构。</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两心六片: “两心”是指城市景观核心和自然景观核心，体现宜居和生态两大特色；“六区”即依据现状基础，划分居住生活风貌区、军民融合风貌区、生态新城风貌区、现代工业风貌区、生态景观风貌区、商旅小镇风貌区。</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绿水穿城:</w:t>
      </w:r>
      <w:r>
        <w:rPr>
          <w:rFonts w:ascii="仿宋" w:hAnsi="仿宋" w:eastAsia="仿宋"/>
          <w:color w:val="000000" w:themeColor="text1"/>
          <w:highlight w:val="none"/>
          <w14:textFill>
            <w14:solidFill>
              <w14:schemeClr w14:val="tx1"/>
            </w14:solidFill>
          </w14:textFill>
        </w:rPr>
        <w:t xml:space="preserve"> </w:t>
      </w:r>
      <w:r>
        <w:rPr>
          <w:rFonts w:hint="eastAsia" w:ascii="仿宋" w:hAnsi="仿宋" w:eastAsia="仿宋"/>
          <w:color w:val="000000" w:themeColor="text1"/>
          <w:highlight w:val="none"/>
          <w14:textFill>
            <w14:solidFill>
              <w14:schemeClr w14:val="tx1"/>
            </w14:solidFill>
          </w14:textFill>
        </w:rPr>
        <w:t>沿应山河水道、广水河水道塑造滨河城市景观带。</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绿轴相通: 主要依托应广大道、南环路、S</w:t>
      </w:r>
      <w:r>
        <w:rPr>
          <w:rFonts w:ascii="仿宋" w:hAnsi="仿宋" w:eastAsia="仿宋"/>
          <w:color w:val="000000" w:themeColor="text1"/>
          <w:highlight w:val="none"/>
          <w14:textFill>
            <w14:solidFill>
              <w14:schemeClr w14:val="tx1"/>
            </w14:solidFill>
          </w14:textFill>
        </w:rPr>
        <w:t>210</w:t>
      </w:r>
      <w:r>
        <w:rPr>
          <w:rFonts w:hint="eastAsia" w:ascii="仿宋" w:hAnsi="仿宋" w:eastAsia="仿宋"/>
          <w:color w:val="000000" w:themeColor="text1"/>
          <w:highlight w:val="none"/>
          <w14:textFill>
            <w14:solidFill>
              <w14:schemeClr w14:val="tx1"/>
            </w14:solidFill>
          </w14:textFill>
        </w:rPr>
        <w:t>省道、应山大道、老京广线等主要道路沿线带状绿地联系各生态斑块打造城市绿轴，形成完整的城市绿地与开敞空间系统。</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（4）分区风貌指引</w:t>
      </w:r>
    </w:p>
    <w:p>
      <w:pPr>
        <w:ind w:firstLine="562" w:firstLineChars="200"/>
        <w:rPr>
          <w:rFonts w:ascii="仿宋" w:hAnsi="仿宋" w:eastAsia="仿宋"/>
          <w:color w:val="000000" w:themeColor="text1"/>
          <w:highlight w:val="none"/>
          <w14:textFill>
            <w14:solidFill>
              <w14:schemeClr w14:val="tx1"/>
            </w14:solidFill>
          </w14:textFill>
        </w:rPr>
      </w:pPr>
      <w:bookmarkStart w:id="106" w:name="_Hlk85811061"/>
      <w:r>
        <w:rPr>
          <w:rFonts w:hint="eastAsia" w:ascii="仿宋" w:hAnsi="仿宋" w:eastAsia="仿宋"/>
          <w:b/>
          <w:bCs/>
          <w:color w:val="000000" w:themeColor="text1"/>
          <w:highlight w:val="none"/>
          <w14:textFill>
            <w14:solidFill>
              <w14:schemeClr w14:val="tx1"/>
            </w14:solidFill>
          </w14:textFill>
        </w:rPr>
        <w:t>居住生活风貌区</w:t>
      </w:r>
      <w:bookmarkEnd w:id="106"/>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保留现状城区空间格局和风貌，打造特色鲜明的环境，优化空间结构，保护传统要素。延续城市肌理，保留原有的街巷空间与街道尺度。修整部分街道和建筑立面，使其整体风格相协调，建筑色彩以灰色、褐色、砖红色为主，新建建筑屋顶形式应采用传统坡屋顶形式。打造步行网络系统，构建生态绿带、绿道，设置广场、游园，连通周围山水，形成青山入城，绿水穿城的生态网络。</w:t>
      </w:r>
    </w:p>
    <w:p>
      <w:pPr>
        <w:ind w:firstLine="562" w:firstLineChars="200"/>
        <w:rPr>
          <w:rFonts w:ascii="仿宋" w:hAnsi="仿宋" w:eastAsia="仿宋"/>
          <w:b/>
          <w:bCs/>
          <w:color w:val="000000" w:themeColor="text1"/>
          <w:highlight w:val="none"/>
          <w14:textFill>
            <w14:solidFill>
              <w14:schemeClr w14:val="tx1"/>
            </w14:solidFill>
          </w14:textFill>
        </w:rPr>
      </w:pPr>
      <w:bookmarkStart w:id="107" w:name="_Hlk85811070"/>
      <w:r>
        <w:rPr>
          <w:rFonts w:hint="eastAsia" w:ascii="仿宋" w:hAnsi="仿宋" w:eastAsia="仿宋"/>
          <w:b/>
          <w:bCs/>
          <w:color w:val="000000" w:themeColor="text1"/>
          <w:highlight w:val="none"/>
          <w14:textFill>
            <w14:solidFill>
              <w14:schemeClr w14:val="tx1"/>
            </w14:solidFill>
          </w14:textFill>
        </w:rPr>
        <w:t>军民融合风貌区</w:t>
      </w:r>
      <w:bookmarkEnd w:id="107"/>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优化区域用地布局，重构交通体系。实施以青山绿水为主体的生态文明建设策略，实施以军事训练营地为平台的军民融合发展策略，实施高品质教育、医疗带动的发展策略，注重青少年研学旅行游，实施以现代商贸、文娱设施增强活力的发展策略。建筑色彩以灰色、暖黄为主色调，辅以砖红、浅黄、中黄。</w:t>
      </w:r>
    </w:p>
    <w:p>
      <w:pPr>
        <w:ind w:firstLine="562" w:firstLineChars="200"/>
        <w:rPr>
          <w:rFonts w:ascii="仿宋" w:hAnsi="仿宋" w:eastAsia="仿宋"/>
          <w:b/>
          <w:bCs/>
          <w:color w:val="000000" w:themeColor="text1"/>
          <w:highlight w:val="none"/>
          <w14:textFill>
            <w14:solidFill>
              <w14:schemeClr w14:val="tx1"/>
            </w14:solidFill>
          </w14:textFill>
        </w:rPr>
      </w:pPr>
      <w:bookmarkStart w:id="108" w:name="_Hlk85811083"/>
      <w:r>
        <w:rPr>
          <w:rFonts w:hint="eastAsia" w:ascii="仿宋" w:hAnsi="仿宋" w:eastAsia="仿宋"/>
          <w:b/>
          <w:bCs/>
          <w:color w:val="000000" w:themeColor="text1"/>
          <w:highlight w:val="none"/>
          <w14:textFill>
            <w14:solidFill>
              <w14:schemeClr w14:val="tx1"/>
            </w14:solidFill>
          </w14:textFill>
        </w:rPr>
        <w:t>生态新城风貌区</w:t>
      </w:r>
      <w:bookmarkEnd w:id="108"/>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以马都司新城为主，公共建筑应正面朝向公共空间，重视面向人民公园与府前大道的建筑立面展示设计，强化城市文化特色，展示城市形象。建筑以灰色、浅褐灰、米黄、鹅白等色彩为主，细部装饰以棕黄色、灰色点缀，屋顶宜灰色，主体颜色以1-2种为宜，且占外墙面比例不小于80%，避免颜色材料小面积交错带来的视觉混乱；通过将多层公建及开敞空间的有序串联，建立多元动感、舒适宜人的城市公共空间脉络，营造城市活动的舞台和市民休闲的场所；重视建筑招牌、街道家具、地面铺装与绿化种植的特色化设计，与街道建筑风格取得统一。</w:t>
      </w:r>
    </w:p>
    <w:p>
      <w:pPr>
        <w:ind w:firstLine="562" w:firstLineChars="200"/>
        <w:rPr>
          <w:rFonts w:ascii="仿宋" w:hAnsi="仿宋" w:eastAsia="仿宋"/>
          <w:b/>
          <w:bCs/>
          <w:color w:val="000000" w:themeColor="text1"/>
          <w:highlight w:val="none"/>
          <w14:textFill>
            <w14:solidFill>
              <w14:schemeClr w14:val="tx1"/>
            </w14:solidFill>
          </w14:textFill>
        </w:rPr>
      </w:pPr>
      <w:bookmarkStart w:id="109" w:name="_Hlk85811093"/>
      <w:r>
        <w:rPr>
          <w:rFonts w:hint="eastAsia" w:ascii="仿宋" w:hAnsi="仿宋" w:eastAsia="仿宋"/>
          <w:b/>
          <w:bCs/>
          <w:color w:val="000000" w:themeColor="text1"/>
          <w:highlight w:val="none"/>
          <w14:textFill>
            <w14:solidFill>
              <w14:schemeClr w14:val="tx1"/>
            </w14:solidFill>
          </w14:textFill>
        </w:rPr>
        <w:t>现代工业风貌区</w:t>
      </w:r>
      <w:bookmarkEnd w:id="109"/>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工业区整体风貌意向应确定为高效、简洁，体现产业建筑的特点，同时各类产业建筑应相互协调，保证工业区风貌的整体感；建筑色彩以灰和白为主色调，辅以砖红、浅黄、中黄，建筑风格简明大方、高效；工业区内的厂房层数以2—3层为主，建筑高度控制在20m以下，工业区的建筑密度控制在30%以内；通过绿化种植美化视觉环境；打造面貌统一，特色鲜明，体现地域特色的现代产业园区。</w:t>
      </w:r>
    </w:p>
    <w:p>
      <w:pPr>
        <w:ind w:firstLine="562" w:firstLineChars="200"/>
        <w:rPr>
          <w:rFonts w:ascii="仿宋" w:hAnsi="仿宋" w:eastAsia="仿宋"/>
          <w:color w:val="000000" w:themeColor="text1"/>
          <w:highlight w:val="none"/>
          <w14:textFill>
            <w14:solidFill>
              <w14:schemeClr w14:val="tx1"/>
            </w14:solidFill>
          </w14:textFill>
        </w:rPr>
      </w:pPr>
      <w:bookmarkStart w:id="110" w:name="_Hlk85811107"/>
      <w:r>
        <w:rPr>
          <w:rFonts w:hint="eastAsia" w:ascii="仿宋" w:hAnsi="仿宋" w:eastAsia="仿宋"/>
          <w:b/>
          <w:bCs/>
          <w:color w:val="000000" w:themeColor="text1"/>
          <w:highlight w:val="none"/>
          <w14:textFill>
            <w14:solidFill>
              <w14:schemeClr w14:val="tx1"/>
            </w14:solidFill>
          </w14:textFill>
        </w:rPr>
        <w:t>生态景观风貌区</w:t>
      </w:r>
      <w:bookmarkEnd w:id="110"/>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利用自然地理条件进行营建，强化城市与山水环境之间的空间联系，将自然要素融入到城市整体的风貌格局里；景观界面内预留视线廊道，形成良好的视觉效果；利用山体、水系等自然要素建立多层次的自行车、步行慢行网络，营造宜人的空间尺度；注重植物季节、色彩和高度搭配，营造三季有花，四季有绿的观赏效果。</w:t>
      </w:r>
    </w:p>
    <w:p>
      <w:pPr>
        <w:ind w:firstLine="562" w:firstLineChars="200"/>
        <w:rPr>
          <w:rFonts w:ascii="仿宋" w:hAnsi="仿宋" w:eastAsia="仿宋"/>
          <w:b/>
          <w:bCs/>
          <w:color w:val="000000" w:themeColor="text1"/>
          <w:highlight w:val="none"/>
          <w14:textFill>
            <w14:solidFill>
              <w14:schemeClr w14:val="tx1"/>
            </w14:solidFill>
          </w14:textFill>
        </w:rPr>
      </w:pPr>
      <w:bookmarkStart w:id="111" w:name="_Hlk85811125"/>
      <w:r>
        <w:rPr>
          <w:rFonts w:hint="eastAsia" w:ascii="仿宋" w:hAnsi="仿宋" w:eastAsia="仿宋"/>
          <w:b/>
          <w:bCs/>
          <w:color w:val="000000" w:themeColor="text1"/>
          <w:highlight w:val="none"/>
          <w14:textFill>
            <w14:solidFill>
              <w14:schemeClr w14:val="tx1"/>
            </w14:solidFill>
          </w14:textFill>
        </w:rPr>
        <w:t>商旅小镇风貌区</w:t>
      </w:r>
      <w:bookmarkEnd w:id="111"/>
      <w:r>
        <w:rPr>
          <w:rFonts w:hint="eastAsia" w:ascii="仿宋" w:hAnsi="仿宋" w:eastAsia="仿宋"/>
          <w:b/>
          <w:bCs/>
          <w:color w:val="000000" w:themeColor="text1"/>
          <w:highlight w:val="none"/>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保持小镇"特色"的鲜明性，是打造特色小镇的首要原则，在园区规划、建设布局、景观设计、建筑风格等方面，体现生态环保的理念，强调人性化的设计，满足多样化的需求。致力于打造集生态农业、休闲采摘、医护养生、养老托幼、度假娱乐等多种功能为一体的复合型、多元化、体现广水特色的特色商贸旅游小镇。建筑风格应采用新中式风格或现代简洁风格，突出“现代艺术”景观风貌。</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（5）打造见山望水的城市眺望系统</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打造秩序优美、舒缓有序、节奏明快的城市形象，依托轴线建设和滨水景观建设控制天际轮廓线。严格管控视廊范围内的建筑高度、体量和色彩，形成景观</w:t>
      </w:r>
      <w:r>
        <w:rPr>
          <w:rFonts w:hint="eastAsia" w:ascii="仿宋" w:hAnsi="仿宋" w:eastAsia="仿宋"/>
          <w:color w:val="000000" w:themeColor="text1"/>
          <w:highlight w:val="none"/>
          <w:lang w:eastAsia="zh-CN"/>
          <w14:textFill>
            <w14:solidFill>
              <w14:schemeClr w14:val="tx1"/>
            </w14:solidFill>
          </w14:textFill>
        </w:rPr>
        <w:t>重点</w:t>
      </w:r>
      <w:r>
        <w:rPr>
          <w:rFonts w:hint="eastAsia" w:ascii="仿宋" w:hAnsi="仿宋" w:eastAsia="仿宋"/>
          <w:color w:val="000000" w:themeColor="text1"/>
          <w:highlight w:val="none"/>
          <w14:textFill>
            <w14:solidFill>
              <w14:schemeClr w14:val="tx1"/>
            </w14:solidFill>
          </w14:textFill>
        </w:rPr>
        <w:t>突出的城市高度意向。控制滨水傍山的建筑高度与体量，形成富有层次、错落有致的天际线，重点管控应山河与广水河两岸建筑高度，应山河两岸打造西岸主次分明、东岸山城相映的滨河天际线；广水河两岸打造西岸平缓舒展、东岸俯水仰山的滨河天际线。</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（6）建立完整的开发强度分区和管控体系</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中心城区内划分高强度建设区、中高强度建设区、中低强度建设区和低强度建设区进行管控。</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高强度建设区。主要包含马都司新城等商务中心区域。容积率控制在2.5-4.0之间，建筑密度控制在35%以下。</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中高强度建设区。包括城市组团中心、商务中心的外围区域等。居住用地容积率控制在1.5-2.5之间，公共设施用地容积率控制在2.5以下；住宅建筑以多层和小高层建筑为主，建筑密度控制在35%以下。</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中低强度建设区。包括应山老城区及周围地段，以及各组团内部居住区和产业区。居住用地容积率控制在1.0-2.0之间，公共设施用地容积率控制在2.0以下，工业用地容积率控制在0.6-1.2之间；建筑高度以多层建筑为主，建筑密度控制在35%以下。</w:t>
      </w:r>
    </w:p>
    <w:p>
      <w:pPr>
        <w:ind w:firstLine="560" w:firstLineChars="2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低强度建设区。包括广水中山街历史街区及周边区域，以及印台山生态文化园周边区域等需要控制的区域。严格控制为低强度开发，一般地块容积率控制在1.0以下；建筑高度以中低层为主，建筑密度控制在35%以下，绿地率控制在35%以上。</w:t>
      </w:r>
    </w:p>
    <w:p>
      <w:pPr>
        <w:pStyle w:val="3"/>
        <w:pageBreakBefore/>
        <w:rPr>
          <w:rFonts w:ascii="仿宋" w:hAnsi="仿宋" w:eastAsia="仿宋"/>
          <w:color w:val="000000" w:themeColor="text1"/>
          <w:highlight w:val="none"/>
          <w14:textFill>
            <w14:solidFill>
              <w14:schemeClr w14:val="tx1"/>
            </w14:solidFill>
          </w14:textFill>
        </w:rPr>
      </w:pPr>
      <w:bookmarkStart w:id="112" w:name="_Toc16679"/>
      <w:r>
        <w:rPr>
          <w:rFonts w:hint="eastAsia" w:ascii="仿宋" w:hAnsi="仿宋" w:eastAsia="仿宋"/>
          <w:color w:val="000000" w:themeColor="text1"/>
          <w:highlight w:val="none"/>
          <w14:textFill>
            <w14:solidFill>
              <w14:schemeClr w14:val="tx1"/>
            </w14:solidFill>
          </w14:textFill>
        </w:rPr>
        <w:t>第十一章 支撑体系</w:t>
      </w:r>
      <w:bookmarkEnd w:id="112"/>
    </w:p>
    <w:p>
      <w:pPr>
        <w:pStyle w:val="4"/>
        <w:rPr>
          <w:rFonts w:ascii="仿宋" w:hAnsi="仿宋" w:eastAsia="仿宋"/>
          <w:color w:val="000000" w:themeColor="text1"/>
          <w:highlight w:val="none"/>
          <w14:textFill>
            <w14:solidFill>
              <w14:schemeClr w14:val="tx1"/>
            </w14:solidFill>
          </w14:textFill>
        </w:rPr>
      </w:pPr>
      <w:bookmarkStart w:id="113" w:name="_Toc19667"/>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1</w:t>
      </w:r>
      <w:r>
        <w:rPr>
          <w:rFonts w:hint="eastAsia" w:ascii="仿宋" w:hAnsi="仿宋" w:eastAsia="仿宋"/>
          <w:color w:val="000000" w:themeColor="text1"/>
          <w:highlight w:val="none"/>
          <w14:textFill>
            <w14:solidFill>
              <w14:schemeClr w14:val="tx1"/>
            </w14:solidFill>
          </w14:textFill>
        </w:rPr>
        <w:t>节 综合交通</w:t>
      </w:r>
      <w:r>
        <w:rPr>
          <w:rFonts w:ascii="仿宋" w:hAnsi="仿宋" w:eastAsia="仿宋"/>
          <w:color w:val="000000" w:themeColor="text1"/>
          <w:highlight w:val="none"/>
          <w14:textFill>
            <w14:solidFill>
              <w14:schemeClr w14:val="tx1"/>
            </w14:solidFill>
          </w14:textFill>
        </w:rPr>
        <w:t>体系</w:t>
      </w:r>
      <w:bookmarkEnd w:id="113"/>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（1）完善综合交通运输体系</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以广水市的发展战略为基础，结合产业发展、民生布局、空间布局、旅游规划以及交通发展条件，形成“一中心两区域三廊道”的规划布局。</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一中心</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是指广水市城区综合交通枢纽中心，作为广水市域内综合交通枢纽中心，辐射带动市域乡镇。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两区域”是指北部生态文化旅游绿色交通发展区和南部城乡一体化交通网络提升区。北部生态文化旅游绿色交通发展区，处于山地地区。该区域交通网络以发展绿色交通为着力点，加强交通重要节点环线工程建设，新建及改建一批旅游交通线路，建设市域旅游交通网络，形成城区、乡镇、重要节点之间通畅的公路网络，利用交通优势引导广水生态旅游业的快速发展。南部城乡一体化交通网络提升区，交通发展侧重于服务商贸物流集散地建设、工业园区和景区建设，以经济发展为导向，注重与国土空间资源的协调利用，交通发展以提升通道容量，提高网络覆盖广度和深度为主。通过交通通道深化和完善，来打造综合交通运输网络，实现交通+精准扶贫+产业基地+美丽乡村的融合发展。</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三廊道</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是指京广综合交通走廊、襄十随综合交通走廊和随信宜综合交通走廊，共同组成“三角形”的综合交通发展环。既是广水市对外交通主要通道，也是市域各镇与中心城区之间的快捷联系通道。</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（2）城乡交通发展策略</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构建完善的城乡交通体系，增加快速路、环路等疏导交通分流，强化东西区域交通联系，提高城市内外部道路通行效率；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大力发展公共交通系统，建立城乡一体的公共交通体系；</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控制高等级宽马路的建设，增加路网密度，合理分担交通压力，提高交通建设决策水平，构建适宜中小型城市发展的道路网结构；</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加强道路基础设施建设，加强静态交通建设，提高现有道路使用效率；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构建绿色慢行交通系统，加强交通管理，强化城市交通安全，建设绿色健康的可持续交通体系。</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（3）市域交通规划</w:t>
      </w:r>
    </w:p>
    <w:p>
      <w:pPr>
        <w:ind w:left="4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机场规划</w:t>
      </w:r>
    </w:p>
    <w:p>
      <w:pPr>
        <w:ind w:firstLine="560" w:firstLineChars="200"/>
        <w:rPr>
          <w:rFonts w:hint="eastAsia"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将现广水市军用机场规划改建为军民两用机场，作为民用机场将提供民航、商务包机等服务，机场飞行区等级为</w:t>
      </w:r>
      <w:r>
        <w:rPr>
          <w:rFonts w:ascii="仿宋" w:hAnsi="仿宋" w:eastAsia="仿宋" w:cs="Times New Roman"/>
          <w:color w:val="000000" w:themeColor="text1"/>
          <w:highlight w:val="none"/>
          <w14:textFill>
            <w14:solidFill>
              <w14:schemeClr w14:val="tx1"/>
            </w14:solidFill>
          </w14:textFill>
        </w:rPr>
        <w:t>4D</w:t>
      </w:r>
      <w:r>
        <w:rPr>
          <w:rFonts w:hint="eastAsia" w:ascii="仿宋" w:hAnsi="仿宋" w:eastAsia="仿宋" w:cs="Times New Roman"/>
          <w:color w:val="000000" w:themeColor="text1"/>
          <w:highlight w:val="none"/>
          <w14:textFill>
            <w14:solidFill>
              <w14:schemeClr w14:val="tx1"/>
            </w14:solidFill>
          </w14:textFill>
        </w:rPr>
        <w:t>级。</w:t>
      </w:r>
    </w:p>
    <w:p>
      <w:pPr>
        <w:pStyle w:val="2"/>
        <w:ind w:firstLine="560" w:firstLineChars="200"/>
        <w:rPr>
          <w:rFonts w:hint="default" w:eastAsia="仿宋"/>
          <w:color w:val="000000" w:themeColor="text1"/>
          <w:highlight w:val="none"/>
          <w:lang w:val="en-US" w:eastAsia="zh-CN"/>
          <w14:textFill>
            <w14:solidFill>
              <w14:schemeClr w14:val="tx1"/>
            </w14:solidFill>
          </w14:textFill>
        </w:rPr>
      </w:pPr>
      <w:r>
        <w:rPr>
          <w:rFonts w:hint="eastAsia" w:ascii="仿宋" w:hAnsi="仿宋" w:eastAsia="仿宋" w:cs="Times New Roman"/>
          <w:color w:val="000000" w:themeColor="text1"/>
          <w:highlight w:val="none"/>
          <w:lang w:eastAsia="zh-CN"/>
          <w14:textFill>
            <w14:solidFill>
              <w14:schemeClr w14:val="tx1"/>
            </w14:solidFill>
          </w14:textFill>
        </w:rPr>
        <w:t>以机场跑道中心线两侧各</w:t>
      </w:r>
      <w:r>
        <w:rPr>
          <w:rFonts w:hint="eastAsia" w:ascii="仿宋" w:hAnsi="仿宋" w:eastAsia="仿宋" w:cs="Times New Roman"/>
          <w:color w:val="000000" w:themeColor="text1"/>
          <w:highlight w:val="none"/>
          <w:lang w:val="en-US" w:eastAsia="zh-CN"/>
          <w14:textFill>
            <w14:solidFill>
              <w14:schemeClr w14:val="tx1"/>
            </w14:solidFill>
          </w14:textFill>
        </w:rPr>
        <w:t>13.1公里，跑道端外20公里的区域作为</w:t>
      </w:r>
      <w:r>
        <w:rPr>
          <w:rFonts w:hint="eastAsia" w:ascii="仿宋" w:hAnsi="仿宋" w:eastAsia="仿宋" w:cs="Times New Roman"/>
          <w:color w:val="000000" w:themeColor="text1"/>
          <w:highlight w:val="none"/>
          <w:lang w:eastAsia="zh-CN"/>
          <w14:textFill>
            <w14:solidFill>
              <w14:schemeClr w14:val="tx1"/>
            </w14:solidFill>
          </w14:textFill>
        </w:rPr>
        <w:t>机场净空保护区。保护区内建设活动要符合机场净空保护的管理规定。</w:t>
      </w:r>
    </w:p>
    <w:p>
      <w:pPr>
        <w:ind w:left="4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铁路交通规划</w:t>
      </w:r>
    </w:p>
    <w:p>
      <w:pPr>
        <w:numPr>
          <w:ilvl w:val="0"/>
          <w:numId w:val="11"/>
        </w:numPr>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京广铁路分为新线与老线，分别承担境内的客运、货运功能。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京广铁路新线主要承担客运功能，逐步减少京广铁路新线广水段的铁路货运功能。广水火车站提升为二级客运站的等级，为建设</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孝感</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广水</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信阳</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的区域城际铁路提供基础。</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京广老线主要以货运为主，设有孝子店站、东篁站、曾家山站、杨寨站、陈家河站和王家店站</w:t>
      </w:r>
      <w:r>
        <w:rPr>
          <w:rFonts w:ascii="仿宋" w:hAnsi="仿宋" w:eastAsia="仿宋" w:cs="Times New Roman"/>
          <w:color w:val="000000" w:themeColor="text1"/>
          <w:highlight w:val="none"/>
          <w14:textFill>
            <w14:solidFill>
              <w14:schemeClr w14:val="tx1"/>
            </w14:solidFill>
          </w14:textFill>
        </w:rPr>
        <w:t>6</w:t>
      </w:r>
      <w:r>
        <w:rPr>
          <w:rFonts w:hint="eastAsia" w:ascii="仿宋" w:hAnsi="仿宋" w:eastAsia="仿宋" w:cs="Times New Roman"/>
          <w:color w:val="000000" w:themeColor="text1"/>
          <w:highlight w:val="none"/>
          <w14:textFill>
            <w14:solidFill>
              <w14:schemeClr w14:val="tx1"/>
            </w14:solidFill>
          </w14:textFill>
        </w:rPr>
        <w:t>座货运火车站，将曾家山站提升为二级货运中转站，实现铁路货物中转、编组等功能。其余车站为四级货运站。</w:t>
      </w:r>
    </w:p>
    <w:p>
      <w:pPr>
        <w:numPr>
          <w:ilvl w:val="0"/>
          <w:numId w:val="11"/>
        </w:numPr>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汉丹铁路保持现状平林、长岭、马坪3个四等站。</w:t>
      </w:r>
    </w:p>
    <w:p>
      <w:pPr>
        <w:numPr>
          <w:ilvl w:val="0"/>
          <w:numId w:val="11"/>
        </w:numPr>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建设随信高铁广水段。在广水境内设蔡河西站。</w:t>
      </w:r>
    </w:p>
    <w:p>
      <w:pPr>
        <w:numPr>
          <w:ilvl w:val="0"/>
          <w:numId w:val="11"/>
        </w:numPr>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远期规划孝感经广水至信阳铁路，以及襄阳经随州至信阳合肥高铁。</w:t>
      </w:r>
    </w:p>
    <w:p>
      <w:p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水运交通规划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提升航道等级，进行航道整治。重点提升府河和徐家河景区航道等级。</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规划将</w:t>
      </w:r>
      <w:r>
        <w:rPr>
          <w:rFonts w:hint="eastAsia" w:ascii="仿宋" w:hAnsi="仿宋" w:eastAsia="仿宋" w:cs="Times New Roman"/>
          <w:color w:val="000000" w:themeColor="text1"/>
          <w:highlight w:val="none"/>
          <w:lang w:eastAsia="zh-CN"/>
          <w14:textFill>
            <w14:solidFill>
              <w14:schemeClr w14:val="tx1"/>
            </w14:solidFill>
          </w14:textFill>
        </w:rPr>
        <w:t>府南河航道</w:t>
      </w:r>
      <w:r>
        <w:rPr>
          <w:rFonts w:hint="eastAsia" w:ascii="仿宋" w:hAnsi="仿宋" w:eastAsia="仿宋" w:cs="Times New Roman"/>
          <w:color w:val="000000" w:themeColor="text1"/>
          <w:highlight w:val="none"/>
          <w14:textFill>
            <w14:solidFill>
              <w14:schemeClr w14:val="tx1"/>
            </w14:solidFill>
          </w14:textFill>
        </w:rPr>
        <w:t>等级由现状的六级提升到四级，恢复其通航能力，加强广水与下游汉江、长江的货物进出。</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规划提升徐家河水库航道为四级，以利于风景区水上项目的打造。</w:t>
      </w:r>
    </w:p>
    <w:p>
      <w:p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公路交通规划</w:t>
      </w:r>
    </w:p>
    <w:p>
      <w:pPr>
        <w:numPr>
          <w:ilvl w:val="0"/>
          <w:numId w:val="12"/>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高速公路</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建设随信高速广水段，在广水境内设关庙互通、蔡河互通、三潭互通。</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建设鄂北红色高速公路（广水境），途经武胜关镇、广办、十里办、蔡河、郝店、吴店等镇办。</w:t>
      </w:r>
    </w:p>
    <w:p>
      <w:pPr>
        <w:numPr>
          <w:ilvl w:val="0"/>
          <w:numId w:val="12"/>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国道</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改建G316国道广水境段公路、G346国道城郊至长岭段公路。</w:t>
      </w:r>
    </w:p>
    <w:p>
      <w:pPr>
        <w:numPr>
          <w:ilvl w:val="0"/>
          <w:numId w:val="12"/>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省道</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改扩建S210广水市蔡河镇段、S210广水市城郊绕城区段、S210广水市骆店绕镇段、S210广水市陈巷绕镇段。</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改扩建S210广水市蔡河镇段、S210广水市城郊绕城区段、S210广水市骆店绕镇段、S210广水市陈巷绕镇段，均按照一级公路建设。</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改造S211李店至太平段、S426十马线城郊段，</w:t>
      </w:r>
      <w:bookmarkStart w:id="114" w:name="_Hlk86858880"/>
      <w:r>
        <w:rPr>
          <w:rFonts w:hint="eastAsia" w:ascii="仿宋" w:hAnsi="仿宋" w:eastAsia="仿宋" w:cs="Times New Roman"/>
          <w:color w:val="000000" w:themeColor="text1"/>
          <w:highlight w:val="none"/>
          <w14:textFill>
            <w14:solidFill>
              <w14:schemeClr w14:val="tx1"/>
            </w14:solidFill>
          </w14:textFill>
        </w:rPr>
        <w:t>均按照二级公路建设。</w:t>
      </w:r>
      <w:bookmarkEnd w:id="114"/>
    </w:p>
    <w:p>
      <w:pPr>
        <w:numPr>
          <w:ilvl w:val="0"/>
          <w:numId w:val="12"/>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非国省道二级公路</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改造杨平线、关庙经兴隆至曾都淅河段、</w:t>
      </w:r>
      <w:bookmarkStart w:id="115" w:name="_Hlk86859017"/>
      <w:r>
        <w:rPr>
          <w:rFonts w:hint="eastAsia" w:ascii="仿宋" w:hAnsi="仿宋" w:eastAsia="仿宋" w:cs="Times New Roman"/>
          <w:color w:val="000000" w:themeColor="text1"/>
          <w:highlight w:val="none"/>
          <w14:textFill>
            <w14:solidFill>
              <w14:schemeClr w14:val="tx1"/>
            </w14:solidFill>
          </w14:textFill>
        </w:rPr>
        <w:t>均按照二级公路建设。</w:t>
      </w:r>
    </w:p>
    <w:bookmarkEnd w:id="115"/>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新建三李线经十里至十蔡线、龙泉至长辛店公路，均按照二级公路建设。</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改建应刘线公路、余店至徐店公路、骆店至长岭公路，均按照二级公路建设。</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徐家河生态防洪公路，</w:t>
      </w:r>
      <w:bookmarkStart w:id="116" w:name="_Hlk86860135"/>
      <w:r>
        <w:rPr>
          <w:rFonts w:hint="eastAsia" w:ascii="仿宋" w:hAnsi="仿宋" w:eastAsia="仿宋" w:cs="Times New Roman"/>
          <w:color w:val="000000" w:themeColor="text1"/>
          <w:highlight w:val="none"/>
          <w14:textFill>
            <w14:solidFill>
              <w14:schemeClr w14:val="tx1"/>
            </w14:solidFill>
          </w14:textFill>
        </w:rPr>
        <w:t>按照二级公路建设。</w:t>
      </w:r>
      <w:bookmarkEnd w:id="116"/>
    </w:p>
    <w:p>
      <w:pPr>
        <w:numPr>
          <w:ilvl w:val="0"/>
          <w:numId w:val="12"/>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战备公路</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改扩建广水市胡花线公路、应宝线公路，均按照二级公路建设。</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新建广水市八一至八里岔公路，按照二级公路建设。</w:t>
      </w:r>
    </w:p>
    <w:p>
      <w:pPr>
        <w:numPr>
          <w:ilvl w:val="0"/>
          <w:numId w:val="12"/>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旅游公路</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改扩建广水市陡分线公路，按照二级公路建设。</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新建三潭至武胜关公路，按照二级公路建设。</w:t>
      </w:r>
    </w:p>
    <w:p>
      <w:pPr>
        <w:numPr>
          <w:ilvl w:val="0"/>
          <w:numId w:val="12"/>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站场建设</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新建广水市北门综合客运站，规划为二级客运站，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新建武胜关综合客运站枢纽，为二级综合客运枢纽。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新建余店镇广场客运站，为三级综合客运站。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新建广水市南门货运中心，规划为货运中心。</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（4）</w:t>
      </w:r>
      <w:r>
        <w:rPr>
          <w:rFonts w:ascii="仿宋" w:hAnsi="仿宋" w:eastAsia="仿宋"/>
          <w:b/>
          <w:bCs/>
          <w:color w:val="000000" w:themeColor="text1"/>
          <w:highlight w:val="none"/>
          <w14:textFill>
            <w14:solidFill>
              <w14:schemeClr w14:val="tx1"/>
            </w14:solidFill>
          </w14:textFill>
        </w:rPr>
        <w:t>公交系统规划</w:t>
      </w:r>
    </w:p>
    <w:p>
      <w:pPr>
        <w:numPr>
          <w:ilvl w:val="0"/>
          <w:numId w:val="13"/>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公共交通规划目标与原则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构筑以地面常规公交为主体、快捷公交为骨架、出租车为辅助的高效、便捷、准时、舒适的综合公共交通体系。优化公交线网布局，加强场站建设，大力提升公交服务水平，确立公共交通在城市客运的主导地位。</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有利于城市多组团空间布局的形成，并引导城市用地开发；</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大中运量的公交捷运系统要与组团间、城乡内部的客运交通走廊一致；</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与城市道路系统、区域及对外交通系统、静态交通系统相协调；</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公交线网、公交场站等基础设施的规模及布局要相互协调、相互匹配。</w:t>
      </w:r>
    </w:p>
    <w:p>
      <w:pPr>
        <w:numPr>
          <w:ilvl w:val="0"/>
          <w:numId w:val="13"/>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公交体系构成</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广水市公交体系由大站快线、公交干线、组团线路、旅游公交、出租车等构成。</w:t>
      </w:r>
    </w:p>
    <w:p>
      <w:pPr>
        <w:numPr>
          <w:ilvl w:val="0"/>
          <w:numId w:val="13"/>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常规公交系统规划</w:t>
      </w:r>
    </w:p>
    <w:p>
      <w:pPr>
        <w:numPr>
          <w:ilvl w:val="0"/>
          <w:numId w:val="14"/>
        </w:numPr>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公交车及出租车拥有量</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公交车拥有量：到2035年，公交车拥有水平应达到8标台/万人，按规划人口45万人计，公交车360标台，形成以快速公交线、公交干线等为主的公交线网系统。</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出租车拥有量：按照近期2025年32万的人口规模，0.5辆/千人拥有率标准，规划2025年出租车拥有量约为160辆；按远期2035年45万的人口规模，1.2辆/千人拥有率标准，规划2035年出租车拥有量约为540辆。</w:t>
      </w:r>
    </w:p>
    <w:p>
      <w:pPr>
        <w:numPr>
          <w:ilvl w:val="0"/>
          <w:numId w:val="14"/>
        </w:numPr>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公交线路规划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城乡一体化公交规划：规划城郊线路主要联系规划区内的农村社区，相较一般公交线路，城郊公交线路的线路较长，发车频率也较低。同时，与中心城区距离较远的乡镇采用长途客运的方式增强联系。</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中心城区公交规划：中心城区公交线网分为公交主干线和组团线路两个层次。</w:t>
      </w:r>
    </w:p>
    <w:p>
      <w:pPr>
        <w:numPr>
          <w:ilvl w:val="0"/>
          <w:numId w:val="14"/>
        </w:numPr>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公共站场规划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共2处公交首末站，应山片区广水片区各有两个。规划2个公交保养场，其中应山片区城西工业组团内的公交保养场兼公交首末站和公交停车场，广水片区新火车站旁的公交保养场同时兼公交首末站和公交停车场；应山片区、广水片区各规划一处公交停车场，广水片区规划两处公交停车场。</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（5）</w:t>
      </w:r>
      <w:r>
        <w:rPr>
          <w:rFonts w:ascii="仿宋" w:hAnsi="仿宋" w:eastAsia="仿宋"/>
          <w:b/>
          <w:bCs/>
          <w:color w:val="000000" w:themeColor="text1"/>
          <w:highlight w:val="none"/>
          <w14:textFill>
            <w14:solidFill>
              <w14:schemeClr w14:val="tx1"/>
            </w14:solidFill>
          </w14:textFill>
        </w:rPr>
        <w:t>中心</w:t>
      </w:r>
      <w:r>
        <w:rPr>
          <w:rFonts w:hint="eastAsia" w:ascii="仿宋" w:hAnsi="仿宋" w:eastAsia="仿宋"/>
          <w:b/>
          <w:bCs/>
          <w:color w:val="000000" w:themeColor="text1"/>
          <w:highlight w:val="none"/>
          <w14:textFill>
            <w14:solidFill>
              <w14:schemeClr w14:val="tx1"/>
            </w14:solidFill>
          </w14:textFill>
        </w:rPr>
        <w:t>城区道路系统规划</w:t>
      </w:r>
    </w:p>
    <w:p>
      <w:pPr>
        <w:numPr>
          <w:ilvl w:val="0"/>
          <w:numId w:val="15"/>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构建清晰高效的中心城区道路交通结构体系</w:t>
      </w:r>
    </w:p>
    <w:p>
      <w:pPr>
        <w:ind w:firstLine="562"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构建符合“双核城市”交通特征的道路网系统，形成环状与网状结合的“十纵十一横”主干路骨架结构。</w:t>
      </w:r>
      <w:r>
        <w:rPr>
          <w:rFonts w:hint="eastAsia" w:ascii="仿宋" w:hAnsi="仿宋" w:eastAsia="仿宋" w:cs="Times New Roman"/>
          <w:color w:val="000000" w:themeColor="text1"/>
          <w:highlight w:val="none"/>
          <w14:textFill>
            <w14:solidFill>
              <w14:schemeClr w14:val="tx1"/>
            </w14:solidFill>
          </w14:textFill>
        </w:rPr>
        <w:t>“十纵”指平洑大道、航空北路-四贤路、迎宾大道、辉盛大道、新城大道、光华大道、广武大道、武元路-马鞍路、武兴大道、东环路；“十一横”指北环路、三环路-应广大道、十长路、南环路、创业大道、应南环路、利民路、中山大道、工业路-湖北路、广武大道、桐柏大道。其中，应广大道与新建的南环路双轴并行，串联广水与应山城区。</w:t>
      </w:r>
    </w:p>
    <w:p>
      <w:pPr>
        <w:ind w:firstLine="562"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合理配置城市道路网等级体系。</w:t>
      </w:r>
      <w:r>
        <w:rPr>
          <w:rFonts w:hint="eastAsia" w:ascii="仿宋" w:hAnsi="仿宋" w:eastAsia="仿宋" w:cs="Times New Roman"/>
          <w:color w:val="000000" w:themeColor="text1"/>
          <w:highlight w:val="none"/>
          <w14:textFill>
            <w14:solidFill>
              <w14:schemeClr w14:val="tx1"/>
            </w14:solidFill>
          </w14:textFill>
        </w:rPr>
        <w:t>分为主干路－次干路－支路三个等级，主干路红线宽度32-60米，次干路红线宽度16-30米，支路15-24米。道路网间距符合国家要求，其中规划主干道路网间距500-1500米，次干路网间距250-800米。规划路网密度4.31公里/平方公里，各项指标满足规范要求。道路断面形式控制：主干路道路横断面主要采用三块板、四块板形式；次干道路横断面主要采用两块板、三块板形式；支路道路横断面采用一块板或两块板形式。</w:t>
      </w:r>
    </w:p>
    <w:p>
      <w:pPr>
        <w:numPr>
          <w:ilvl w:val="0"/>
          <w:numId w:val="15"/>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构建丰富完善的交通组织形式</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货运交通组织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规划利用城市外环组织货运交通，过境车辆通过外环路进行交通转换，避免对中心城区的干扰。</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公共交通组织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构筑以地面常规公交为主体、以出租车为辅助的高效、便捷、准时、舒适的综合公共交通体系。优化公交线网布局，加强场站建设，大力提升公交服务水平，确立公共交通在城市客运的主导地位。</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构建城乡一体化的公交体系，采用公交车的形式，加强距离城区较近的镇区以及农村社区的联系，促进城乡一体化的推进。结合广水市的实际情况，考虑到公交车的运行能力及距离，城郊线路主要规划联系附近的农村社区，较一般公交线路相比，城郊公交线路的线路较长，发车频率也较低。同时，与城区距离较远的乡镇采用长途客运的方式进行联系。</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规划2处公交首末站，其中应山片区城西工业组团内的公交保养场兼公交首末站和公交停车场，广水片区新火车站旁的公交保养场同时兼公交首末站和公交停车场</w:t>
      </w:r>
    </w:p>
    <w:p>
      <w:pPr>
        <w:ind w:firstLine="562"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静态交通组织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构建供需均衡、结构适宜、布局合理、动静协调的静态交通系统，规划建设以配建停车设施为主、路外公共停车设施为辅，路内停车设施为补充的等级合理的停车设施供应结构。社会公共停车场布局力求均衡。在城市主要道路出入口附近设置大型对外停车场，减少对外及过境交通对城市的干扰，城区内小型停车场分散布局，尽可能缩短停车步行距离，提高服务水平。</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合理布局公共停车场布局。路边停车泊位总量控制在总停车泊位数量的10%以内。原则上不允许在快速路、主干路、以交通功能为主的次干路的车行道路内设置停车泊位，生活性次干路、支路车行道空间设置路内停车泊位的条件需要满足相关前置条件。</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慢行交通规划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打造骨架路网与自然分割形成的安全慢行区。在慢行区内，打通低等级断头路，完善主次干路上的人行、非机动车出行设施，为短距离出行提供相对独立安全的慢行空间。</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在规划城市慢行核心区的同时，结合景观水系规划慢行绿道。</w:t>
      </w:r>
    </w:p>
    <w:p>
      <w:pPr>
        <w:pStyle w:val="4"/>
        <w:rPr>
          <w:rFonts w:ascii="仿宋" w:hAnsi="仿宋" w:eastAsia="仿宋"/>
          <w:color w:val="000000" w:themeColor="text1"/>
          <w:highlight w:val="none"/>
          <w14:textFill>
            <w14:solidFill>
              <w14:schemeClr w14:val="tx1"/>
            </w14:solidFill>
          </w14:textFill>
        </w:rPr>
      </w:pPr>
      <w:bookmarkStart w:id="117" w:name="_Toc19458"/>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2</w:t>
      </w:r>
      <w:r>
        <w:rPr>
          <w:rFonts w:hint="eastAsia" w:ascii="仿宋" w:hAnsi="仿宋" w:eastAsia="仿宋"/>
          <w:color w:val="000000" w:themeColor="text1"/>
          <w:highlight w:val="none"/>
          <w14:textFill>
            <w14:solidFill>
              <w14:schemeClr w14:val="tx1"/>
            </w14:solidFill>
          </w14:textFill>
        </w:rPr>
        <w:t>节 公共服务</w:t>
      </w:r>
      <w:r>
        <w:rPr>
          <w:rFonts w:ascii="仿宋" w:hAnsi="仿宋" w:eastAsia="仿宋"/>
          <w:color w:val="000000" w:themeColor="text1"/>
          <w:highlight w:val="none"/>
          <w14:textFill>
            <w14:solidFill>
              <w14:schemeClr w14:val="tx1"/>
            </w14:solidFill>
          </w14:textFill>
        </w:rPr>
        <w:t>设施</w:t>
      </w:r>
      <w:bookmarkEnd w:id="117"/>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城乡公共设施按</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中心城区</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建制镇（中心镇和一般镇）</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中心村</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基层村</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四级进行城乡一体化配置，主要包括教育设施、文化娱乐设施、体育活动设施、医疗卫生设施、社会福利设施等。</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w:t>
      </w:r>
      <w:r>
        <w:rPr>
          <w:rFonts w:ascii="仿宋" w:hAnsi="仿宋" w:eastAsia="仿宋"/>
          <w:b/>
          <w:bCs/>
          <w:color w:val="000000" w:themeColor="text1"/>
          <w:highlight w:val="none"/>
          <w14:textFill>
            <w14:solidFill>
              <w14:schemeClr w14:val="tx1"/>
            </w14:solidFill>
          </w14:textFill>
        </w:rPr>
        <w:t>市域公共服务设施规划</w:t>
      </w:r>
    </w:p>
    <w:p>
      <w:pPr>
        <w:numPr>
          <w:ilvl w:val="0"/>
          <w:numId w:val="16"/>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教育设施规划</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专科及职业技术学校</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规划保留中心城区专科及职业教育学校</w:t>
      </w:r>
      <w:r>
        <w:rPr>
          <w:rFonts w:ascii="仿宋" w:hAnsi="仿宋" w:eastAsia="仿宋" w:cs="Times New Roman"/>
          <w:color w:val="000000" w:themeColor="text1"/>
          <w:highlight w:val="none"/>
          <w14:textFill>
            <w14:solidFill>
              <w14:schemeClr w14:val="tx1"/>
            </w14:solidFill>
          </w14:textFill>
        </w:rPr>
        <w:t>2</w:t>
      </w:r>
      <w:r>
        <w:rPr>
          <w:rFonts w:hint="eastAsia" w:ascii="仿宋" w:hAnsi="仿宋" w:eastAsia="仿宋" w:cs="Times New Roman"/>
          <w:color w:val="000000" w:themeColor="text1"/>
          <w:highlight w:val="none"/>
          <w14:textFill>
            <w14:solidFill>
              <w14:schemeClr w14:val="tx1"/>
            </w14:solidFill>
          </w14:textFill>
        </w:rPr>
        <w:t>所，并在马都司新建特殊教育学校</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所。</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中小学</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高中：根据千人指标标准，保留现状广水第一高中、第二高中、实验高中、益众高中、文华高中</w:t>
      </w:r>
      <w:r>
        <w:rPr>
          <w:rFonts w:ascii="仿宋" w:hAnsi="仿宋" w:eastAsia="仿宋" w:cs="Times New Roman"/>
          <w:color w:val="000000" w:themeColor="text1"/>
          <w:highlight w:val="none"/>
          <w14:textFill>
            <w14:solidFill>
              <w14:schemeClr w14:val="tx1"/>
            </w14:solidFill>
          </w14:textFill>
        </w:rPr>
        <w:t>5</w:t>
      </w:r>
      <w:r>
        <w:rPr>
          <w:rFonts w:hint="eastAsia" w:ascii="仿宋" w:hAnsi="仿宋" w:eastAsia="仿宋" w:cs="Times New Roman"/>
          <w:color w:val="000000" w:themeColor="text1"/>
          <w:highlight w:val="none"/>
          <w14:textFill>
            <w14:solidFill>
              <w14:schemeClr w14:val="tx1"/>
            </w14:solidFill>
          </w14:textFill>
        </w:rPr>
        <w:t>所高级中学；扩建育才高级中学；新建马都司高级中学</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所，按照</w:t>
      </w:r>
      <w:r>
        <w:rPr>
          <w:rFonts w:ascii="仿宋" w:hAnsi="仿宋" w:eastAsia="仿宋" w:cs="Times New Roman"/>
          <w:color w:val="000000" w:themeColor="text1"/>
          <w:highlight w:val="none"/>
          <w14:textFill>
            <w14:solidFill>
              <w14:schemeClr w14:val="tx1"/>
            </w14:solidFill>
          </w14:textFill>
        </w:rPr>
        <w:t>54</w:t>
      </w:r>
      <w:r>
        <w:rPr>
          <w:rFonts w:hint="eastAsia" w:ascii="仿宋" w:hAnsi="仿宋" w:eastAsia="仿宋" w:cs="Times New Roman"/>
          <w:color w:val="000000" w:themeColor="text1"/>
          <w:highlight w:val="none"/>
          <w14:textFill>
            <w14:solidFill>
              <w14:schemeClr w14:val="tx1"/>
            </w14:solidFill>
          </w14:textFill>
        </w:rPr>
        <w:t>班标准设置。</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初中：中心城区规划</w:t>
      </w:r>
      <w:r>
        <w:rPr>
          <w:rFonts w:ascii="仿宋" w:hAnsi="仿宋" w:eastAsia="仿宋" w:cs="Times New Roman"/>
          <w:color w:val="000000" w:themeColor="text1"/>
          <w:highlight w:val="none"/>
          <w14:textFill>
            <w14:solidFill>
              <w14:schemeClr w14:val="tx1"/>
            </w14:solidFill>
          </w14:textFill>
        </w:rPr>
        <w:t>6</w:t>
      </w:r>
      <w:r>
        <w:rPr>
          <w:rFonts w:hint="eastAsia" w:ascii="仿宋" w:hAnsi="仿宋" w:eastAsia="仿宋" w:cs="Times New Roman"/>
          <w:color w:val="000000" w:themeColor="text1"/>
          <w:highlight w:val="none"/>
          <w14:textFill>
            <w14:solidFill>
              <w14:schemeClr w14:val="tx1"/>
            </w14:solidFill>
          </w14:textFill>
        </w:rPr>
        <w:t>所初级中学，九年一贯制学校</w:t>
      </w:r>
      <w:r>
        <w:rPr>
          <w:rFonts w:ascii="仿宋" w:hAnsi="仿宋" w:eastAsia="仿宋" w:cs="Times New Roman"/>
          <w:color w:val="000000" w:themeColor="text1"/>
          <w:highlight w:val="none"/>
          <w14:textFill>
            <w14:solidFill>
              <w14:schemeClr w14:val="tx1"/>
            </w14:solidFill>
          </w14:textFill>
        </w:rPr>
        <w:t>8</w:t>
      </w:r>
      <w:r>
        <w:rPr>
          <w:rFonts w:hint="eastAsia" w:ascii="仿宋" w:hAnsi="仿宋" w:eastAsia="仿宋" w:cs="Times New Roman"/>
          <w:color w:val="000000" w:themeColor="text1"/>
          <w:highlight w:val="none"/>
          <w14:textFill>
            <w14:solidFill>
              <w14:schemeClr w14:val="tx1"/>
            </w14:solidFill>
          </w14:textFill>
        </w:rPr>
        <w:t>所。镇区规划初中</w:t>
      </w:r>
      <w:r>
        <w:rPr>
          <w:rFonts w:ascii="仿宋" w:hAnsi="仿宋" w:eastAsia="仿宋" w:cs="Times New Roman"/>
          <w:color w:val="000000" w:themeColor="text1"/>
          <w:highlight w:val="none"/>
          <w14:textFill>
            <w14:solidFill>
              <w14:schemeClr w14:val="tx1"/>
            </w14:solidFill>
          </w14:textFill>
        </w:rPr>
        <w:t>17</w:t>
      </w:r>
      <w:r>
        <w:rPr>
          <w:rFonts w:hint="eastAsia" w:ascii="仿宋" w:hAnsi="仿宋" w:eastAsia="仿宋" w:cs="Times New Roman"/>
          <w:color w:val="000000" w:themeColor="text1"/>
          <w:highlight w:val="none"/>
          <w14:textFill>
            <w14:solidFill>
              <w14:schemeClr w14:val="tx1"/>
            </w14:solidFill>
          </w14:textFill>
        </w:rPr>
        <w:t>所，中心村初中</w:t>
      </w:r>
      <w:r>
        <w:rPr>
          <w:rFonts w:ascii="仿宋" w:hAnsi="仿宋" w:eastAsia="仿宋" w:cs="Times New Roman"/>
          <w:color w:val="000000" w:themeColor="text1"/>
          <w:highlight w:val="none"/>
          <w14:textFill>
            <w14:solidFill>
              <w14:schemeClr w14:val="tx1"/>
            </w14:solidFill>
          </w14:textFill>
        </w:rPr>
        <w:t>4</w:t>
      </w:r>
      <w:r>
        <w:rPr>
          <w:rFonts w:hint="eastAsia" w:ascii="仿宋" w:hAnsi="仿宋" w:eastAsia="仿宋" w:cs="Times New Roman"/>
          <w:color w:val="000000" w:themeColor="text1"/>
          <w:highlight w:val="none"/>
          <w14:textFill>
            <w14:solidFill>
              <w14:schemeClr w14:val="tx1"/>
            </w14:solidFill>
          </w14:textFill>
        </w:rPr>
        <w:t>所，共规划</w:t>
      </w:r>
      <w:r>
        <w:rPr>
          <w:rFonts w:ascii="仿宋" w:hAnsi="仿宋" w:eastAsia="仿宋" w:cs="Times New Roman"/>
          <w:color w:val="000000" w:themeColor="text1"/>
          <w:highlight w:val="none"/>
          <w14:textFill>
            <w14:solidFill>
              <w14:schemeClr w14:val="tx1"/>
            </w14:solidFill>
          </w14:textFill>
        </w:rPr>
        <w:t>35</w:t>
      </w:r>
      <w:r>
        <w:rPr>
          <w:rFonts w:hint="eastAsia" w:ascii="仿宋" w:hAnsi="仿宋" w:eastAsia="仿宋" w:cs="Times New Roman"/>
          <w:color w:val="000000" w:themeColor="text1"/>
          <w:highlight w:val="none"/>
          <w14:textFill>
            <w14:solidFill>
              <w14:schemeClr w14:val="tx1"/>
            </w14:solidFill>
          </w14:textFill>
        </w:rPr>
        <w:t>所。</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小学：中心城区规划</w:t>
      </w:r>
      <w:r>
        <w:rPr>
          <w:rFonts w:ascii="仿宋" w:hAnsi="仿宋" w:eastAsia="仿宋" w:cs="Times New Roman"/>
          <w:color w:val="000000" w:themeColor="text1"/>
          <w:highlight w:val="none"/>
          <w14:textFill>
            <w14:solidFill>
              <w14:schemeClr w14:val="tx1"/>
            </w14:solidFill>
          </w14:textFill>
        </w:rPr>
        <w:t>24</w:t>
      </w:r>
      <w:r>
        <w:rPr>
          <w:rFonts w:hint="eastAsia" w:ascii="仿宋" w:hAnsi="仿宋" w:eastAsia="仿宋" w:cs="Times New Roman"/>
          <w:color w:val="000000" w:themeColor="text1"/>
          <w:highlight w:val="none"/>
          <w14:textFill>
            <w14:solidFill>
              <w14:schemeClr w14:val="tx1"/>
            </w14:solidFill>
          </w14:textFill>
        </w:rPr>
        <w:t>所，镇区规划小学共规划</w:t>
      </w:r>
      <w:r>
        <w:rPr>
          <w:rFonts w:ascii="仿宋" w:hAnsi="仿宋" w:eastAsia="仿宋" w:cs="Times New Roman"/>
          <w:color w:val="000000" w:themeColor="text1"/>
          <w:highlight w:val="none"/>
          <w14:textFill>
            <w14:solidFill>
              <w14:schemeClr w14:val="tx1"/>
            </w14:solidFill>
          </w14:textFill>
        </w:rPr>
        <w:t>21</w:t>
      </w:r>
      <w:r>
        <w:rPr>
          <w:rFonts w:hint="eastAsia" w:ascii="仿宋" w:hAnsi="仿宋" w:eastAsia="仿宋" w:cs="Times New Roman"/>
          <w:color w:val="000000" w:themeColor="text1"/>
          <w:highlight w:val="none"/>
          <w14:textFill>
            <w14:solidFill>
              <w14:schemeClr w14:val="tx1"/>
            </w14:solidFill>
          </w14:textFill>
        </w:rPr>
        <w:t>所。乡村规划</w:t>
      </w:r>
      <w:r>
        <w:rPr>
          <w:rFonts w:ascii="仿宋" w:hAnsi="仿宋" w:eastAsia="仿宋" w:cs="Times New Roman"/>
          <w:color w:val="000000" w:themeColor="text1"/>
          <w:highlight w:val="none"/>
          <w14:textFill>
            <w14:solidFill>
              <w14:schemeClr w14:val="tx1"/>
            </w14:solidFill>
          </w14:textFill>
        </w:rPr>
        <w:t>63</w:t>
      </w:r>
      <w:r>
        <w:rPr>
          <w:rFonts w:hint="eastAsia" w:ascii="仿宋" w:hAnsi="仿宋" w:eastAsia="仿宋" w:cs="Times New Roman"/>
          <w:color w:val="000000" w:themeColor="text1"/>
          <w:highlight w:val="none"/>
          <w14:textFill>
            <w14:solidFill>
              <w14:schemeClr w14:val="tx1"/>
            </w14:solidFill>
          </w14:textFill>
        </w:rPr>
        <w:t>所，共规划</w:t>
      </w:r>
      <w:r>
        <w:rPr>
          <w:rFonts w:ascii="仿宋" w:hAnsi="仿宋" w:eastAsia="仿宋" w:cs="Times New Roman"/>
          <w:color w:val="000000" w:themeColor="text1"/>
          <w:highlight w:val="none"/>
          <w14:textFill>
            <w14:solidFill>
              <w14:schemeClr w14:val="tx1"/>
            </w14:solidFill>
          </w14:textFill>
        </w:rPr>
        <w:t>108</w:t>
      </w:r>
      <w:r>
        <w:rPr>
          <w:rFonts w:hint="eastAsia" w:ascii="仿宋" w:hAnsi="仿宋" w:eastAsia="仿宋" w:cs="Times New Roman"/>
          <w:color w:val="000000" w:themeColor="text1"/>
          <w:highlight w:val="none"/>
          <w14:textFill>
            <w14:solidFill>
              <w14:schemeClr w14:val="tx1"/>
            </w14:solidFill>
          </w14:textFill>
        </w:rPr>
        <w:t>所。</w:t>
      </w:r>
    </w:p>
    <w:p>
      <w:pPr>
        <w:numPr>
          <w:ilvl w:val="0"/>
          <w:numId w:val="16"/>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文化设施规划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城区建设市级文化娱乐中心、图书室、博物馆等。镇区建立文化活动中心、图书馆分馆，积极改造现有设施。农村中心村和基层村建立文化活动室、图书室，不断丰富乡村文化娱乐活动。</w:t>
      </w:r>
    </w:p>
    <w:p>
      <w:pPr>
        <w:numPr>
          <w:ilvl w:val="0"/>
          <w:numId w:val="16"/>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体育设施规划</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城镇体育设施规划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城区设置市级体育设施</w:t>
      </w:r>
      <w:r>
        <w:rPr>
          <w:rFonts w:ascii="仿宋" w:hAnsi="仿宋" w:eastAsia="仿宋" w:cs="Times New Roman"/>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处，包括有综合体育场、恒温游泳馆、网球场、篮球场等运动场地，以及健身休闲广场、绿化、道路、停车场等其他功能配套设施。每个镇区建设</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处综合体育活动中心，全</w:t>
      </w:r>
      <w:r>
        <w:rPr>
          <w:rFonts w:hint="eastAsia" w:ascii="仿宋" w:hAnsi="仿宋" w:eastAsia="仿宋" w:cs="Times New Roman"/>
          <w:color w:val="000000" w:themeColor="text1"/>
          <w:highlight w:val="none"/>
          <w:lang w:val="en-US" w:eastAsia="zh-CN"/>
          <w14:textFill>
            <w14:solidFill>
              <w14:schemeClr w14:val="tx1"/>
            </w14:solidFill>
          </w14:textFill>
        </w:rPr>
        <w:t>民</w:t>
      </w:r>
      <w:bookmarkStart w:id="140" w:name="_GoBack"/>
      <w:bookmarkEnd w:id="140"/>
      <w:r>
        <w:rPr>
          <w:rFonts w:hint="eastAsia" w:ascii="仿宋" w:hAnsi="仿宋" w:eastAsia="仿宋" w:cs="Times New Roman"/>
          <w:color w:val="000000" w:themeColor="text1"/>
          <w:highlight w:val="none"/>
          <w14:textFill>
            <w14:solidFill>
              <w14:schemeClr w14:val="tx1"/>
            </w14:solidFill>
          </w14:textFill>
        </w:rPr>
        <w:t>健身设施</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处，可独立设置或者结合中学、小学设置。</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农村体育设施规划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规划在每个中心村设置</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处</w:t>
      </w:r>
      <w:r>
        <w:rPr>
          <w:rFonts w:ascii="仿宋" w:hAnsi="仿宋" w:eastAsia="仿宋" w:cs="Times New Roman"/>
          <w:color w:val="000000" w:themeColor="text1"/>
          <w:highlight w:val="none"/>
          <w14:textFill>
            <w14:solidFill>
              <w14:schemeClr w14:val="tx1"/>
            </w14:solidFill>
          </w14:textFill>
        </w:rPr>
        <w:t>900-1500</w:t>
      </w:r>
      <w:r>
        <w:rPr>
          <w:rFonts w:hint="eastAsia" w:ascii="仿宋" w:hAnsi="仿宋" w:eastAsia="仿宋" w:cs="Times New Roman"/>
          <w:color w:val="000000" w:themeColor="text1"/>
          <w:highlight w:val="none"/>
          <w14:textFill>
            <w14:solidFill>
              <w14:schemeClr w14:val="tx1"/>
            </w14:solidFill>
          </w14:textFill>
        </w:rPr>
        <w:t>平方米的室外体育活动场所，基层村设置</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处不少于</w:t>
      </w:r>
      <w:r>
        <w:rPr>
          <w:rFonts w:ascii="仿宋" w:hAnsi="仿宋" w:eastAsia="仿宋" w:cs="Times New Roman"/>
          <w:color w:val="000000" w:themeColor="text1"/>
          <w:highlight w:val="none"/>
          <w14:textFill>
            <w14:solidFill>
              <w14:schemeClr w14:val="tx1"/>
            </w14:solidFill>
          </w14:textFill>
        </w:rPr>
        <w:t>450</w:t>
      </w:r>
      <w:r>
        <w:rPr>
          <w:rFonts w:hint="eastAsia" w:ascii="仿宋" w:hAnsi="仿宋" w:eastAsia="仿宋" w:cs="Times New Roman"/>
          <w:color w:val="000000" w:themeColor="text1"/>
          <w:highlight w:val="none"/>
          <w14:textFill>
            <w14:solidFill>
              <w14:schemeClr w14:val="tx1"/>
            </w14:solidFill>
          </w14:textFill>
        </w:rPr>
        <w:t>平方米的室外体育活动场所，为农民提供全民健身设施。</w:t>
      </w:r>
    </w:p>
    <w:p>
      <w:pPr>
        <w:numPr>
          <w:ilvl w:val="0"/>
          <w:numId w:val="16"/>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医疗设施规划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bookmarkStart w:id="118" w:name="_Hlk86933360"/>
      <w:r>
        <w:rPr>
          <w:rFonts w:hint="eastAsia" w:ascii="仿宋" w:hAnsi="仿宋" w:eastAsia="仿宋" w:cs="Times New Roman"/>
          <w:color w:val="000000" w:themeColor="text1"/>
          <w:highlight w:val="none"/>
          <w14:textFill>
            <w14:solidFill>
              <w14:schemeClr w14:val="tx1"/>
            </w14:solidFill>
          </w14:textFill>
        </w:rPr>
        <w:t>城区规划保留现有综合医院</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所，专科医院</w:t>
      </w:r>
      <w:r>
        <w:rPr>
          <w:rFonts w:ascii="仿宋" w:hAnsi="仿宋" w:eastAsia="仿宋" w:cs="Times New Roman"/>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所，改建、扩建综合医院</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所，专科医院</w:t>
      </w:r>
      <w:r>
        <w:rPr>
          <w:rFonts w:ascii="仿宋" w:hAnsi="仿宋" w:eastAsia="仿宋" w:cs="Times New Roman"/>
          <w:color w:val="000000" w:themeColor="text1"/>
          <w:highlight w:val="none"/>
          <w14:textFill>
            <w14:solidFill>
              <w14:schemeClr w14:val="tx1"/>
            </w14:solidFill>
          </w14:textFill>
        </w:rPr>
        <w:t>2</w:t>
      </w:r>
      <w:r>
        <w:rPr>
          <w:rFonts w:hint="eastAsia" w:ascii="仿宋" w:hAnsi="仿宋" w:eastAsia="仿宋" w:cs="Times New Roman"/>
          <w:color w:val="000000" w:themeColor="text1"/>
          <w:highlight w:val="none"/>
          <w14:textFill>
            <w14:solidFill>
              <w14:schemeClr w14:val="tx1"/>
            </w14:solidFill>
          </w14:textFill>
        </w:rPr>
        <w:t>所，新增</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所综合医院。城镇卫生院需提高医疗卫生服务水平，建设甲等卫生院，中心村设置卫生服务中心。</w:t>
      </w:r>
    </w:p>
    <w:bookmarkEnd w:id="118"/>
    <w:p>
      <w:pPr>
        <w:numPr>
          <w:ilvl w:val="0"/>
          <w:numId w:val="16"/>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社会福利设施规划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区将市社会福利院扩建转型为失能半失能特困人员供养服务中心，扩建市阳光福利院，新增“医养结合”养老床位，在市东西两部各建一所区域性失能半失能特困人员供养服务中心。在应山、吴店、十里等地新建13座农村福利院。各中心村规划设置养老服务站。</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（2）中心城区公共设施规划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以建设“宜居城市”为目标，通过城市旧城更新、产业升级改造和重点地区的开发建设，构筑辐射市域、服务城区、方便居民就近使用的多节点多层级的公共服务设施网络，形成满足广大市民宜居、宜业需求导向的城市公共中心体系。</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公共中心结构体系</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公共中心的规划布局依托特区发展城市核心综合公共服务功能，同时结合重要交通、旅游及景观资源发展城市专业型公共服务功能，构筑</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市级－组团级－社区级</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三级城市中心体系，包含</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个市级公共服务中心、</w:t>
      </w:r>
      <w:r>
        <w:rPr>
          <w:rFonts w:ascii="仿宋" w:hAnsi="仿宋" w:eastAsia="仿宋" w:cs="Times New Roman"/>
          <w:color w:val="000000" w:themeColor="text1"/>
          <w:highlight w:val="none"/>
          <w14:textFill>
            <w14:solidFill>
              <w14:schemeClr w14:val="tx1"/>
            </w14:solidFill>
          </w14:textFill>
        </w:rPr>
        <w:t>5</w:t>
      </w:r>
      <w:r>
        <w:rPr>
          <w:rFonts w:hint="eastAsia" w:ascii="仿宋" w:hAnsi="仿宋" w:eastAsia="仿宋" w:cs="Times New Roman"/>
          <w:color w:val="000000" w:themeColor="text1"/>
          <w:highlight w:val="none"/>
          <w14:textFill>
            <w14:solidFill>
              <w14:schemeClr w14:val="tx1"/>
            </w14:solidFill>
          </w14:textFill>
        </w:rPr>
        <w:t>个组团中心和多个社区公共中心</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的多中心节点网络式多级城市中心体系。</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市级中心</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城市一级公共中心，包含一个市级中心，两个市级副中心。</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市级中心：应山老城公共服务中心，作为行政、文化、商业、商务综合服务中心。优先配置公共设施，强化生态廊道的建设，优化城市空间结构，遏制已经开始萌芽的</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摊大饼</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的空间发展模式。以广安路、西正街和东正街为主建设中心区，发展集办公、金融、购物、休闲于一体的综合商务区。</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2</w:t>
      </w:r>
      <w:r>
        <w:rPr>
          <w:rFonts w:hint="eastAsia" w:ascii="仿宋" w:hAnsi="仿宋" w:eastAsia="仿宋" w:cs="Times New Roman"/>
          <w:color w:val="000000" w:themeColor="text1"/>
          <w:highlight w:val="none"/>
          <w14:textFill>
            <w14:solidFill>
              <w14:schemeClr w14:val="tx1"/>
            </w14:solidFill>
          </w14:textFill>
        </w:rPr>
        <w:t>个市级副公共服务中心：包括广水老城区公共服务中心和马都司新城区域服务中心，</w:t>
      </w:r>
      <w:r>
        <w:rPr>
          <w:rFonts w:ascii="仿宋" w:hAnsi="仿宋" w:eastAsia="仿宋" w:cs="Times New Roman"/>
          <w:color w:val="000000" w:themeColor="text1"/>
          <w:highlight w:val="none"/>
          <w14:textFill>
            <w14:solidFill>
              <w14:schemeClr w14:val="tx1"/>
            </w14:solidFill>
          </w14:textFill>
        </w:rPr>
        <w:t xml:space="preserve"> </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马都司新城公共服务中心：马都司先期发展相应的商业、文体娱乐、医疗、教育等公共设施，后期依托环境资源优势提升生态型文化旅游产业为主导，</w:t>
      </w:r>
      <w:r>
        <w:rPr>
          <w:rFonts w:hint="eastAsia" w:ascii="仿宋" w:hAnsi="仿宋" w:eastAsia="仿宋" w:cs="Times New Roman"/>
          <w:color w:val="000000" w:themeColor="text1"/>
          <w:highlight w:val="none"/>
          <w:lang w:eastAsia="zh-CN"/>
          <w14:textFill>
            <w14:solidFill>
              <w14:schemeClr w14:val="tx1"/>
            </w14:solidFill>
          </w14:textFill>
        </w:rPr>
        <w:t>新兴技术</w:t>
      </w:r>
      <w:r>
        <w:rPr>
          <w:rFonts w:hint="eastAsia" w:ascii="仿宋" w:hAnsi="仿宋" w:eastAsia="仿宋" w:cs="Times New Roman"/>
          <w:color w:val="000000" w:themeColor="text1"/>
          <w:highlight w:val="none"/>
          <w14:textFill>
            <w14:solidFill>
              <w14:schemeClr w14:val="tx1"/>
            </w14:solidFill>
          </w14:textFill>
        </w:rPr>
        <w:t>产业、商务办公为辅的区域性职能，形成的服务周边区域的综合服务中心。</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老城公共服务中心：广水片区的行政、文化、商业、商务综合服务中心。优先完善生态环境建设，强化文化与旅游职能的发展。以武胜路、公园路和中山大道为主建设中心区，发展集旅游服务、文化娱乐、休闲购物于一体的综合服务区。</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组团中心</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城市二级公共中心，服务于城市组团或大型居住社区范围，提供综合配套服务的公共生活、商业服务中心，重点发展服务本组团、门类齐全的各类中小型公共设施。共形成</w:t>
      </w:r>
      <w:r>
        <w:rPr>
          <w:rFonts w:ascii="仿宋" w:hAnsi="仿宋" w:eastAsia="仿宋" w:cs="Times New Roman"/>
          <w:color w:val="000000" w:themeColor="text1"/>
          <w:highlight w:val="none"/>
          <w14:textFill>
            <w14:solidFill>
              <w14:schemeClr w14:val="tx1"/>
            </w14:solidFill>
          </w14:textFill>
        </w:rPr>
        <w:t>5</w:t>
      </w:r>
      <w:r>
        <w:rPr>
          <w:rFonts w:hint="eastAsia" w:ascii="仿宋" w:hAnsi="仿宋" w:eastAsia="仿宋" w:cs="Times New Roman"/>
          <w:color w:val="000000" w:themeColor="text1"/>
          <w:highlight w:val="none"/>
          <w14:textFill>
            <w14:solidFill>
              <w14:schemeClr w14:val="tx1"/>
            </w14:solidFill>
          </w14:textFill>
        </w:rPr>
        <w:t>个组团公共中心，承担相应的公共管理、商业、贸易及综合服务职能。</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社区中心</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城市最低等级公共服务中心，包括：教育、医疗卫生、文化体育、商业服务、金融邮电、社区服务、市政公用和行政管理及其他八类设施，方便居民日常使用，并满足服务半径的要求。</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机关团体用地规划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规划2035年机关团体用地6</w:t>
      </w:r>
      <w:r>
        <w:rPr>
          <w:rFonts w:hint="eastAsia" w:ascii="仿宋" w:hAnsi="仿宋" w:eastAsia="仿宋" w:cs="Times New Roman"/>
          <w:color w:val="000000" w:themeColor="text1"/>
          <w:highlight w:val="none"/>
          <w14:textFill>
            <w14:solidFill>
              <w14:schemeClr w14:val="tx1"/>
            </w14:solidFill>
          </w14:textFill>
        </w:rPr>
        <w:t>8</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22</w:t>
      </w:r>
      <w:r>
        <w:rPr>
          <w:rFonts w:ascii="仿宋" w:hAnsi="仿宋" w:eastAsia="仿宋" w:cs="Times New Roman"/>
          <w:color w:val="000000" w:themeColor="text1"/>
          <w:highlight w:val="none"/>
          <w14:textFill>
            <w14:solidFill>
              <w14:schemeClr w14:val="tx1"/>
            </w14:solidFill>
          </w14:textFill>
        </w:rPr>
        <w:t>公顷，占城</w:t>
      </w:r>
      <w:r>
        <w:rPr>
          <w:rFonts w:hint="eastAsia" w:ascii="仿宋" w:hAnsi="仿宋" w:eastAsia="仿宋" w:cs="Times New Roman"/>
          <w:color w:val="000000" w:themeColor="text1"/>
          <w:highlight w:val="none"/>
          <w14:textFill>
            <w14:solidFill>
              <w14:schemeClr w14:val="tx1"/>
            </w14:solidFill>
          </w14:textFill>
        </w:rPr>
        <w:t>镇</w:t>
      </w:r>
      <w:r>
        <w:rPr>
          <w:rFonts w:ascii="仿宋" w:hAnsi="仿宋" w:eastAsia="仿宋" w:cs="Times New Roman"/>
          <w:color w:val="000000" w:themeColor="text1"/>
          <w:highlight w:val="none"/>
          <w14:textFill>
            <w14:solidFill>
              <w14:schemeClr w14:val="tx1"/>
            </w14:solidFill>
          </w14:textFill>
        </w:rPr>
        <w:t>建设用地的1.</w:t>
      </w:r>
      <w:r>
        <w:rPr>
          <w:rFonts w:hint="eastAsia" w:ascii="仿宋" w:hAnsi="仿宋" w:eastAsia="仿宋" w:cs="Times New Roman"/>
          <w:color w:val="000000" w:themeColor="text1"/>
          <w:highlight w:val="none"/>
          <w14:textFill>
            <w14:solidFill>
              <w14:schemeClr w14:val="tx1"/>
            </w14:solidFill>
          </w14:textFill>
        </w:rPr>
        <w:t>07</w:t>
      </w:r>
      <w:r>
        <w:rPr>
          <w:rFonts w:ascii="仿宋" w:hAnsi="仿宋" w:eastAsia="仿宋" w:cs="Times New Roman"/>
          <w:color w:val="000000" w:themeColor="text1"/>
          <w:highlight w:val="none"/>
          <w14:textFill>
            <w14:solidFill>
              <w14:schemeClr w14:val="tx1"/>
            </w14:solidFill>
          </w14:textFill>
        </w:rPr>
        <w:t>%，人均建设面积1.</w:t>
      </w:r>
      <w:r>
        <w:rPr>
          <w:rFonts w:hint="eastAsia" w:ascii="仿宋" w:hAnsi="仿宋" w:eastAsia="仿宋" w:cs="Times New Roman"/>
          <w:color w:val="000000" w:themeColor="text1"/>
          <w:highlight w:val="none"/>
          <w14:textFill>
            <w14:solidFill>
              <w14:schemeClr w14:val="tx1"/>
            </w14:solidFill>
          </w14:textFill>
        </w:rPr>
        <w:t>52</w:t>
      </w:r>
      <w:r>
        <w:rPr>
          <w:rFonts w:ascii="仿宋" w:hAnsi="仿宋" w:eastAsia="仿宋" w:cs="Times New Roman"/>
          <w:color w:val="000000" w:themeColor="text1"/>
          <w:highlight w:val="none"/>
          <w14:textFill>
            <w14:solidFill>
              <w14:schemeClr w14:val="tx1"/>
            </w14:solidFill>
          </w14:textFill>
        </w:rPr>
        <w:t>平方米</w:t>
      </w:r>
      <w:r>
        <w:rPr>
          <w:rFonts w:hint="eastAsia" w:ascii="仿宋" w:hAnsi="仿宋" w:eastAsia="仿宋" w:cs="Times New Roman"/>
          <w:color w:val="000000" w:themeColor="text1"/>
          <w:highlight w:val="none"/>
          <w14:textFill>
            <w14:solidFill>
              <w14:schemeClr w14:val="tx1"/>
            </w14:solidFill>
          </w14:textFill>
        </w:rPr>
        <w:t>。</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行政办公配置市级行政办公和街（区）级行政办公两级设施。市级行政办公根据集中与分散相结合的原则，引导老城功能疏解，保留现状市政府办公中心，完善老城的行政办公用地布局，</w:t>
      </w:r>
      <w:r>
        <w:rPr>
          <w:rFonts w:hint="eastAsia" w:ascii="仿宋" w:hAnsi="仿宋" w:eastAsia="仿宋" w:cs="Times New Roman"/>
          <w:b/>
          <w:bCs/>
          <w:color w:val="000000" w:themeColor="text1"/>
          <w:highlight w:val="none"/>
          <w14:textFill>
            <w14:solidFill>
              <w14:schemeClr w14:val="tx1"/>
            </w14:solidFill>
          </w14:textFill>
        </w:rPr>
        <w:t>将办公条件较差、分布较分散的行政办公机构向马都司新城的公共服务中心迁移，形成中心城区新的行政中心。</w:t>
      </w:r>
      <w:r>
        <w:rPr>
          <w:rFonts w:hint="eastAsia" w:ascii="仿宋" w:hAnsi="仿宋" w:eastAsia="仿宋" w:cs="Times New Roman"/>
          <w:color w:val="000000" w:themeColor="text1"/>
          <w:highlight w:val="none"/>
          <w14:textFill>
            <w14:solidFill>
              <w14:schemeClr w14:val="tx1"/>
            </w14:solidFill>
          </w14:textFill>
        </w:rPr>
        <w:t>街（区）级行政办公用地，主要设置服务于各街道、广水经济开发区内部的行政办公机构与部门，原则上以原址改造、扩建为主，可兼容部分商业、绿地公园等功能，提高使用效率。</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文化设施规划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规划2035年文化用地</w:t>
      </w:r>
      <w:r>
        <w:rPr>
          <w:rFonts w:hint="eastAsia" w:ascii="仿宋" w:hAnsi="仿宋" w:eastAsia="仿宋" w:cs="Times New Roman"/>
          <w:color w:val="000000" w:themeColor="text1"/>
          <w:highlight w:val="none"/>
          <w14:textFill>
            <w14:solidFill>
              <w14:schemeClr w14:val="tx1"/>
            </w14:solidFill>
          </w14:textFill>
        </w:rPr>
        <w:t>32.49</w:t>
      </w:r>
      <w:r>
        <w:rPr>
          <w:rFonts w:ascii="仿宋" w:hAnsi="仿宋" w:eastAsia="仿宋" w:cs="Times New Roman"/>
          <w:color w:val="000000" w:themeColor="text1"/>
          <w:highlight w:val="none"/>
          <w14:textFill>
            <w14:solidFill>
              <w14:schemeClr w14:val="tx1"/>
            </w14:solidFill>
          </w14:textFill>
        </w:rPr>
        <w:t>公顷，占城市建设用地的0.</w:t>
      </w:r>
      <w:r>
        <w:rPr>
          <w:rFonts w:hint="eastAsia" w:ascii="仿宋" w:hAnsi="仿宋" w:eastAsia="仿宋" w:cs="Times New Roman"/>
          <w:color w:val="000000" w:themeColor="text1"/>
          <w:highlight w:val="none"/>
          <w14:textFill>
            <w14:solidFill>
              <w14:schemeClr w14:val="tx1"/>
            </w14:solidFill>
          </w14:textFill>
        </w:rPr>
        <w:t>51</w:t>
      </w:r>
      <w:r>
        <w:rPr>
          <w:rFonts w:ascii="仿宋" w:hAnsi="仿宋" w:eastAsia="仿宋" w:cs="Times New Roman"/>
          <w:color w:val="000000" w:themeColor="text1"/>
          <w:highlight w:val="none"/>
          <w14:textFill>
            <w14:solidFill>
              <w14:schemeClr w14:val="tx1"/>
            </w14:solidFill>
          </w14:textFill>
        </w:rPr>
        <w:t>%，人均建设面积0.</w:t>
      </w:r>
      <w:r>
        <w:rPr>
          <w:rFonts w:hint="eastAsia" w:ascii="仿宋" w:hAnsi="仿宋" w:eastAsia="仿宋" w:cs="Times New Roman"/>
          <w:color w:val="000000" w:themeColor="text1"/>
          <w:highlight w:val="none"/>
          <w14:textFill>
            <w14:solidFill>
              <w14:schemeClr w14:val="tx1"/>
            </w14:solidFill>
          </w14:textFill>
        </w:rPr>
        <w:t>72</w:t>
      </w:r>
      <w:r>
        <w:rPr>
          <w:rFonts w:ascii="仿宋" w:hAnsi="仿宋" w:eastAsia="仿宋" w:cs="Times New Roman"/>
          <w:color w:val="000000" w:themeColor="text1"/>
          <w:highlight w:val="none"/>
          <w14:textFill>
            <w14:solidFill>
              <w14:schemeClr w14:val="tx1"/>
            </w14:solidFill>
          </w14:textFill>
        </w:rPr>
        <w:t>平方米</w:t>
      </w:r>
      <w:r>
        <w:rPr>
          <w:rFonts w:hint="eastAsia" w:ascii="仿宋" w:hAnsi="仿宋" w:eastAsia="仿宋" w:cs="Times New Roman"/>
          <w:color w:val="000000" w:themeColor="text1"/>
          <w:highlight w:val="none"/>
          <w14:textFill>
            <w14:solidFill>
              <w14:schemeClr w14:val="tx1"/>
            </w14:solidFill>
          </w14:textFill>
        </w:rPr>
        <w:t>。</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文化设施按</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城市级</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组团级</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社区级</w:t>
      </w:r>
      <w:r>
        <w:rPr>
          <w:rFonts w:ascii="仿宋" w:hAnsi="仿宋" w:eastAsia="仿宋" w:cs="Times New Roman"/>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级配套。城市级文化设施用地：主要承担全市性文化娱乐、艺术展览、休闲游览等功能，包括博物馆、图书馆、文化馆、档案馆等文化设施。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组团级文化用地：在城市</w:t>
      </w:r>
      <w:r>
        <w:rPr>
          <w:rFonts w:ascii="仿宋" w:hAnsi="仿宋" w:eastAsia="仿宋" w:cs="Times New Roman"/>
          <w:color w:val="000000" w:themeColor="text1"/>
          <w:highlight w:val="none"/>
          <w14:textFill>
            <w14:solidFill>
              <w14:schemeClr w14:val="tx1"/>
            </w14:solidFill>
          </w14:textFill>
        </w:rPr>
        <w:t>9</w:t>
      </w:r>
      <w:r>
        <w:rPr>
          <w:rFonts w:hint="eastAsia" w:ascii="仿宋" w:hAnsi="仿宋" w:eastAsia="仿宋" w:cs="Times New Roman"/>
          <w:color w:val="000000" w:themeColor="text1"/>
          <w:highlight w:val="none"/>
          <w14:textFill>
            <w14:solidFill>
              <w14:schemeClr w14:val="tx1"/>
            </w14:solidFill>
          </w14:textFill>
        </w:rPr>
        <w:t>个功能组团内配套建设相应的中、小型文化娱乐设施（包括文化站、图书室、小型活动中心等），缩小其服务半径，满足居民日常文化娱乐生活的需要。</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社区级文化娱乐服务设施结合居住社区规划进行配置，主要为文化活动站、老年人活动室、读书角等，以满足市民日常文化娱乐需求。</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体育设施规划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规划2035年体育用地2</w:t>
      </w:r>
      <w:r>
        <w:rPr>
          <w:rFonts w:hint="eastAsia" w:ascii="仿宋" w:hAnsi="仿宋" w:eastAsia="仿宋" w:cs="Times New Roman"/>
          <w:color w:val="000000" w:themeColor="text1"/>
          <w:highlight w:val="none"/>
          <w14:textFill>
            <w14:solidFill>
              <w14:schemeClr w14:val="tx1"/>
            </w14:solidFill>
          </w14:textFill>
        </w:rPr>
        <w:t>2.87</w:t>
      </w:r>
      <w:r>
        <w:rPr>
          <w:rFonts w:ascii="仿宋" w:hAnsi="仿宋" w:eastAsia="仿宋" w:cs="Times New Roman"/>
          <w:color w:val="000000" w:themeColor="text1"/>
          <w:highlight w:val="none"/>
          <w14:textFill>
            <w14:solidFill>
              <w14:schemeClr w14:val="tx1"/>
            </w14:solidFill>
          </w14:textFill>
        </w:rPr>
        <w:t>公顷，占城</w:t>
      </w:r>
      <w:r>
        <w:rPr>
          <w:rFonts w:hint="eastAsia" w:ascii="仿宋" w:hAnsi="仿宋" w:eastAsia="仿宋" w:cs="Times New Roman"/>
          <w:color w:val="000000" w:themeColor="text1"/>
          <w:highlight w:val="none"/>
          <w14:textFill>
            <w14:solidFill>
              <w14:schemeClr w14:val="tx1"/>
            </w14:solidFill>
          </w14:textFill>
        </w:rPr>
        <w:t>镇</w:t>
      </w:r>
      <w:r>
        <w:rPr>
          <w:rFonts w:ascii="仿宋" w:hAnsi="仿宋" w:eastAsia="仿宋" w:cs="Times New Roman"/>
          <w:color w:val="000000" w:themeColor="text1"/>
          <w:highlight w:val="none"/>
          <w14:textFill>
            <w14:solidFill>
              <w14:schemeClr w14:val="tx1"/>
            </w14:solidFill>
          </w14:textFill>
        </w:rPr>
        <w:t>建设用地的0.</w:t>
      </w:r>
      <w:r>
        <w:rPr>
          <w:rFonts w:hint="eastAsia" w:ascii="仿宋" w:hAnsi="仿宋" w:eastAsia="仿宋" w:cs="Times New Roman"/>
          <w:color w:val="000000" w:themeColor="text1"/>
          <w:highlight w:val="none"/>
          <w14:textFill>
            <w14:solidFill>
              <w14:schemeClr w14:val="tx1"/>
            </w14:solidFill>
          </w14:textFill>
        </w:rPr>
        <w:t>36</w:t>
      </w:r>
      <w:r>
        <w:rPr>
          <w:rFonts w:ascii="仿宋" w:hAnsi="仿宋" w:eastAsia="仿宋" w:cs="Times New Roman"/>
          <w:color w:val="000000" w:themeColor="text1"/>
          <w:highlight w:val="none"/>
          <w14:textFill>
            <w14:solidFill>
              <w14:schemeClr w14:val="tx1"/>
            </w14:solidFill>
          </w14:textFill>
        </w:rPr>
        <w:t>%，人均建设面积0.</w:t>
      </w:r>
      <w:r>
        <w:rPr>
          <w:rFonts w:hint="eastAsia" w:ascii="仿宋" w:hAnsi="仿宋" w:eastAsia="仿宋" w:cs="Times New Roman"/>
          <w:color w:val="000000" w:themeColor="text1"/>
          <w:highlight w:val="none"/>
          <w14:textFill>
            <w14:solidFill>
              <w14:schemeClr w14:val="tx1"/>
            </w14:solidFill>
          </w14:textFill>
        </w:rPr>
        <w:t>51</w:t>
      </w:r>
      <w:r>
        <w:rPr>
          <w:rFonts w:ascii="仿宋" w:hAnsi="仿宋" w:eastAsia="仿宋" w:cs="Times New Roman"/>
          <w:color w:val="000000" w:themeColor="text1"/>
          <w:highlight w:val="none"/>
          <w14:textFill>
            <w14:solidFill>
              <w14:schemeClr w14:val="tx1"/>
            </w14:solidFill>
          </w14:textFill>
        </w:rPr>
        <w:t>平方米</w:t>
      </w:r>
      <w:r>
        <w:rPr>
          <w:rFonts w:hint="eastAsia" w:ascii="仿宋" w:hAnsi="仿宋" w:eastAsia="仿宋" w:cs="Times New Roman"/>
          <w:color w:val="000000" w:themeColor="text1"/>
          <w:highlight w:val="none"/>
          <w14:textFill>
            <w14:solidFill>
              <w14:schemeClr w14:val="tx1"/>
            </w14:solidFill>
          </w14:textFill>
        </w:rPr>
        <w:t>。</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规划新建应山片区体育中心、马都司体育中心、广水片区体育中心</w:t>
      </w:r>
      <w:r>
        <w:rPr>
          <w:rFonts w:ascii="仿宋" w:hAnsi="仿宋" w:eastAsia="仿宋" w:cs="Times New Roman"/>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个市级体育中心，在体育中心内规划建设体育场、网球场、篮球场、训练馆、游泳馆等运动场地。</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城市新建、改建、扩建的住宅区，按每千人口室外</w:t>
      </w:r>
      <w:r>
        <w:rPr>
          <w:rFonts w:ascii="仿宋" w:hAnsi="仿宋" w:eastAsia="仿宋" w:cs="Times New Roman"/>
          <w:color w:val="000000" w:themeColor="text1"/>
          <w:highlight w:val="none"/>
          <w14:textFill>
            <w14:solidFill>
              <w14:schemeClr w14:val="tx1"/>
            </w14:solidFill>
          </w14:textFill>
        </w:rPr>
        <w:t>300-650</w:t>
      </w:r>
      <w:r>
        <w:rPr>
          <w:rFonts w:hint="eastAsia" w:ascii="仿宋" w:hAnsi="仿宋" w:eastAsia="仿宋" w:cs="Times New Roman"/>
          <w:color w:val="000000" w:themeColor="text1"/>
          <w:highlight w:val="none"/>
          <w14:textFill>
            <w14:solidFill>
              <w14:schemeClr w14:val="tx1"/>
            </w14:solidFill>
          </w14:textFill>
        </w:rPr>
        <w:t>平方米体育设施用地面积和室内</w:t>
      </w:r>
      <w:r>
        <w:rPr>
          <w:rFonts w:ascii="仿宋" w:hAnsi="仿宋" w:eastAsia="仿宋" w:cs="Times New Roman"/>
          <w:color w:val="000000" w:themeColor="text1"/>
          <w:highlight w:val="none"/>
          <w14:textFill>
            <w14:solidFill>
              <w14:schemeClr w14:val="tx1"/>
            </w14:solidFill>
          </w14:textFill>
        </w:rPr>
        <w:t>100-260</w:t>
      </w:r>
      <w:r>
        <w:rPr>
          <w:rFonts w:hint="eastAsia" w:ascii="仿宋" w:hAnsi="仿宋" w:eastAsia="仿宋" w:cs="Times New Roman"/>
          <w:color w:val="000000" w:themeColor="text1"/>
          <w:highlight w:val="none"/>
          <w14:textFill>
            <w14:solidFill>
              <w14:schemeClr w14:val="tx1"/>
            </w14:solidFill>
          </w14:textFill>
        </w:rPr>
        <w:t>平方米体育设施建筑面积配置。旧城区改建、扩建困难地段的住宅区，应考虑安排体育设施，体育设施用地努力达到上述指标的</w:t>
      </w:r>
      <w:r>
        <w:rPr>
          <w:rFonts w:ascii="仿宋" w:hAnsi="仿宋" w:eastAsia="仿宋" w:cs="Times New Roman"/>
          <w:color w:val="000000" w:themeColor="text1"/>
          <w:highlight w:val="none"/>
          <w14:textFill>
            <w14:solidFill>
              <w14:schemeClr w14:val="tx1"/>
            </w14:solidFill>
          </w14:textFill>
        </w:rPr>
        <w:t>70%</w:t>
      </w:r>
      <w:r>
        <w:rPr>
          <w:rFonts w:hint="eastAsia" w:ascii="仿宋" w:hAnsi="仿宋" w:eastAsia="仿宋" w:cs="Times New Roman"/>
          <w:color w:val="000000" w:themeColor="text1"/>
          <w:highlight w:val="none"/>
          <w14:textFill>
            <w14:solidFill>
              <w14:schemeClr w14:val="tx1"/>
            </w14:solidFill>
          </w14:textFill>
        </w:rPr>
        <w:t>。各级机关、学校、企事业单位应根据各自情况，配建全民健身活动室和其他体育设施。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依托市区印台山公园、人民公园、霞家河公园、中心公园及周边公共绿地建设全民健身中心，供市民健身和休闲使用，并结合学校规划建设健身基地。依托城市片区绿地、社区公园、居住小区庭院等建设多层次居民健身基地。</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医疗卫生设施规划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规划2035年医疗卫生用地</w:t>
      </w:r>
      <w:r>
        <w:rPr>
          <w:rFonts w:hint="eastAsia" w:ascii="仿宋" w:hAnsi="仿宋" w:eastAsia="仿宋" w:cs="Times New Roman"/>
          <w:color w:val="000000" w:themeColor="text1"/>
          <w:highlight w:val="none"/>
          <w14:textFill>
            <w14:solidFill>
              <w14:schemeClr w14:val="tx1"/>
            </w14:solidFill>
          </w14:textFill>
        </w:rPr>
        <w:t>41.89</w:t>
      </w:r>
      <w:r>
        <w:rPr>
          <w:rFonts w:ascii="仿宋" w:hAnsi="仿宋" w:eastAsia="仿宋" w:cs="Times New Roman"/>
          <w:color w:val="000000" w:themeColor="text1"/>
          <w:highlight w:val="none"/>
          <w14:textFill>
            <w14:solidFill>
              <w14:schemeClr w14:val="tx1"/>
            </w14:solidFill>
          </w14:textFill>
        </w:rPr>
        <w:t>公顷，占城市建设用地的0.</w:t>
      </w:r>
      <w:r>
        <w:rPr>
          <w:rFonts w:hint="eastAsia" w:ascii="仿宋" w:hAnsi="仿宋" w:eastAsia="仿宋" w:cs="Times New Roman"/>
          <w:color w:val="000000" w:themeColor="text1"/>
          <w:highlight w:val="none"/>
          <w14:textFill>
            <w14:solidFill>
              <w14:schemeClr w14:val="tx1"/>
            </w14:solidFill>
          </w14:textFill>
        </w:rPr>
        <w:t>66</w:t>
      </w:r>
      <w:r>
        <w:rPr>
          <w:rFonts w:ascii="仿宋" w:hAnsi="仿宋" w:eastAsia="仿宋" w:cs="Times New Roman"/>
          <w:color w:val="000000" w:themeColor="text1"/>
          <w:highlight w:val="none"/>
          <w14:textFill>
            <w14:solidFill>
              <w14:schemeClr w14:val="tx1"/>
            </w14:solidFill>
          </w14:textFill>
        </w:rPr>
        <w:t>%，人均建设面积0.</w:t>
      </w:r>
      <w:r>
        <w:rPr>
          <w:rFonts w:hint="eastAsia" w:ascii="仿宋" w:hAnsi="仿宋" w:eastAsia="仿宋" w:cs="Times New Roman"/>
          <w:color w:val="000000" w:themeColor="text1"/>
          <w:highlight w:val="none"/>
          <w14:textFill>
            <w14:solidFill>
              <w14:schemeClr w14:val="tx1"/>
            </w14:solidFill>
          </w14:textFill>
        </w:rPr>
        <w:t>93</w:t>
      </w:r>
      <w:r>
        <w:rPr>
          <w:rFonts w:ascii="仿宋" w:hAnsi="仿宋" w:eastAsia="仿宋" w:cs="Times New Roman"/>
          <w:color w:val="000000" w:themeColor="text1"/>
          <w:highlight w:val="none"/>
          <w14:textFill>
            <w14:solidFill>
              <w14:schemeClr w14:val="tx1"/>
            </w14:solidFill>
          </w14:textFill>
        </w:rPr>
        <w:t>平方米</w:t>
      </w:r>
      <w:r>
        <w:rPr>
          <w:rFonts w:hint="eastAsia" w:ascii="仿宋" w:hAnsi="仿宋" w:eastAsia="仿宋" w:cs="Times New Roman"/>
          <w:color w:val="000000" w:themeColor="text1"/>
          <w:highlight w:val="none"/>
          <w14:textFill>
            <w14:solidFill>
              <w14:schemeClr w14:val="tx1"/>
            </w14:solidFill>
          </w14:textFill>
        </w:rPr>
        <w:t>。</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规划保留现有3所综合医院，6所专科医院和2所社区医院，鼓励综合医院在老城区以外的新区布置，在马都司片区设置综合医院一座，提升中心城区医疗卫生设施的覆盖面积和服务水平。按照街道办事处所辖范围或</w:t>
      </w:r>
      <w:r>
        <w:rPr>
          <w:rFonts w:hint="eastAsia" w:ascii="仿宋" w:hAnsi="仿宋" w:eastAsia="仿宋" w:cs="Times New Roman"/>
          <w:color w:val="000000" w:themeColor="text1"/>
          <w:highlight w:val="none"/>
          <w:lang w:eastAsia="zh-CN"/>
          <w14:textFill>
            <w14:solidFill>
              <w14:schemeClr w14:val="tx1"/>
            </w14:solidFill>
          </w14:textFill>
        </w:rPr>
        <w:t>2万-8万</w:t>
      </w:r>
      <w:r>
        <w:rPr>
          <w:rFonts w:hint="eastAsia" w:ascii="仿宋" w:hAnsi="仿宋" w:eastAsia="仿宋" w:cs="Times New Roman"/>
          <w:color w:val="000000" w:themeColor="text1"/>
          <w:highlight w:val="none"/>
          <w14:textFill>
            <w14:solidFill>
              <w14:schemeClr w14:val="tx1"/>
            </w14:solidFill>
          </w14:textFill>
        </w:rPr>
        <w:t>人规划设置1所社区卫生服务中心，在各居住区、居住小区设立相应的社区门诊所、保健站等。未来积极培育社区卫生服务体系，完善社区卫生服务站设施，基本形成</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综合医院</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专科医院</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社区卫生服务站</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的三级医疗卫生体系。</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教育科研设施规划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规划2035年教育用地1</w:t>
      </w:r>
      <w:r>
        <w:rPr>
          <w:rFonts w:hint="eastAsia" w:ascii="仿宋" w:hAnsi="仿宋" w:eastAsia="仿宋" w:cs="Times New Roman"/>
          <w:color w:val="000000" w:themeColor="text1"/>
          <w:highlight w:val="none"/>
          <w14:textFill>
            <w14:solidFill>
              <w14:schemeClr w14:val="tx1"/>
            </w14:solidFill>
          </w14:textFill>
        </w:rPr>
        <w:t>70.34</w:t>
      </w:r>
      <w:r>
        <w:rPr>
          <w:rFonts w:ascii="仿宋" w:hAnsi="仿宋" w:eastAsia="仿宋" w:cs="Times New Roman"/>
          <w:color w:val="000000" w:themeColor="text1"/>
          <w:highlight w:val="none"/>
          <w14:textFill>
            <w14:solidFill>
              <w14:schemeClr w14:val="tx1"/>
            </w14:solidFill>
          </w14:textFill>
        </w:rPr>
        <w:t>公顷，占城</w:t>
      </w:r>
      <w:r>
        <w:rPr>
          <w:rFonts w:hint="eastAsia" w:ascii="仿宋" w:hAnsi="仿宋" w:eastAsia="仿宋" w:cs="Times New Roman"/>
          <w:color w:val="000000" w:themeColor="text1"/>
          <w:highlight w:val="none"/>
          <w14:textFill>
            <w14:solidFill>
              <w14:schemeClr w14:val="tx1"/>
            </w14:solidFill>
          </w14:textFill>
        </w:rPr>
        <w:t>镇</w:t>
      </w:r>
      <w:r>
        <w:rPr>
          <w:rFonts w:ascii="仿宋" w:hAnsi="仿宋" w:eastAsia="仿宋" w:cs="Times New Roman"/>
          <w:color w:val="000000" w:themeColor="text1"/>
          <w:highlight w:val="none"/>
          <w14:textFill>
            <w14:solidFill>
              <w14:schemeClr w14:val="tx1"/>
            </w14:solidFill>
          </w14:textFill>
        </w:rPr>
        <w:t>建设用地的</w:t>
      </w:r>
      <w:r>
        <w:rPr>
          <w:rFonts w:hint="eastAsia" w:ascii="仿宋" w:hAnsi="仿宋" w:eastAsia="仿宋" w:cs="Times New Roman"/>
          <w:color w:val="000000" w:themeColor="text1"/>
          <w:highlight w:val="none"/>
          <w14:textFill>
            <w14:solidFill>
              <w14:schemeClr w14:val="tx1"/>
            </w14:solidFill>
          </w14:textFill>
        </w:rPr>
        <w:t>2.66</w:t>
      </w:r>
      <w:r>
        <w:rPr>
          <w:rFonts w:ascii="仿宋" w:hAnsi="仿宋" w:eastAsia="仿宋" w:cs="Times New Roman"/>
          <w:color w:val="000000" w:themeColor="text1"/>
          <w:highlight w:val="none"/>
          <w14:textFill>
            <w14:solidFill>
              <w14:schemeClr w14:val="tx1"/>
            </w14:solidFill>
          </w14:textFill>
        </w:rPr>
        <w:t>%，人均建设面积3.</w:t>
      </w:r>
      <w:r>
        <w:rPr>
          <w:rFonts w:hint="eastAsia" w:ascii="仿宋" w:hAnsi="仿宋" w:eastAsia="仿宋" w:cs="Times New Roman"/>
          <w:color w:val="000000" w:themeColor="text1"/>
          <w:highlight w:val="none"/>
          <w14:textFill>
            <w14:solidFill>
              <w14:schemeClr w14:val="tx1"/>
            </w14:solidFill>
          </w14:textFill>
        </w:rPr>
        <w:t>78</w:t>
      </w:r>
      <w:r>
        <w:rPr>
          <w:rFonts w:ascii="仿宋" w:hAnsi="仿宋" w:eastAsia="仿宋" w:cs="Times New Roman"/>
          <w:color w:val="000000" w:themeColor="text1"/>
          <w:highlight w:val="none"/>
          <w14:textFill>
            <w14:solidFill>
              <w14:schemeClr w14:val="tx1"/>
            </w14:solidFill>
          </w14:textFill>
        </w:rPr>
        <w:t>平方米</w:t>
      </w:r>
      <w:r>
        <w:rPr>
          <w:rFonts w:hint="eastAsia" w:ascii="仿宋" w:hAnsi="仿宋" w:eastAsia="仿宋" w:cs="Times New Roman"/>
          <w:color w:val="000000" w:themeColor="text1"/>
          <w:highlight w:val="none"/>
          <w14:textFill>
            <w14:solidFill>
              <w14:schemeClr w14:val="tx1"/>
            </w14:solidFill>
          </w14:textFill>
        </w:rPr>
        <w:t>。</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规划保留学校16所，扩建学校11处，新建学校20所，包含1个党校，1个市职教中心和一个技校。规划高级中学</w:t>
      </w:r>
      <w:r>
        <w:rPr>
          <w:rFonts w:ascii="仿宋" w:hAnsi="仿宋" w:eastAsia="仿宋" w:cs="Times New Roman"/>
          <w:color w:val="000000" w:themeColor="text1"/>
          <w:highlight w:val="none"/>
          <w14:textFill>
            <w14:solidFill>
              <w14:schemeClr w14:val="tx1"/>
            </w14:solidFill>
          </w14:textFill>
        </w:rPr>
        <w:t>7</w:t>
      </w:r>
      <w:r>
        <w:rPr>
          <w:rFonts w:hint="eastAsia" w:ascii="仿宋" w:hAnsi="仿宋" w:eastAsia="仿宋" w:cs="Times New Roman"/>
          <w:color w:val="000000" w:themeColor="text1"/>
          <w:highlight w:val="none"/>
          <w14:textFill>
            <w14:solidFill>
              <w14:schemeClr w14:val="tx1"/>
            </w14:solidFill>
          </w14:textFill>
        </w:rPr>
        <w:t>所。其中，保留广水第一高中、第二高中、实验高中、益众高中、文华高中</w:t>
      </w:r>
      <w:r>
        <w:rPr>
          <w:rFonts w:ascii="仿宋" w:hAnsi="仿宋" w:eastAsia="仿宋" w:cs="Times New Roman"/>
          <w:color w:val="000000" w:themeColor="text1"/>
          <w:highlight w:val="none"/>
          <w14:textFill>
            <w14:solidFill>
              <w14:schemeClr w14:val="tx1"/>
            </w14:solidFill>
          </w14:textFill>
        </w:rPr>
        <w:t>5</w:t>
      </w:r>
      <w:r>
        <w:rPr>
          <w:rFonts w:hint="eastAsia" w:ascii="仿宋" w:hAnsi="仿宋" w:eastAsia="仿宋" w:cs="Times New Roman"/>
          <w:color w:val="000000" w:themeColor="text1"/>
          <w:highlight w:val="none"/>
          <w14:textFill>
            <w14:solidFill>
              <w14:schemeClr w14:val="tx1"/>
            </w14:solidFill>
          </w14:textFill>
        </w:rPr>
        <w:t>所高级中学，扩建育才高级中学，新建马都司高级中学</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所，按照</w:t>
      </w:r>
      <w:r>
        <w:rPr>
          <w:rFonts w:ascii="仿宋" w:hAnsi="仿宋" w:eastAsia="仿宋" w:cs="Times New Roman"/>
          <w:color w:val="000000" w:themeColor="text1"/>
          <w:highlight w:val="none"/>
          <w14:textFill>
            <w14:solidFill>
              <w14:schemeClr w14:val="tx1"/>
            </w14:solidFill>
          </w14:textFill>
        </w:rPr>
        <w:t>54</w:t>
      </w:r>
      <w:r>
        <w:rPr>
          <w:rFonts w:hint="eastAsia" w:ascii="仿宋" w:hAnsi="仿宋" w:eastAsia="仿宋" w:cs="Times New Roman"/>
          <w:color w:val="000000" w:themeColor="text1"/>
          <w:highlight w:val="none"/>
          <w14:textFill>
            <w14:solidFill>
              <w14:schemeClr w14:val="tx1"/>
            </w14:solidFill>
          </w14:textFill>
        </w:rPr>
        <w:t>班标准设置。规划初级中学12所，九年一贯制学校9所，小学17所。中学服务半径基本达到</w:t>
      </w:r>
      <w:r>
        <w:rPr>
          <w:rFonts w:ascii="仿宋" w:hAnsi="仿宋" w:eastAsia="仿宋" w:cs="Times New Roman"/>
          <w:color w:val="000000" w:themeColor="text1"/>
          <w:highlight w:val="none"/>
          <w14:textFill>
            <w14:solidFill>
              <w14:schemeClr w14:val="tx1"/>
            </w14:solidFill>
          </w14:textFill>
        </w:rPr>
        <w:t>1000</w:t>
      </w:r>
      <w:r>
        <w:rPr>
          <w:rFonts w:hint="eastAsia" w:ascii="仿宋" w:hAnsi="仿宋" w:eastAsia="仿宋" w:cs="Times New Roman"/>
          <w:color w:val="000000" w:themeColor="text1"/>
          <w:highlight w:val="none"/>
          <w14:textFill>
            <w14:solidFill>
              <w14:schemeClr w14:val="tx1"/>
            </w14:solidFill>
          </w14:textFill>
        </w:rPr>
        <w:t>米、小学服务半径基本达到</w:t>
      </w:r>
      <w:r>
        <w:rPr>
          <w:rFonts w:ascii="仿宋" w:hAnsi="仿宋" w:eastAsia="仿宋" w:cs="Times New Roman"/>
          <w:color w:val="000000" w:themeColor="text1"/>
          <w:highlight w:val="none"/>
          <w14:textFill>
            <w14:solidFill>
              <w14:schemeClr w14:val="tx1"/>
            </w14:solidFill>
          </w14:textFill>
        </w:rPr>
        <w:t>500</w:t>
      </w:r>
      <w:r>
        <w:rPr>
          <w:rFonts w:hint="eastAsia" w:ascii="仿宋" w:hAnsi="仿宋" w:eastAsia="仿宋" w:cs="Times New Roman"/>
          <w:color w:val="000000" w:themeColor="text1"/>
          <w:highlight w:val="none"/>
          <w14:textFill>
            <w14:solidFill>
              <w14:schemeClr w14:val="tx1"/>
            </w14:solidFill>
          </w14:textFill>
        </w:rPr>
        <w:t>米，满足城区学生就近上学的需求，保障学生上下学途中交通安全。</w:t>
      </w:r>
    </w:p>
    <w:p>
      <w:pPr>
        <w:numPr>
          <w:ilvl w:val="0"/>
          <w:numId w:val="17"/>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社会福利设施规划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规划2035年社会福利用地</w:t>
      </w:r>
      <w:r>
        <w:rPr>
          <w:rFonts w:hint="eastAsia" w:ascii="仿宋" w:hAnsi="仿宋" w:eastAsia="仿宋" w:cs="Times New Roman"/>
          <w:color w:val="000000" w:themeColor="text1"/>
          <w:highlight w:val="none"/>
          <w14:textFill>
            <w14:solidFill>
              <w14:schemeClr w14:val="tx1"/>
            </w14:solidFill>
          </w14:textFill>
        </w:rPr>
        <w:t>16.46</w:t>
      </w:r>
      <w:r>
        <w:rPr>
          <w:rFonts w:ascii="仿宋" w:hAnsi="仿宋" w:eastAsia="仿宋" w:cs="Times New Roman"/>
          <w:color w:val="000000" w:themeColor="text1"/>
          <w:highlight w:val="none"/>
          <w14:textFill>
            <w14:solidFill>
              <w14:schemeClr w14:val="tx1"/>
            </w14:solidFill>
          </w14:textFill>
        </w:rPr>
        <w:t>公顷，占城市建设用地的0.</w:t>
      </w:r>
      <w:r>
        <w:rPr>
          <w:rFonts w:hint="eastAsia" w:ascii="仿宋" w:hAnsi="仿宋" w:eastAsia="仿宋" w:cs="Times New Roman"/>
          <w:color w:val="000000" w:themeColor="text1"/>
          <w:highlight w:val="none"/>
          <w14:textFill>
            <w14:solidFill>
              <w14:schemeClr w14:val="tx1"/>
            </w14:solidFill>
          </w14:textFill>
        </w:rPr>
        <w:t>26</w:t>
      </w:r>
      <w:r>
        <w:rPr>
          <w:rFonts w:ascii="仿宋" w:hAnsi="仿宋" w:eastAsia="仿宋" w:cs="Times New Roman"/>
          <w:color w:val="000000" w:themeColor="text1"/>
          <w:highlight w:val="none"/>
          <w14:textFill>
            <w14:solidFill>
              <w14:schemeClr w14:val="tx1"/>
            </w14:solidFill>
          </w14:textFill>
        </w:rPr>
        <w:t>%，人均建设面积0.</w:t>
      </w:r>
      <w:r>
        <w:rPr>
          <w:rFonts w:hint="eastAsia" w:ascii="仿宋" w:hAnsi="仿宋" w:eastAsia="仿宋" w:cs="Times New Roman"/>
          <w:color w:val="000000" w:themeColor="text1"/>
          <w:highlight w:val="none"/>
          <w14:textFill>
            <w14:solidFill>
              <w14:schemeClr w14:val="tx1"/>
            </w14:solidFill>
          </w14:textFill>
        </w:rPr>
        <w:t>37</w:t>
      </w:r>
      <w:r>
        <w:rPr>
          <w:rFonts w:ascii="仿宋" w:hAnsi="仿宋" w:eastAsia="仿宋" w:cs="Times New Roman"/>
          <w:color w:val="000000" w:themeColor="text1"/>
          <w:highlight w:val="none"/>
          <w14:textFill>
            <w14:solidFill>
              <w14:schemeClr w14:val="tx1"/>
            </w14:solidFill>
          </w14:textFill>
        </w:rPr>
        <w:t>平方米。</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规划保留现有的福利中心2处，同时</w:t>
      </w:r>
      <w:r>
        <w:rPr>
          <w:rFonts w:hint="eastAsia" w:ascii="仿宋" w:hAnsi="仿宋" w:eastAsia="仿宋" w:cs="Times New Roman"/>
          <w:b/>
          <w:bCs/>
          <w:color w:val="000000" w:themeColor="text1"/>
          <w:highlight w:val="none"/>
          <w14:textFill>
            <w14:solidFill>
              <w14:schemeClr w14:val="tx1"/>
            </w14:solidFill>
          </w14:textFill>
        </w:rPr>
        <w:t>在应山片区北部及马都司新城规划建设两处市级社会福利院，应山片区南部新建三处养老院，广水新建一处未成年救助中心及两处社会福利院</w:t>
      </w:r>
      <w:r>
        <w:rPr>
          <w:rFonts w:hint="eastAsia" w:ascii="仿宋" w:hAnsi="仿宋" w:eastAsia="仿宋" w:cs="Times New Roman"/>
          <w:color w:val="000000" w:themeColor="text1"/>
          <w:highlight w:val="none"/>
          <w14:textFill>
            <w14:solidFill>
              <w14:schemeClr w14:val="tx1"/>
            </w14:solidFill>
          </w14:textFill>
        </w:rPr>
        <w:t>，逐步提高城区社会福利设施服务能力。鼓励民间机构和社会团体利用社会其他闲置设施及存量土地，建设规模较大、设施齐全、具有可持续发展能力的社会福利设施。</w:t>
      </w:r>
    </w:p>
    <w:p>
      <w:pPr>
        <w:pStyle w:val="4"/>
        <w:rPr>
          <w:rFonts w:ascii="仿宋" w:hAnsi="仿宋" w:eastAsia="仿宋"/>
          <w:color w:val="000000" w:themeColor="text1"/>
          <w:highlight w:val="none"/>
          <w14:textFill>
            <w14:solidFill>
              <w14:schemeClr w14:val="tx1"/>
            </w14:solidFill>
          </w14:textFill>
        </w:rPr>
      </w:pPr>
      <w:bookmarkStart w:id="119" w:name="_Toc209"/>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3</w:t>
      </w:r>
      <w:r>
        <w:rPr>
          <w:rFonts w:hint="eastAsia" w:ascii="仿宋" w:hAnsi="仿宋" w:eastAsia="仿宋"/>
          <w:color w:val="000000" w:themeColor="text1"/>
          <w:highlight w:val="none"/>
          <w14:textFill>
            <w14:solidFill>
              <w14:schemeClr w14:val="tx1"/>
            </w14:solidFill>
          </w14:textFill>
        </w:rPr>
        <w:t>节 市政基础</w:t>
      </w:r>
      <w:r>
        <w:rPr>
          <w:rFonts w:ascii="仿宋" w:hAnsi="仿宋" w:eastAsia="仿宋"/>
          <w:color w:val="000000" w:themeColor="text1"/>
          <w:highlight w:val="none"/>
          <w14:textFill>
            <w14:solidFill>
              <w14:schemeClr w14:val="tx1"/>
            </w14:solidFill>
          </w14:textFill>
        </w:rPr>
        <w:t>设施</w:t>
      </w:r>
      <w:bookmarkEnd w:id="119"/>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（1）市域市政基础设施规划</w:t>
      </w:r>
    </w:p>
    <w:p>
      <w:pPr>
        <w:numPr>
          <w:ilvl w:val="0"/>
          <w:numId w:val="18"/>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给水工程</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水量预测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预测广水市域用水量为：中心城区</w:t>
      </w:r>
      <w:r>
        <w:rPr>
          <w:rFonts w:ascii="仿宋" w:hAnsi="仿宋" w:eastAsia="仿宋" w:cs="Times New Roman"/>
          <w:color w:val="000000" w:themeColor="text1"/>
          <w:highlight w:val="none"/>
          <w14:textFill>
            <w14:solidFill>
              <w14:schemeClr w14:val="tx1"/>
            </w14:solidFill>
          </w14:textFill>
        </w:rPr>
        <w:t>18</w:t>
      </w:r>
      <w:r>
        <w:rPr>
          <w:rFonts w:hint="eastAsia" w:ascii="仿宋" w:hAnsi="仿宋" w:eastAsia="仿宋" w:cs="Times New Roman"/>
          <w:color w:val="000000" w:themeColor="text1"/>
          <w:highlight w:val="none"/>
          <w14:textFill>
            <w14:solidFill>
              <w14:schemeClr w14:val="tx1"/>
            </w14:solidFill>
          </w14:textFill>
        </w:rPr>
        <w:t>万吨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日，乡镇7.1万吨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日，农村3.2万吨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日。</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水源规划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由徐家河水库、先觉庙水库、黑洞湾水库、飞沙河水库、花山水库、霞家河水库、高峰寺水库、许家冲水库共计</w:t>
      </w:r>
      <w:r>
        <w:rPr>
          <w:rFonts w:ascii="仿宋" w:hAnsi="仿宋" w:eastAsia="仿宋" w:cs="Times New Roman"/>
          <w:b/>
          <w:bCs/>
          <w:color w:val="000000" w:themeColor="text1"/>
          <w:highlight w:val="none"/>
          <w14:textFill>
            <w14:solidFill>
              <w14:schemeClr w14:val="tx1"/>
            </w14:solidFill>
          </w14:textFill>
        </w:rPr>
        <w:t>8</w:t>
      </w:r>
      <w:r>
        <w:rPr>
          <w:rFonts w:hint="eastAsia" w:ascii="仿宋" w:hAnsi="仿宋" w:eastAsia="仿宋" w:cs="Times New Roman"/>
          <w:color w:val="000000" w:themeColor="text1"/>
          <w:highlight w:val="none"/>
          <w14:textFill>
            <w14:solidFill>
              <w14:schemeClr w14:val="tx1"/>
            </w14:solidFill>
          </w14:textFill>
        </w:rPr>
        <w:t>个水库供水。其中黑洞湾水库和花山水库作为飞沙河水库的补充水源。</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水源保护</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水源地一级保护区禁止一切可能影响水质安全的活动进入，禁止新建、改建、扩建与供水设施和保护水源无关的建设项目；禁止向水域排放污水，已设置的排污口必须拆除，禁止在水体清洗装贮过油类、有毒污染物的车辆或者容器，禁止堆置和存放工业废渣、城市垃圾、粪便和其他废弃物，禁止从事网箱养殖、旅游、游泳、垂钓或者其他可能污染饮用水水体的活动。</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水厂规划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中心城区共有四个水厂供水，四个水厂联网供水。</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第一自来水公司二水厂、三水厂（飞沙河水厂）：水源分别为许家冲水库和飞沙河水库，供水规模分别为5万吨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天和10万吨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天，主要供水区域为应山片区、马都司新城和蔡河镇。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w:t>
      </w:r>
      <w:r>
        <w:rPr>
          <w:rFonts w:hint="eastAsia" w:ascii="仿宋" w:hAnsi="仿宋" w:eastAsia="仿宋" w:cs="Times New Roman"/>
          <w:color w:val="000000" w:themeColor="text1"/>
          <w:highlight w:val="none"/>
          <w:lang w:eastAsia="zh-CN"/>
          <w14:textFill>
            <w14:solidFill>
              <w14:schemeClr w14:val="tx1"/>
            </w14:solidFill>
          </w14:textFill>
        </w:rPr>
        <w:t>市</w:t>
      </w:r>
      <w:r>
        <w:rPr>
          <w:rFonts w:hint="eastAsia" w:ascii="仿宋" w:hAnsi="仿宋" w:eastAsia="仿宋" w:cs="Times New Roman"/>
          <w:color w:val="000000" w:themeColor="text1"/>
          <w:highlight w:val="none"/>
          <w14:textFill>
            <w14:solidFill>
              <w14:schemeClr w14:val="tx1"/>
            </w14:solidFill>
          </w14:textFill>
        </w:rPr>
        <w:t>供水水厂、霞家河供水服务站水厂：水源分别为高峰寺水库和霞家河水库，供水规模均为5万吨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天，主要供水区域为广水片区、武胜关镇及杨寨镇。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乡镇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各乡镇根据需水量建乡镇水厂。</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农村安全饮用水</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位于城镇周边及水厂管网覆盖范围内的中心村、组，由水厂供水管网延伸供水；位于偏远地区或远离集中供水水厂，一个中心村或几个共建自来水厂。</w:t>
      </w:r>
    </w:p>
    <w:p>
      <w:pPr>
        <w:numPr>
          <w:ilvl w:val="0"/>
          <w:numId w:val="18"/>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排水工程</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排水体制</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中心城区排水体制为雨污分流制，各镇区排水体制为截留式合流制。</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污水量预测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规划期中心城区污水量为14.4万吨/日，乡镇污水量为5.7万吨/日，农村居民点污水量为2.4万吨/日。</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污水处理设施规划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市域</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各乡镇根据需要建小型污水处理设施。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扩建应山污水处理厂，远期污水处理厂规模为</w:t>
      </w:r>
      <w:r>
        <w:rPr>
          <w:rFonts w:ascii="仿宋" w:hAnsi="仿宋" w:eastAsia="仿宋" w:cs="Times New Roman"/>
          <w:color w:val="000000" w:themeColor="text1"/>
          <w:highlight w:val="none"/>
          <w14:textFill>
            <w14:solidFill>
              <w14:schemeClr w14:val="tx1"/>
            </w14:solidFill>
          </w14:textFill>
        </w:rPr>
        <w:t>10</w:t>
      </w:r>
      <w:r>
        <w:rPr>
          <w:rFonts w:hint="eastAsia" w:ascii="仿宋" w:hAnsi="仿宋" w:eastAsia="仿宋" w:cs="Times New Roman"/>
          <w:color w:val="000000" w:themeColor="text1"/>
          <w:highlight w:val="none"/>
          <w14:textFill>
            <w14:solidFill>
              <w14:schemeClr w14:val="tx1"/>
            </w14:solidFill>
          </w14:textFill>
        </w:rPr>
        <w:t>万吨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日。保留广水污水处理厂，远期规模为</w:t>
      </w:r>
      <w:r>
        <w:rPr>
          <w:rFonts w:ascii="仿宋" w:hAnsi="仿宋" w:eastAsia="仿宋" w:cs="Times New Roman"/>
          <w:color w:val="000000" w:themeColor="text1"/>
          <w:highlight w:val="none"/>
          <w14:textFill>
            <w14:solidFill>
              <w14:schemeClr w14:val="tx1"/>
            </w14:solidFill>
          </w14:textFill>
        </w:rPr>
        <w:t>4</w:t>
      </w:r>
      <w:r>
        <w:rPr>
          <w:rFonts w:hint="eastAsia" w:ascii="仿宋" w:hAnsi="仿宋" w:eastAsia="仿宋" w:cs="Times New Roman"/>
          <w:color w:val="000000" w:themeColor="text1"/>
          <w:highlight w:val="none"/>
          <w14:textFill>
            <w14:solidFill>
              <w14:schemeClr w14:val="tx1"/>
            </w14:solidFill>
          </w14:textFill>
        </w:rPr>
        <w:t>万吨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日。规划在马都司新城新建一座污水处理厂，规模为</w:t>
      </w:r>
      <w:r>
        <w:rPr>
          <w:rFonts w:ascii="仿宋" w:hAnsi="仿宋" w:eastAsia="仿宋" w:cs="Times New Roman"/>
          <w:color w:val="000000" w:themeColor="text1"/>
          <w:highlight w:val="none"/>
          <w14:textFill>
            <w14:solidFill>
              <w14:schemeClr w14:val="tx1"/>
            </w14:solidFill>
          </w14:textFill>
        </w:rPr>
        <w:t>4</w:t>
      </w:r>
      <w:r>
        <w:rPr>
          <w:rFonts w:hint="eastAsia" w:ascii="仿宋" w:hAnsi="仿宋" w:eastAsia="仿宋" w:cs="Times New Roman"/>
          <w:color w:val="000000" w:themeColor="text1"/>
          <w:highlight w:val="none"/>
          <w14:textFill>
            <w14:solidFill>
              <w14:schemeClr w14:val="tx1"/>
            </w14:solidFill>
          </w14:textFill>
        </w:rPr>
        <w:t>万吨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日。</w:t>
      </w:r>
    </w:p>
    <w:p>
      <w:pPr>
        <w:ind w:firstLine="562"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雨水处理设施规划</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雨水依靠地势分散就近排入附近水体，疏通、扩宽加深现有排水沟，保证排水通畅。充分利用河涌水网，加强地下综合管廊与海绵城市建设。</w:t>
      </w:r>
    </w:p>
    <w:p>
      <w:pPr>
        <w:numPr>
          <w:ilvl w:val="0"/>
          <w:numId w:val="18"/>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电力工程</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负荷预测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预计广水市2035年全市总用电量为33.79千瓦时，生产用电12.93亿千瓦时，生活用电20.86亿千瓦时，最大供电负荷795兆瓦。</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生活用电量预测：到2035年中心城区用电量13.5亿千瓦时；乡镇用电量4.72亿千瓦时；农村居民点用电量2.64亿千瓦时，采用用电量推算城市电力负荷，年综合最大负荷利用小时数取</w:t>
      </w:r>
      <w:r>
        <w:rPr>
          <w:rFonts w:ascii="仿宋" w:hAnsi="仿宋" w:eastAsia="仿宋" w:cs="Times New Roman"/>
          <w:color w:val="000000" w:themeColor="text1"/>
          <w:highlight w:val="none"/>
          <w14:textFill>
            <w14:solidFill>
              <w14:schemeClr w14:val="tx1"/>
            </w14:solidFill>
          </w14:textFill>
        </w:rPr>
        <w:t>5000</w:t>
      </w:r>
      <w:r>
        <w:rPr>
          <w:rFonts w:hint="eastAsia" w:ascii="仿宋" w:hAnsi="仿宋" w:eastAsia="仿宋" w:cs="Times New Roman"/>
          <w:color w:val="000000" w:themeColor="text1"/>
          <w:highlight w:val="none"/>
          <w14:textFill>
            <w14:solidFill>
              <w14:schemeClr w14:val="tx1"/>
            </w14:solidFill>
          </w14:textFill>
        </w:rPr>
        <w:t>，得出广水市生活用电城市电力负荷为</w:t>
      </w:r>
      <w:r>
        <w:rPr>
          <w:rFonts w:ascii="仿宋" w:hAnsi="仿宋" w:eastAsia="仿宋" w:cs="Times New Roman"/>
          <w:color w:val="000000" w:themeColor="text1"/>
          <w:highlight w:val="none"/>
          <w14:textFill>
            <w14:solidFill>
              <w14:schemeClr w14:val="tx1"/>
            </w14:solidFill>
          </w14:textFill>
        </w:rPr>
        <w:t>4</w:t>
      </w:r>
      <w:r>
        <w:rPr>
          <w:rFonts w:hint="eastAsia" w:ascii="仿宋" w:hAnsi="仿宋" w:eastAsia="仿宋" w:cs="Times New Roman"/>
          <w:color w:val="000000" w:themeColor="text1"/>
          <w:highlight w:val="none"/>
          <w14:textFill>
            <w14:solidFill>
              <w14:schemeClr w14:val="tx1"/>
            </w14:solidFill>
          </w14:textFill>
        </w:rPr>
        <w:t>2</w:t>
      </w:r>
      <w:r>
        <w:rPr>
          <w:rFonts w:ascii="仿宋" w:hAnsi="仿宋" w:eastAsia="仿宋" w:cs="Times New Roman"/>
          <w:color w:val="000000" w:themeColor="text1"/>
          <w:highlight w:val="none"/>
          <w14:textFill>
            <w14:solidFill>
              <w14:schemeClr w14:val="tx1"/>
            </w14:solidFill>
          </w14:textFill>
        </w:rPr>
        <w:t>0</w:t>
      </w:r>
      <w:r>
        <w:rPr>
          <w:rFonts w:hint="eastAsia" w:ascii="仿宋" w:hAnsi="仿宋" w:eastAsia="仿宋" w:cs="Times New Roman"/>
          <w:color w:val="000000" w:themeColor="text1"/>
          <w:highlight w:val="none"/>
          <w14:textFill>
            <w14:solidFill>
              <w14:schemeClr w14:val="tx1"/>
            </w14:solidFill>
          </w14:textFill>
        </w:rPr>
        <w:t>兆瓦。</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电源</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广水市规划新建</w:t>
      </w:r>
      <w:r>
        <w:rPr>
          <w:rFonts w:ascii="仿宋" w:hAnsi="仿宋" w:eastAsia="仿宋" w:cs="Times New Roman"/>
          <w:color w:val="000000" w:themeColor="text1"/>
          <w:highlight w:val="none"/>
          <w14:textFill>
            <w14:solidFill>
              <w14:schemeClr w14:val="tx1"/>
            </w14:solidFill>
          </w14:textFill>
        </w:rPr>
        <w:t>110kv</w:t>
      </w:r>
      <w:r>
        <w:rPr>
          <w:rFonts w:hint="eastAsia" w:ascii="仿宋" w:hAnsi="仿宋" w:eastAsia="仿宋" w:cs="Times New Roman"/>
          <w:color w:val="000000" w:themeColor="text1"/>
          <w:highlight w:val="none"/>
          <w14:textFill>
            <w14:solidFill>
              <w14:schemeClr w14:val="tx1"/>
            </w14:solidFill>
          </w14:textFill>
        </w:rPr>
        <w:t>以下可并网发电的新能源项目</w:t>
      </w:r>
      <w:r>
        <w:rPr>
          <w:rFonts w:ascii="仿宋" w:hAnsi="仿宋" w:eastAsia="仿宋" w:cs="Times New Roman"/>
          <w:color w:val="000000" w:themeColor="text1"/>
          <w:highlight w:val="none"/>
          <w14:textFill>
            <w14:solidFill>
              <w14:schemeClr w14:val="tx1"/>
            </w14:solidFill>
          </w14:textFill>
        </w:rPr>
        <w:t>10</w:t>
      </w:r>
      <w:r>
        <w:rPr>
          <w:rFonts w:hint="eastAsia" w:ascii="仿宋" w:hAnsi="仿宋" w:eastAsia="仿宋" w:cs="Times New Roman"/>
          <w:color w:val="000000" w:themeColor="text1"/>
          <w:highlight w:val="none"/>
          <w14:textFill>
            <w14:solidFill>
              <w14:schemeClr w14:val="tx1"/>
            </w14:solidFill>
          </w14:textFill>
        </w:rPr>
        <w:t>项，其中风电项目</w:t>
      </w:r>
      <w:r>
        <w:rPr>
          <w:rFonts w:ascii="仿宋" w:hAnsi="仿宋" w:eastAsia="仿宋" w:cs="Times New Roman"/>
          <w:color w:val="000000" w:themeColor="text1"/>
          <w:highlight w:val="none"/>
          <w14:textFill>
            <w14:solidFill>
              <w14:schemeClr w14:val="tx1"/>
            </w14:solidFill>
          </w14:textFill>
        </w:rPr>
        <w:t>7</w:t>
      </w:r>
      <w:r>
        <w:rPr>
          <w:rFonts w:hint="eastAsia" w:ascii="仿宋" w:hAnsi="仿宋" w:eastAsia="仿宋" w:cs="Times New Roman"/>
          <w:color w:val="000000" w:themeColor="text1"/>
          <w:highlight w:val="none"/>
          <w14:textFill>
            <w14:solidFill>
              <w14:schemeClr w14:val="tx1"/>
            </w14:solidFill>
          </w14:textFill>
        </w:rPr>
        <w:t>项，光伏发电项目</w:t>
      </w:r>
      <w:r>
        <w:rPr>
          <w:rFonts w:ascii="仿宋" w:hAnsi="仿宋" w:eastAsia="仿宋" w:cs="Times New Roman"/>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项，风光互补项目</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项，总计装机容量</w:t>
      </w:r>
      <w:r>
        <w:rPr>
          <w:rFonts w:ascii="仿宋" w:hAnsi="仿宋" w:eastAsia="仿宋" w:cs="Times New Roman"/>
          <w:color w:val="000000" w:themeColor="text1"/>
          <w:highlight w:val="none"/>
          <w14:textFill>
            <w14:solidFill>
              <w14:schemeClr w14:val="tx1"/>
            </w14:solidFill>
          </w14:textFill>
        </w:rPr>
        <w:t>55.83</w:t>
      </w:r>
      <w:r>
        <w:rPr>
          <w:rFonts w:hint="eastAsia" w:ascii="仿宋" w:hAnsi="仿宋" w:eastAsia="仿宋" w:cs="Times New Roman"/>
          <w:color w:val="000000" w:themeColor="text1"/>
          <w:highlight w:val="none"/>
          <w14:textFill>
            <w14:solidFill>
              <w14:schemeClr w14:val="tx1"/>
            </w14:solidFill>
          </w14:textFill>
        </w:rPr>
        <w:t>万千瓦。</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保留</w:t>
      </w:r>
      <w:r>
        <w:rPr>
          <w:rFonts w:ascii="仿宋" w:hAnsi="仿宋" w:eastAsia="仿宋" w:cs="Times New Roman"/>
          <w:b/>
          <w:bCs/>
          <w:color w:val="000000" w:themeColor="text1"/>
          <w:highlight w:val="none"/>
          <w14:textFill>
            <w14:solidFill>
              <w14:schemeClr w14:val="tx1"/>
            </w14:solidFill>
          </w14:textFill>
        </w:rPr>
        <w:t>220</w:t>
      </w:r>
      <w:r>
        <w:rPr>
          <w:rFonts w:hint="eastAsia" w:ascii="仿宋" w:hAnsi="仿宋" w:eastAsia="仿宋" w:cs="Times New Roman"/>
          <w:color w:val="000000" w:themeColor="text1"/>
          <w:highlight w:val="none"/>
          <w14:textFill>
            <w14:solidFill>
              <w14:schemeClr w14:val="tx1"/>
            </w14:solidFill>
          </w14:textFill>
        </w:rPr>
        <w:t>千伏永阳变电站，新增</w:t>
      </w:r>
      <w:r>
        <w:rPr>
          <w:rFonts w:ascii="仿宋" w:hAnsi="仿宋" w:eastAsia="仿宋" w:cs="Times New Roman"/>
          <w:b/>
          <w:bCs/>
          <w:color w:val="000000" w:themeColor="text1"/>
          <w:highlight w:val="none"/>
          <w14:textFill>
            <w14:solidFill>
              <w14:schemeClr w14:val="tx1"/>
            </w14:solidFill>
          </w14:textFill>
        </w:rPr>
        <w:t>220KV</w:t>
      </w:r>
      <w:r>
        <w:rPr>
          <w:rFonts w:hint="eastAsia" w:ascii="仿宋" w:hAnsi="仿宋" w:eastAsia="仿宋" w:cs="Times New Roman"/>
          <w:color w:val="000000" w:themeColor="text1"/>
          <w:highlight w:val="none"/>
          <w14:textFill>
            <w14:solidFill>
              <w14:schemeClr w14:val="tx1"/>
            </w14:solidFill>
          </w14:textFill>
        </w:rPr>
        <w:t>凤凰变电站、武胜关变电站。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保留现状8座110千伏变电站，现状扩容2座，规划新增6处110千伏变电站。其中中心城区有6座：应山变电站、十里变电站、北环变电站、双河变电站、马都司变电站、竹林变电站。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保留现状</w:t>
      </w:r>
      <w:r>
        <w:rPr>
          <w:rFonts w:ascii="仿宋" w:hAnsi="仿宋" w:eastAsia="仿宋" w:cs="Times New Roman"/>
          <w:b/>
          <w:bCs/>
          <w:color w:val="000000" w:themeColor="text1"/>
          <w:highlight w:val="none"/>
          <w14:textFill>
            <w14:solidFill>
              <w14:schemeClr w14:val="tx1"/>
            </w14:solidFill>
          </w14:textFill>
        </w:rPr>
        <w:t>14</w:t>
      </w:r>
      <w:r>
        <w:rPr>
          <w:rFonts w:hint="eastAsia" w:ascii="仿宋" w:hAnsi="仿宋" w:eastAsia="仿宋" w:cs="Times New Roman"/>
          <w:color w:val="000000" w:themeColor="text1"/>
          <w:highlight w:val="none"/>
          <w14:textFill>
            <w14:solidFill>
              <w14:schemeClr w14:val="tx1"/>
            </w14:solidFill>
          </w14:textFill>
        </w:rPr>
        <w:t>座</w:t>
      </w:r>
      <w:r>
        <w:rPr>
          <w:rFonts w:ascii="仿宋" w:hAnsi="仿宋" w:eastAsia="仿宋" w:cs="Times New Roman"/>
          <w:b/>
          <w:bCs/>
          <w:color w:val="000000" w:themeColor="text1"/>
          <w:highlight w:val="none"/>
          <w14:textFill>
            <w14:solidFill>
              <w14:schemeClr w14:val="tx1"/>
            </w14:solidFill>
          </w14:textFill>
        </w:rPr>
        <w:t>35</w:t>
      </w:r>
      <w:r>
        <w:rPr>
          <w:rFonts w:hint="eastAsia" w:ascii="仿宋" w:hAnsi="仿宋" w:eastAsia="仿宋" w:cs="Times New Roman"/>
          <w:color w:val="000000" w:themeColor="text1"/>
          <w:highlight w:val="none"/>
          <w14:textFill>
            <w14:solidFill>
              <w14:schemeClr w14:val="tx1"/>
            </w14:solidFill>
          </w14:textFill>
        </w:rPr>
        <w:t>千伏变电站，现状扩容</w:t>
      </w:r>
      <w:r>
        <w:rPr>
          <w:rFonts w:ascii="仿宋" w:hAnsi="仿宋" w:eastAsia="仿宋" w:cs="Times New Roman"/>
          <w:b/>
          <w:bCs/>
          <w:color w:val="000000" w:themeColor="text1"/>
          <w:highlight w:val="none"/>
          <w14:textFill>
            <w14:solidFill>
              <w14:schemeClr w14:val="tx1"/>
            </w14:solidFill>
          </w14:textFill>
        </w:rPr>
        <w:t>5</w:t>
      </w:r>
      <w:r>
        <w:rPr>
          <w:rFonts w:hint="eastAsia" w:ascii="仿宋" w:hAnsi="仿宋" w:eastAsia="仿宋" w:cs="Times New Roman"/>
          <w:color w:val="000000" w:themeColor="text1"/>
          <w:highlight w:val="none"/>
          <w14:textFill>
            <w14:solidFill>
              <w14:schemeClr w14:val="tx1"/>
            </w14:solidFill>
          </w14:textFill>
        </w:rPr>
        <w:t>座</w:t>
      </w:r>
      <w:r>
        <w:rPr>
          <w:rFonts w:ascii="仿宋" w:hAnsi="仿宋" w:eastAsia="仿宋" w:cs="Times New Roman"/>
          <w:b/>
          <w:bCs/>
          <w:color w:val="000000" w:themeColor="text1"/>
          <w:highlight w:val="none"/>
          <w14:textFill>
            <w14:solidFill>
              <w14:schemeClr w14:val="tx1"/>
            </w14:solidFill>
          </w14:textFill>
        </w:rPr>
        <w:t>35</w:t>
      </w:r>
      <w:r>
        <w:rPr>
          <w:rFonts w:hint="eastAsia" w:ascii="仿宋" w:hAnsi="仿宋" w:eastAsia="仿宋" w:cs="Times New Roman"/>
          <w:color w:val="000000" w:themeColor="text1"/>
          <w:highlight w:val="none"/>
          <w14:textFill>
            <w14:solidFill>
              <w14:schemeClr w14:val="tx1"/>
            </w14:solidFill>
          </w14:textFill>
        </w:rPr>
        <w:t>千伏变电站，新增</w:t>
      </w:r>
      <w:r>
        <w:rPr>
          <w:rFonts w:ascii="仿宋" w:hAnsi="仿宋" w:eastAsia="仿宋" w:cs="Times New Roman"/>
          <w:b/>
          <w:bCs/>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处</w:t>
      </w:r>
      <w:r>
        <w:rPr>
          <w:rFonts w:ascii="仿宋" w:hAnsi="仿宋" w:eastAsia="仿宋" w:cs="Times New Roman"/>
          <w:b/>
          <w:bCs/>
          <w:color w:val="000000" w:themeColor="text1"/>
          <w:highlight w:val="none"/>
          <w14:textFill>
            <w14:solidFill>
              <w14:schemeClr w14:val="tx1"/>
            </w14:solidFill>
          </w14:textFill>
        </w:rPr>
        <w:t>35</w:t>
      </w:r>
      <w:r>
        <w:rPr>
          <w:rFonts w:hint="eastAsia" w:ascii="仿宋" w:hAnsi="仿宋" w:eastAsia="仿宋" w:cs="Times New Roman"/>
          <w:color w:val="000000" w:themeColor="text1"/>
          <w:highlight w:val="none"/>
          <w14:textFill>
            <w14:solidFill>
              <w14:schemeClr w14:val="tx1"/>
            </w14:solidFill>
          </w14:textFill>
        </w:rPr>
        <w:t>千伏变电站（含配电站）。其中中心城区1座：广水变电站。</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电网</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及时调整</w:t>
      </w:r>
      <w:r>
        <w:rPr>
          <w:rFonts w:ascii="仿宋" w:hAnsi="仿宋" w:eastAsia="仿宋" w:cs="Times New Roman"/>
          <w:color w:val="000000" w:themeColor="text1"/>
          <w:highlight w:val="none"/>
          <w14:textFill>
            <w14:solidFill>
              <w14:schemeClr w14:val="tx1"/>
            </w14:solidFill>
          </w14:textFill>
        </w:rPr>
        <w:t>110KV</w:t>
      </w:r>
      <w:r>
        <w:rPr>
          <w:rFonts w:hint="eastAsia" w:ascii="仿宋" w:hAnsi="仿宋" w:eastAsia="仿宋" w:cs="Times New Roman"/>
          <w:color w:val="000000" w:themeColor="text1"/>
          <w:highlight w:val="none"/>
          <w14:textFill>
            <w14:solidFill>
              <w14:schemeClr w14:val="tx1"/>
            </w14:solidFill>
          </w14:textFill>
        </w:rPr>
        <w:t>及以上的电网结构，对村镇和城市建设有较大影响的高压走廊要结合用地情况及时进行调整，高压走廊应尽量布置在绿地和道路隔离带之中。</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路由相同的电力线应尽量采用多回共杆的方式布置，以提高输变电的可靠性和减少对建设用地的影响。</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新建的电力线尽量避开现状和规划的城乡建设用地，新建的城乡用地尽量避开现状及规划的高压走廊。</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对城乡建设用地带来危险的电力线应实施搬迁改造。</w:t>
      </w:r>
    </w:p>
    <w:p>
      <w:pPr>
        <w:numPr>
          <w:ilvl w:val="0"/>
          <w:numId w:val="18"/>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通信工程</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容量预测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规划至</w:t>
      </w:r>
      <w:r>
        <w:rPr>
          <w:rFonts w:ascii="仿宋" w:hAnsi="仿宋" w:eastAsia="仿宋" w:cs="Times New Roman"/>
          <w:color w:val="000000" w:themeColor="text1"/>
          <w:highlight w:val="none"/>
          <w14:textFill>
            <w14:solidFill>
              <w14:schemeClr w14:val="tx1"/>
            </w14:solidFill>
          </w14:textFill>
        </w:rPr>
        <w:t>2035</w:t>
      </w:r>
      <w:r>
        <w:rPr>
          <w:rFonts w:hint="eastAsia" w:ascii="仿宋" w:hAnsi="仿宋" w:eastAsia="仿宋" w:cs="Times New Roman"/>
          <w:color w:val="000000" w:themeColor="text1"/>
          <w:highlight w:val="none"/>
          <w14:textFill>
            <w14:solidFill>
              <w14:schemeClr w14:val="tx1"/>
            </w14:solidFill>
          </w14:textFill>
        </w:rPr>
        <w:t>年，电话普及率为</w:t>
      </w:r>
      <w:r>
        <w:rPr>
          <w:rFonts w:ascii="仿宋" w:hAnsi="仿宋" w:eastAsia="仿宋" w:cs="Times New Roman"/>
          <w:color w:val="000000" w:themeColor="text1"/>
          <w:highlight w:val="none"/>
          <w14:textFill>
            <w14:solidFill>
              <w14:schemeClr w14:val="tx1"/>
            </w14:solidFill>
          </w14:textFill>
        </w:rPr>
        <w:t>10</w:t>
      </w:r>
      <w:r>
        <w:rPr>
          <w:rFonts w:hint="eastAsia" w:ascii="仿宋" w:hAnsi="仿宋" w:eastAsia="仿宋" w:cs="Times New Roman"/>
          <w:color w:val="000000" w:themeColor="text1"/>
          <w:highlight w:val="none"/>
          <w14:textFill>
            <w14:solidFill>
              <w14:schemeClr w14:val="tx1"/>
            </w14:solidFill>
          </w14:textFill>
        </w:rPr>
        <w:t>部每百人。全市固定电话数为9.5万部，其中，中心城区为4.5万部，镇区及农村居民点为5.0万部。</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电信局所</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中心城区内规划3处电信所，每处占地不大于</w:t>
      </w:r>
      <w:r>
        <w:rPr>
          <w:rFonts w:ascii="仿宋" w:hAnsi="仿宋" w:eastAsia="仿宋" w:cs="Times New Roman"/>
          <w:color w:val="000000" w:themeColor="text1"/>
          <w:highlight w:val="none"/>
          <w14:textFill>
            <w14:solidFill>
              <w14:schemeClr w14:val="tx1"/>
            </w14:solidFill>
          </w14:textFill>
        </w:rPr>
        <w:t>3000</w:t>
      </w:r>
      <w:r>
        <w:rPr>
          <w:rFonts w:hint="eastAsia" w:ascii="仿宋" w:hAnsi="仿宋" w:eastAsia="仿宋" w:cs="Times New Roman"/>
          <w:color w:val="000000" w:themeColor="text1"/>
          <w:highlight w:val="none"/>
          <w14:textFill>
            <w14:solidFill>
              <w14:schemeClr w14:val="tx1"/>
            </w14:solidFill>
          </w14:textFill>
        </w:rPr>
        <w:t>平方米。局间及长途中继传输方式仍采用光缆。在镇驻地设置电信所。规划每</w:t>
      </w:r>
      <w:r>
        <w:rPr>
          <w:rFonts w:ascii="仿宋" w:hAnsi="仿宋" w:eastAsia="仿宋" w:cs="Times New Roman"/>
          <w:color w:val="000000" w:themeColor="text1"/>
          <w:highlight w:val="none"/>
          <w14:textFill>
            <w14:solidFill>
              <w14:schemeClr w14:val="tx1"/>
            </w14:solidFill>
          </w14:textFill>
        </w:rPr>
        <w:t>10</w:t>
      </w:r>
      <w:r>
        <w:rPr>
          <w:rFonts w:hint="eastAsia" w:ascii="仿宋" w:hAnsi="仿宋" w:eastAsia="仿宋" w:cs="Times New Roman"/>
          <w:color w:val="000000" w:themeColor="text1"/>
          <w:highlight w:val="none"/>
          <w14:textFill>
            <w14:solidFill>
              <w14:schemeClr w14:val="tx1"/>
            </w14:solidFill>
          </w14:textFill>
        </w:rPr>
        <w:t>平方公里设置一座电信机房支局。</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通信设施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规划建设和扩容移动通信设施，包括基站、配套机房和光缆传输线路及宽带建设规划，优化移动通信网络和服务。大力建设</w:t>
      </w:r>
      <w:r>
        <w:rPr>
          <w:rFonts w:ascii="仿宋" w:hAnsi="仿宋" w:eastAsia="仿宋" w:cs="Times New Roman"/>
          <w:color w:val="000000" w:themeColor="text1"/>
          <w:highlight w:val="none"/>
          <w14:textFill>
            <w14:solidFill>
              <w14:schemeClr w14:val="tx1"/>
            </w14:solidFill>
          </w14:textFill>
        </w:rPr>
        <w:t>5G</w:t>
      </w:r>
      <w:r>
        <w:rPr>
          <w:rFonts w:hint="eastAsia" w:ascii="仿宋" w:hAnsi="仿宋" w:eastAsia="仿宋" w:cs="Times New Roman"/>
          <w:color w:val="000000" w:themeColor="text1"/>
          <w:highlight w:val="none"/>
          <w14:textFill>
            <w14:solidFill>
              <w14:schemeClr w14:val="tx1"/>
            </w14:solidFill>
          </w14:textFill>
        </w:rPr>
        <w:t>站点，实现</w:t>
      </w:r>
      <w:r>
        <w:rPr>
          <w:rFonts w:ascii="仿宋" w:hAnsi="仿宋" w:eastAsia="仿宋" w:cs="Times New Roman"/>
          <w:color w:val="000000" w:themeColor="text1"/>
          <w:highlight w:val="none"/>
          <w14:textFill>
            <w14:solidFill>
              <w14:schemeClr w14:val="tx1"/>
            </w14:solidFill>
          </w14:textFill>
        </w:rPr>
        <w:t>5G</w:t>
      </w:r>
      <w:r>
        <w:rPr>
          <w:rFonts w:hint="eastAsia" w:ascii="仿宋" w:hAnsi="仿宋" w:eastAsia="仿宋" w:cs="Times New Roman"/>
          <w:color w:val="000000" w:themeColor="text1"/>
          <w:highlight w:val="none"/>
          <w14:textFill>
            <w14:solidFill>
              <w14:schemeClr w14:val="tx1"/>
            </w14:solidFill>
          </w14:textFill>
        </w:rPr>
        <w:t>网络全覆盖。中心城区平均每</w:t>
      </w:r>
      <w:r>
        <w:rPr>
          <w:rFonts w:ascii="仿宋" w:hAnsi="仿宋" w:eastAsia="仿宋" w:cs="Times New Roman"/>
          <w:color w:val="000000" w:themeColor="text1"/>
          <w:highlight w:val="none"/>
          <w14:textFill>
            <w14:solidFill>
              <w14:schemeClr w14:val="tx1"/>
            </w14:solidFill>
          </w14:textFill>
        </w:rPr>
        <w:t>300-500</w:t>
      </w:r>
      <w:r>
        <w:rPr>
          <w:rFonts w:hint="eastAsia" w:ascii="仿宋" w:hAnsi="仿宋" w:eastAsia="仿宋" w:cs="Times New Roman"/>
          <w:color w:val="000000" w:themeColor="text1"/>
          <w:highlight w:val="none"/>
          <w14:textFill>
            <w14:solidFill>
              <w14:schemeClr w14:val="tx1"/>
            </w14:solidFill>
          </w14:textFill>
        </w:rPr>
        <w:t>米分布一个基站。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有线电视通村率达</w:t>
      </w:r>
      <w:r>
        <w:rPr>
          <w:rFonts w:ascii="仿宋" w:hAnsi="仿宋" w:eastAsia="仿宋" w:cs="Times New Roman"/>
          <w:color w:val="000000" w:themeColor="text1"/>
          <w:highlight w:val="none"/>
          <w14:textFill>
            <w14:solidFill>
              <w14:schemeClr w14:val="tx1"/>
            </w14:solidFill>
          </w14:textFill>
        </w:rPr>
        <w:t>100%</w:t>
      </w:r>
      <w:r>
        <w:rPr>
          <w:rFonts w:hint="eastAsia" w:ascii="仿宋" w:hAnsi="仿宋" w:eastAsia="仿宋" w:cs="Times New Roman"/>
          <w:color w:val="000000" w:themeColor="text1"/>
          <w:highlight w:val="none"/>
          <w14:textFill>
            <w14:solidFill>
              <w14:schemeClr w14:val="tx1"/>
            </w14:solidFill>
          </w14:textFill>
        </w:rPr>
        <w:t>，实现数字化高清晰信号传输。</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在各镇区设置分前端机房，乡村居民点设置光节点，每个光节点连接用户不大于</w:t>
      </w:r>
      <w:r>
        <w:rPr>
          <w:rFonts w:ascii="仿宋" w:hAnsi="仿宋" w:eastAsia="仿宋" w:cs="Times New Roman"/>
          <w:color w:val="000000" w:themeColor="text1"/>
          <w:highlight w:val="none"/>
          <w14:textFill>
            <w14:solidFill>
              <w14:schemeClr w14:val="tx1"/>
            </w14:solidFill>
          </w14:textFill>
        </w:rPr>
        <w:t>500</w:t>
      </w:r>
      <w:r>
        <w:rPr>
          <w:rFonts w:hint="eastAsia" w:ascii="仿宋" w:hAnsi="仿宋" w:eastAsia="仿宋" w:cs="Times New Roman"/>
          <w:color w:val="000000" w:themeColor="text1"/>
          <w:highlight w:val="none"/>
          <w14:textFill>
            <w14:solidFill>
              <w14:schemeClr w14:val="tx1"/>
            </w14:solidFill>
          </w14:textFill>
        </w:rPr>
        <w:t>户。城镇基本实现光纤到楼宇，乡村居民点实现光缆到村，同轴电缆放大器级数不超过</w:t>
      </w:r>
      <w:r>
        <w:rPr>
          <w:rFonts w:ascii="仿宋" w:hAnsi="仿宋" w:eastAsia="仿宋" w:cs="Times New Roman"/>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级。</w:t>
      </w:r>
    </w:p>
    <w:p>
      <w:pPr>
        <w:numPr>
          <w:ilvl w:val="0"/>
          <w:numId w:val="18"/>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燃气工程</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供气气源</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规划广水市以</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西气东输二线</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为主要气源，液化天然气（</w:t>
      </w:r>
      <w:r>
        <w:rPr>
          <w:rFonts w:ascii="仿宋" w:hAnsi="仿宋" w:eastAsia="仿宋" w:cs="Times New Roman"/>
          <w:color w:val="000000" w:themeColor="text1"/>
          <w:highlight w:val="none"/>
          <w14:textFill>
            <w14:solidFill>
              <w14:schemeClr w14:val="tx1"/>
            </w14:solidFill>
          </w14:textFill>
        </w:rPr>
        <w:t>LNG</w:t>
      </w:r>
      <w:r>
        <w:rPr>
          <w:rFonts w:hint="eastAsia" w:ascii="仿宋" w:hAnsi="仿宋" w:eastAsia="仿宋" w:cs="Times New Roman"/>
          <w:color w:val="000000" w:themeColor="text1"/>
          <w:highlight w:val="none"/>
          <w14:textFill>
            <w14:solidFill>
              <w14:schemeClr w14:val="tx1"/>
            </w14:solidFill>
          </w14:textFill>
        </w:rPr>
        <w:t>）作为补充气源。</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气化率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规划广水中心城区形成以天然气为主、液化气为辅的燃料结构，其中天然气气化率90%，液化石油气10%。</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市域各乡镇形成以天然气为主、液化气为辅的燃料结构。天然气气化率</w:t>
      </w:r>
      <w:r>
        <w:rPr>
          <w:rFonts w:ascii="仿宋" w:hAnsi="仿宋" w:eastAsia="仿宋" w:cs="Times New Roman"/>
          <w:color w:val="000000" w:themeColor="text1"/>
          <w:highlight w:val="none"/>
          <w14:textFill>
            <w14:solidFill>
              <w14:schemeClr w14:val="tx1"/>
            </w14:solidFill>
          </w14:textFill>
        </w:rPr>
        <w:t>70%</w:t>
      </w:r>
      <w:r>
        <w:rPr>
          <w:rFonts w:hint="eastAsia" w:ascii="仿宋" w:hAnsi="仿宋" w:eastAsia="仿宋" w:cs="Times New Roman"/>
          <w:color w:val="000000" w:themeColor="text1"/>
          <w:highlight w:val="none"/>
          <w14:textFill>
            <w14:solidFill>
              <w14:schemeClr w14:val="tx1"/>
            </w14:solidFill>
          </w14:textFill>
        </w:rPr>
        <w:t>，液化石油气</w:t>
      </w:r>
      <w:r>
        <w:rPr>
          <w:rFonts w:ascii="仿宋" w:hAnsi="仿宋" w:eastAsia="仿宋" w:cs="Times New Roman"/>
          <w:color w:val="000000" w:themeColor="text1"/>
          <w:highlight w:val="none"/>
          <w14:textFill>
            <w14:solidFill>
              <w14:schemeClr w14:val="tx1"/>
            </w14:solidFill>
          </w14:textFill>
        </w:rPr>
        <w:t>30%</w:t>
      </w:r>
      <w:r>
        <w:rPr>
          <w:rFonts w:hint="eastAsia" w:ascii="仿宋" w:hAnsi="仿宋" w:eastAsia="仿宋" w:cs="Times New Roman"/>
          <w:color w:val="000000" w:themeColor="text1"/>
          <w:highlight w:val="none"/>
          <w14:textFill>
            <w14:solidFill>
              <w14:schemeClr w14:val="tx1"/>
            </w14:solidFill>
          </w14:textFill>
        </w:rPr>
        <w:t>。</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用气量预测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规划期广水市域天然气用气量3274万标立方</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年，中心城区年用气量为2148万标立方</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年。</w:t>
      </w:r>
    </w:p>
    <w:p>
      <w:pPr>
        <w:numPr>
          <w:ilvl w:val="0"/>
          <w:numId w:val="18"/>
        </w:num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环卫工程</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垃圾量预测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规划期末垃圾总量为1140吨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日，中心城区的日产垃圾量为823吨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天。</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环卫设施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中心城区：城区公厕沿规划道路布置，依人口密集程度，间距控制在</w:t>
      </w:r>
      <w:r>
        <w:rPr>
          <w:rFonts w:ascii="仿宋" w:hAnsi="仿宋" w:eastAsia="仿宋" w:cs="Times New Roman"/>
          <w:color w:val="000000" w:themeColor="text1"/>
          <w:highlight w:val="none"/>
          <w14:textFill>
            <w14:solidFill>
              <w14:schemeClr w14:val="tx1"/>
            </w14:solidFill>
          </w14:textFill>
        </w:rPr>
        <w:t>300</w:t>
      </w:r>
      <w:r>
        <w:rPr>
          <w:rFonts w:hint="eastAsia" w:ascii="仿宋" w:hAnsi="仿宋" w:eastAsia="仿宋" w:cs="Times New Roman"/>
          <w:color w:val="000000" w:themeColor="text1"/>
          <w:highlight w:val="none"/>
          <w14:textFill>
            <w14:solidFill>
              <w14:schemeClr w14:val="tx1"/>
            </w14:solidFill>
          </w14:textFill>
        </w:rPr>
        <w:t>～</w:t>
      </w:r>
      <w:r>
        <w:rPr>
          <w:rFonts w:ascii="仿宋" w:hAnsi="仿宋" w:eastAsia="仿宋" w:cs="Times New Roman"/>
          <w:color w:val="000000" w:themeColor="text1"/>
          <w:highlight w:val="none"/>
          <w14:textFill>
            <w14:solidFill>
              <w14:schemeClr w14:val="tx1"/>
            </w14:solidFill>
          </w14:textFill>
        </w:rPr>
        <w:t>800</w:t>
      </w:r>
      <w:r>
        <w:rPr>
          <w:rFonts w:hint="eastAsia" w:ascii="仿宋" w:hAnsi="仿宋" w:eastAsia="仿宋" w:cs="Times New Roman"/>
          <w:color w:val="000000" w:themeColor="text1"/>
          <w:highlight w:val="none"/>
          <w14:textFill>
            <w14:solidFill>
              <w14:schemeClr w14:val="tx1"/>
            </w14:solidFill>
          </w14:textFill>
        </w:rPr>
        <w:t>米，公厕标准不低于二类。城区生活垃圾采用小型机动车结合非机动车方式收运，收集服务距离不大于</w:t>
      </w:r>
      <w:r>
        <w:rPr>
          <w:rFonts w:ascii="仿宋" w:hAnsi="仿宋" w:eastAsia="仿宋" w:cs="Times New Roman"/>
          <w:color w:val="000000" w:themeColor="text1"/>
          <w:highlight w:val="none"/>
          <w14:textFill>
            <w14:solidFill>
              <w14:schemeClr w14:val="tx1"/>
            </w14:solidFill>
          </w14:textFill>
        </w:rPr>
        <w:t>3.0</w:t>
      </w:r>
      <w:r>
        <w:rPr>
          <w:rFonts w:hint="eastAsia" w:ascii="仿宋" w:hAnsi="仿宋" w:eastAsia="仿宋" w:cs="Times New Roman"/>
          <w:color w:val="000000" w:themeColor="text1"/>
          <w:highlight w:val="none"/>
          <w14:textFill>
            <w14:solidFill>
              <w14:schemeClr w14:val="tx1"/>
            </w14:solidFill>
          </w14:textFill>
        </w:rPr>
        <w:t>公里。保留广水片区的垃圾填埋场，日处理能力为</w:t>
      </w:r>
      <w:r>
        <w:rPr>
          <w:rFonts w:ascii="仿宋" w:hAnsi="仿宋" w:eastAsia="仿宋" w:cs="Times New Roman"/>
          <w:color w:val="000000" w:themeColor="text1"/>
          <w:highlight w:val="none"/>
          <w14:textFill>
            <w14:solidFill>
              <w14:schemeClr w14:val="tx1"/>
            </w14:solidFill>
          </w14:textFill>
        </w:rPr>
        <w:t>200</w:t>
      </w:r>
      <w:r>
        <w:rPr>
          <w:rFonts w:hint="eastAsia" w:ascii="仿宋" w:hAnsi="仿宋" w:eastAsia="仿宋" w:cs="Times New Roman"/>
          <w:color w:val="000000" w:themeColor="text1"/>
          <w:highlight w:val="none"/>
          <w14:textFill>
            <w14:solidFill>
              <w14:schemeClr w14:val="tx1"/>
            </w14:solidFill>
          </w14:textFill>
        </w:rPr>
        <w:t>吨。规划取消位于中心城区高速出入口处垃圾填埋场，并对该地进行生态修复，改成体育休闲公园。另外，在十里街道千户冲村岗岭湾新建一处垃圾处理设施，处理方式为焚烧发电，远期规划日处理能力扩建为</w:t>
      </w:r>
      <w:r>
        <w:rPr>
          <w:rFonts w:ascii="仿宋" w:hAnsi="仿宋" w:eastAsia="仿宋" w:cs="Times New Roman"/>
          <w:color w:val="000000" w:themeColor="text1"/>
          <w:highlight w:val="none"/>
          <w14:textFill>
            <w14:solidFill>
              <w14:schemeClr w14:val="tx1"/>
            </w14:solidFill>
          </w14:textFill>
        </w:rPr>
        <w:t>800</w:t>
      </w:r>
      <w:r>
        <w:rPr>
          <w:rFonts w:hint="eastAsia" w:ascii="仿宋" w:hAnsi="仿宋" w:eastAsia="仿宋" w:cs="Times New Roman"/>
          <w:color w:val="000000" w:themeColor="text1"/>
          <w:highlight w:val="none"/>
          <w14:textFill>
            <w14:solidFill>
              <w14:schemeClr w14:val="tx1"/>
            </w14:solidFill>
          </w14:textFill>
        </w:rPr>
        <w:t>吨；城南工业区南侧新建一处工业垃圾压缩站，日处理能力为</w:t>
      </w:r>
      <w:r>
        <w:rPr>
          <w:rFonts w:ascii="仿宋" w:hAnsi="仿宋" w:eastAsia="仿宋" w:cs="Times New Roman"/>
          <w:color w:val="000000" w:themeColor="text1"/>
          <w:highlight w:val="none"/>
          <w14:textFill>
            <w14:solidFill>
              <w14:schemeClr w14:val="tx1"/>
            </w14:solidFill>
          </w14:textFill>
        </w:rPr>
        <w:t>400</w:t>
      </w:r>
      <w:r>
        <w:rPr>
          <w:rFonts w:hint="eastAsia" w:ascii="仿宋" w:hAnsi="仿宋" w:eastAsia="仿宋" w:cs="Times New Roman"/>
          <w:color w:val="000000" w:themeColor="text1"/>
          <w:highlight w:val="none"/>
          <w14:textFill>
            <w14:solidFill>
              <w14:schemeClr w14:val="tx1"/>
            </w14:solidFill>
          </w14:textFill>
        </w:rPr>
        <w:t>吨</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天。</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乡镇：镇区公厕主要沿道路布置，依人口密集程度，间距控制在</w:t>
      </w:r>
      <w:r>
        <w:rPr>
          <w:rFonts w:ascii="仿宋" w:hAnsi="仿宋" w:eastAsia="仿宋" w:cs="Times New Roman"/>
          <w:color w:val="000000" w:themeColor="text1"/>
          <w:highlight w:val="none"/>
          <w14:textFill>
            <w14:solidFill>
              <w14:schemeClr w14:val="tx1"/>
            </w14:solidFill>
          </w14:textFill>
        </w:rPr>
        <w:t>300</w:t>
      </w:r>
      <w:r>
        <w:rPr>
          <w:rFonts w:hint="eastAsia" w:ascii="仿宋" w:hAnsi="仿宋" w:eastAsia="仿宋" w:cs="Times New Roman"/>
          <w:color w:val="000000" w:themeColor="text1"/>
          <w:highlight w:val="none"/>
          <w14:textFill>
            <w14:solidFill>
              <w14:schemeClr w14:val="tx1"/>
            </w14:solidFill>
          </w14:textFill>
        </w:rPr>
        <w:t>～</w:t>
      </w:r>
      <w:r>
        <w:rPr>
          <w:rFonts w:ascii="仿宋" w:hAnsi="仿宋" w:eastAsia="仿宋" w:cs="Times New Roman"/>
          <w:color w:val="000000" w:themeColor="text1"/>
          <w:highlight w:val="none"/>
          <w14:textFill>
            <w14:solidFill>
              <w14:schemeClr w14:val="tx1"/>
            </w14:solidFill>
          </w14:textFill>
        </w:rPr>
        <w:t>800</w:t>
      </w:r>
      <w:r>
        <w:rPr>
          <w:rFonts w:hint="eastAsia" w:ascii="仿宋" w:hAnsi="仿宋" w:eastAsia="仿宋" w:cs="Times New Roman"/>
          <w:color w:val="000000" w:themeColor="text1"/>
          <w:highlight w:val="none"/>
          <w14:textFill>
            <w14:solidFill>
              <w14:schemeClr w14:val="tx1"/>
            </w14:solidFill>
          </w14:textFill>
        </w:rPr>
        <w:t>米。按</w:t>
      </w:r>
      <w:r>
        <w:rPr>
          <w:rFonts w:ascii="仿宋" w:hAnsi="仿宋" w:eastAsia="仿宋" w:cs="Times New Roman"/>
          <w:color w:val="000000" w:themeColor="text1"/>
          <w:highlight w:val="none"/>
          <w14:textFill>
            <w14:solidFill>
              <w14:schemeClr w14:val="tx1"/>
            </w14:solidFill>
          </w14:textFill>
        </w:rPr>
        <w:t>2-4</w:t>
      </w:r>
      <w:r>
        <w:rPr>
          <w:rFonts w:hint="eastAsia" w:ascii="仿宋" w:hAnsi="仿宋" w:eastAsia="仿宋" w:cs="Times New Roman"/>
          <w:color w:val="000000" w:themeColor="text1"/>
          <w:highlight w:val="none"/>
          <w14:textFill>
            <w14:solidFill>
              <w14:schemeClr w14:val="tx1"/>
            </w14:solidFill>
          </w14:textFill>
        </w:rPr>
        <w:t>平方公里</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座设置垃圾转运站，每个镇区需设置</w:t>
      </w:r>
      <w:r>
        <w:rPr>
          <w:rFonts w:ascii="仿宋" w:hAnsi="仿宋" w:eastAsia="仿宋" w:cs="Times New Roman"/>
          <w:color w:val="000000" w:themeColor="text1"/>
          <w:highlight w:val="none"/>
          <w14:textFill>
            <w14:solidFill>
              <w14:schemeClr w14:val="tx1"/>
            </w14:solidFill>
          </w14:textFill>
        </w:rPr>
        <w:t>1-2</w:t>
      </w:r>
      <w:r>
        <w:rPr>
          <w:rFonts w:hint="eastAsia" w:ascii="仿宋" w:hAnsi="仿宋" w:eastAsia="仿宋" w:cs="Times New Roman"/>
          <w:color w:val="000000" w:themeColor="text1"/>
          <w:highlight w:val="none"/>
          <w14:textFill>
            <w14:solidFill>
              <w14:schemeClr w14:val="tx1"/>
            </w14:solidFill>
          </w14:textFill>
        </w:rPr>
        <w:t>座小型垃圾转运站。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农村：农村居民点按每</w:t>
      </w:r>
      <w:r>
        <w:rPr>
          <w:rFonts w:ascii="仿宋" w:hAnsi="仿宋" w:eastAsia="仿宋" w:cs="Times New Roman"/>
          <w:color w:val="000000" w:themeColor="text1"/>
          <w:highlight w:val="none"/>
          <w14:textFill>
            <w14:solidFill>
              <w14:schemeClr w14:val="tx1"/>
            </w14:solidFill>
          </w14:textFill>
        </w:rPr>
        <w:t>200</w:t>
      </w:r>
      <w:r>
        <w:rPr>
          <w:rFonts w:hint="eastAsia" w:ascii="仿宋" w:hAnsi="仿宋" w:eastAsia="仿宋" w:cs="Times New Roman"/>
          <w:color w:val="000000" w:themeColor="text1"/>
          <w:highlight w:val="none"/>
          <w14:textFill>
            <w14:solidFill>
              <w14:schemeClr w14:val="tx1"/>
            </w14:solidFill>
          </w14:textFill>
        </w:rPr>
        <w:t>户设置</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个收集点，沿街布置移动式垃圾桶。</w:t>
      </w:r>
    </w:p>
    <w:p>
      <w:pPr>
        <w:ind w:firstLine="562" w:firstLineChars="200"/>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垃圾清运及处理</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按村收集、镇转运、市集中处理的方式，规划保留广水片区的垃圾填埋场，在十里街道千户冲村岗岭湾新建一处垃圾处理设施，处理方式为焚烧发电</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城南工业区南侧新建一处工业垃圾处理设施。</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环卫队伍和环卫车辆</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中心城区：环卫职工按服务人口的</w:t>
      </w:r>
      <w:r>
        <w:rPr>
          <w:rFonts w:ascii="仿宋" w:hAnsi="仿宋" w:eastAsia="仿宋" w:cs="Times New Roman"/>
          <w:color w:val="000000" w:themeColor="text1"/>
          <w:highlight w:val="none"/>
          <w14:textFill>
            <w14:solidFill>
              <w14:schemeClr w14:val="tx1"/>
            </w14:solidFill>
          </w14:textFill>
        </w:rPr>
        <w:t>0.3</w:t>
      </w:r>
      <w:r>
        <w:rPr>
          <w:rFonts w:hint="eastAsia" w:ascii="仿宋" w:hAnsi="仿宋" w:eastAsia="仿宋" w:cs="Times New Roman"/>
          <w:color w:val="000000" w:themeColor="text1"/>
          <w:highlight w:val="none"/>
          <w14:textFill>
            <w14:solidFill>
              <w14:schemeClr w14:val="tx1"/>
            </w14:solidFill>
          </w14:textFill>
        </w:rPr>
        <w:t>％配置；环卫车辆按服务人口的万分之二点五配备，同时设置环卫停车场，环卫车辆按照</w:t>
      </w:r>
      <w:r>
        <w:rPr>
          <w:rFonts w:ascii="仿宋" w:hAnsi="仿宋" w:eastAsia="仿宋" w:cs="Times New Roman"/>
          <w:color w:val="000000" w:themeColor="text1"/>
          <w:highlight w:val="none"/>
          <w14:textFill>
            <w14:solidFill>
              <w14:schemeClr w14:val="tx1"/>
            </w14:solidFill>
          </w14:textFill>
        </w:rPr>
        <w:t>150</w:t>
      </w:r>
      <w:r>
        <w:rPr>
          <w:rFonts w:hint="eastAsia" w:ascii="仿宋" w:hAnsi="仿宋" w:eastAsia="仿宋" w:cs="Times New Roman"/>
          <w:color w:val="000000" w:themeColor="text1"/>
          <w:highlight w:val="none"/>
          <w14:textFill>
            <w14:solidFill>
              <w14:schemeClr w14:val="tx1"/>
            </w14:solidFill>
          </w14:textFill>
        </w:rPr>
        <w:t>平方米</w:t>
      </w:r>
      <w:r>
        <w:rPr>
          <w:rFonts w:ascii="仿宋" w:hAnsi="仿宋" w:eastAsia="仿宋" w:cs="Times New Roman"/>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辆控制占地面积。</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乡镇：环卫职工按服务人口的</w:t>
      </w:r>
      <w:r>
        <w:rPr>
          <w:rFonts w:ascii="仿宋" w:hAnsi="仿宋" w:eastAsia="仿宋" w:cs="Times New Roman"/>
          <w:color w:val="000000" w:themeColor="text1"/>
          <w:highlight w:val="none"/>
          <w14:textFill>
            <w14:solidFill>
              <w14:schemeClr w14:val="tx1"/>
            </w14:solidFill>
          </w14:textFill>
        </w:rPr>
        <w:t>0.2</w:t>
      </w:r>
      <w:r>
        <w:rPr>
          <w:rFonts w:hint="eastAsia" w:ascii="仿宋" w:hAnsi="仿宋" w:eastAsia="仿宋" w:cs="Times New Roman"/>
          <w:color w:val="000000" w:themeColor="text1"/>
          <w:highlight w:val="none"/>
          <w14:textFill>
            <w14:solidFill>
              <w14:schemeClr w14:val="tx1"/>
            </w14:solidFill>
          </w14:textFill>
        </w:rPr>
        <w:t>％配置；环卫车辆按服务人口的万分之二配备，每个镇需配备环卫车辆</w:t>
      </w:r>
      <w:r>
        <w:rPr>
          <w:rFonts w:ascii="仿宋" w:hAnsi="仿宋" w:eastAsia="仿宋" w:cs="Times New Roman"/>
          <w:color w:val="000000" w:themeColor="text1"/>
          <w:highlight w:val="none"/>
          <w14:textFill>
            <w14:solidFill>
              <w14:schemeClr w14:val="tx1"/>
            </w14:solidFill>
          </w14:textFill>
        </w:rPr>
        <w:t>2-3</w:t>
      </w:r>
      <w:r>
        <w:rPr>
          <w:rFonts w:hint="eastAsia" w:ascii="仿宋" w:hAnsi="仿宋" w:eastAsia="仿宋" w:cs="Times New Roman"/>
          <w:color w:val="000000" w:themeColor="text1"/>
          <w:highlight w:val="none"/>
          <w14:textFill>
            <w14:solidFill>
              <w14:schemeClr w14:val="tx1"/>
            </w14:solidFill>
          </w14:textFill>
        </w:rPr>
        <w:t>台，环卫停车场一处。</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农村居民点：规划各乡村设置环卫专职人员和机构。</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w:t>
      </w:r>
      <w:r>
        <w:rPr>
          <w:rFonts w:ascii="仿宋" w:hAnsi="仿宋" w:eastAsia="仿宋"/>
          <w:b/>
          <w:bCs/>
          <w:color w:val="000000" w:themeColor="text1"/>
          <w:highlight w:val="none"/>
          <w14:textFill>
            <w14:solidFill>
              <w14:schemeClr w14:val="tx1"/>
            </w14:solidFill>
          </w14:textFill>
        </w:rPr>
        <w:t>中心城区市政基础设施规划</w:t>
      </w:r>
    </w:p>
    <w:p>
      <w:pPr>
        <w:numPr>
          <w:ilvl w:val="0"/>
          <w:numId w:val="19"/>
        </w:numPr>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给水工程</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用水量预测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中心城区人均综合用水量取400L/人</w:t>
      </w:r>
      <w:r>
        <w:rPr>
          <w:rFonts w:hint="eastAsia" w:ascii="微软雅黑" w:hAnsi="微软雅黑" w:eastAsia="微软雅黑" w:cs="微软雅黑"/>
          <w:color w:val="000000" w:themeColor="text1"/>
          <w:highlight w:val="none"/>
          <w14:textFill>
            <w14:solidFill>
              <w14:schemeClr w14:val="tx1"/>
            </w14:solidFill>
          </w14:textFill>
        </w:rPr>
        <w:t>•</w:t>
      </w:r>
      <w:r>
        <w:rPr>
          <w:rFonts w:hint="eastAsia" w:ascii="仿宋" w:hAnsi="仿宋" w:eastAsia="仿宋" w:cs="Times New Roman"/>
          <w:color w:val="000000" w:themeColor="text1"/>
          <w:highlight w:val="none"/>
          <w14:textFill>
            <w14:solidFill>
              <w14:schemeClr w14:val="tx1"/>
            </w14:solidFill>
          </w14:textFill>
        </w:rPr>
        <w:t>d，预测广水市中心城区最高日用水量为：近期12.9万吨/日，远期18万吨/日。</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水源</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飞沙河水库、许家冲水库、霞家河水库以及高峰寺水库。</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水厂</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中心城区共有四个水厂供水，四个水厂联网供水。规划期末中心城区总供水规模达到18万吨/日，可满足中心城区2035年用水需求。</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第一自来水公司二水厂、三水厂（飞沙河水厂）：水源分别为许家冲水库和飞沙河水库，供水规模均为8万吨/天，其中，为应山片区供水10.8万吨/天，为马都司新城供水4.4万吨/天。</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广水供水水厂、霞家河水厂：水源分别为高峰寺水库和霞家河水库，供水规模均为7万吨/天，其中，为广水片区供水5万吨/天。</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给水系统</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规划广水中心城区采用统一供水形式，供水管网布置应安全、可靠，以环状为主、枝状为辅。</w:t>
      </w:r>
    </w:p>
    <w:p>
      <w:pPr>
        <w:ind w:firstLine="562" w:firstLineChars="200"/>
        <w:rPr>
          <w:rFonts w:hint="eastAsia"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水源保护</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保护范围</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饮用水源一级保护区范围：取水口周边半径300m内的水域。正常水位线以上，水平距离200m范围内的陆域不超过流域分水岭范围。</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饮用水源二级保护区范围：一级保护区以外，全部库区水域及入库河流上溯3000m水域。一级保护区外，水库周边山脊线以内及入库河流上溯3000m的汇水区域。</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保护措施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在一级水域保护范围内严禁捕捞、停靠船只、游泳和从事可能污染水源的任何活动，并设立明显的标志和严禁事项告示牌，不得排入工业废水和生活污水，其沿岸不得堆放废渣；不得设立有害化学物品仓库。</w:t>
      </w:r>
    </w:p>
    <w:p>
      <w:pPr>
        <w:numPr>
          <w:ilvl w:val="0"/>
          <w:numId w:val="19"/>
        </w:numPr>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排水工程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排水体制</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规划老城区近期采用截流式合流制，远期逐步改造成雨污分流制，其他区域均采用雨污分流制。</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污水量预测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污水排放系数取0.8，规划期末2035年,估算出中心城区污水排放量为</w:t>
      </w:r>
      <w:r>
        <w:rPr>
          <w:rFonts w:ascii="仿宋" w:hAnsi="仿宋" w:eastAsia="仿宋" w:cs="Times New Roman"/>
          <w:color w:val="000000" w:themeColor="text1"/>
          <w:highlight w:val="none"/>
          <w14:textFill>
            <w14:solidFill>
              <w14:schemeClr w14:val="tx1"/>
            </w14:solidFill>
          </w14:textFill>
        </w:rPr>
        <w:t>14.</w:t>
      </w:r>
      <w:r>
        <w:rPr>
          <w:rFonts w:hint="eastAsia" w:ascii="仿宋" w:hAnsi="仿宋" w:eastAsia="仿宋" w:cs="Times New Roman"/>
          <w:color w:val="000000" w:themeColor="text1"/>
          <w:highlight w:val="none"/>
          <w14:textFill>
            <w14:solidFill>
              <w14:schemeClr w14:val="tx1"/>
            </w14:solidFill>
          </w14:textFill>
        </w:rPr>
        <w:t>4万m</w:t>
      </w:r>
      <w:r>
        <w:rPr>
          <w:rFonts w:ascii="Calibri" w:hAnsi="Calibri" w:eastAsia="仿宋" w:cs="Calibri"/>
          <w:color w:val="000000" w:themeColor="text1"/>
          <w:highlight w:val="none"/>
          <w14:textFill>
            <w14:solidFill>
              <w14:schemeClr w14:val="tx1"/>
            </w14:solidFill>
          </w14:textFill>
        </w:rPr>
        <w:t>³</w:t>
      </w:r>
      <w:r>
        <w:rPr>
          <w:rFonts w:hint="eastAsia" w:ascii="仿宋" w:hAnsi="仿宋" w:eastAsia="仿宋" w:cs="Times New Roman"/>
          <w:color w:val="000000" w:themeColor="text1"/>
          <w:highlight w:val="none"/>
          <w14:textFill>
            <w14:solidFill>
              <w14:schemeClr w14:val="tx1"/>
            </w14:solidFill>
          </w14:textFill>
        </w:rPr>
        <w:t>/天。</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污水收集系统</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中心城区污水系统依据地形地势划分为三大片区：</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I区：应山片区，污水经管道收集后送往应山污水处理厂，污水规模为10万吨/日。</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II区：马都司新城，污水沿地形经管道收集后进入东南角新建污水处理厂进行处理，污水量为4万吨/日。</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III区：广水片区，污水沿地形经管道收集后进入广水污水处理厂，污水量为4万吨/日。</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污水处理厂</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规划保留广水污水处理厂，污水处理厂规模为4万吨/日，占地面积6.3公顷。扩建应山污水处理厂，使规模达到10万吨/日，占地面积8公顷。新建马都司污水处理厂，污水处理规模为4万吨/日，占地规模4.7公顷。</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雨水工程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雨水依靠地势分散就近排入附近水体，疏通、扩宽加深现有排水沟，保证排水通畅。充分利用河涌水网，加强地下综合管廊与海绵城市建设。</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雨水量计算采用随州市暴雨强度公式为Q=ψ·q·F</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q=[1190（1+0.9lgP）]/t0.7  升/秒·公顷</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式中：t=t1+t2；</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 xml:space="preserve">      ψ——径流系数0.6；F——汇水面积（公顷）；</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 xml:space="preserve">      P——设计重现期，取2年，重要地区取3-5年。</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 xml:space="preserve">      t1——地面集水时间，取10分钟；t2——管渠内流行时间（分钟）</w:t>
      </w:r>
    </w:p>
    <w:p>
      <w:pPr>
        <w:numPr>
          <w:ilvl w:val="0"/>
          <w:numId w:val="19"/>
        </w:numPr>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电力工程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负荷预测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广水市2035年的总用电量为33.79亿千瓦时/年，最大供电负荷为795MW。</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电力设施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保留现状220千伏永阳变电站，2</w:t>
      </w:r>
      <w:r>
        <w:rPr>
          <w:rFonts w:ascii="仿宋" w:hAnsi="仿宋" w:eastAsia="仿宋" w:cs="Times New Roman"/>
          <w:color w:val="000000" w:themeColor="text1"/>
          <w:highlight w:val="none"/>
          <w14:textFill>
            <w14:solidFill>
              <w14:schemeClr w14:val="tx1"/>
            </w14:solidFill>
          </w14:textFill>
        </w:rPr>
        <w:t>20</w:t>
      </w:r>
      <w:r>
        <w:rPr>
          <w:rFonts w:hint="eastAsia" w:ascii="仿宋" w:hAnsi="仿宋" w:eastAsia="仿宋" w:cs="Times New Roman"/>
          <w:color w:val="000000" w:themeColor="text1"/>
          <w:highlight w:val="none"/>
          <w14:textFill>
            <w14:solidFill>
              <w14:schemeClr w14:val="tx1"/>
            </w14:solidFill>
          </w14:textFill>
        </w:rPr>
        <w:t>千伏景星变（原凤凰变电站）。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广水境内有 11座110千伏变电站: 十里变电站、北环变电站、杨寨变电站、冶金变电站、应山变电站、郝店变电站、竹林变电站、梅林变电站、龙垮变电站、旭升变电站、盘龙岗变电站 (原双河变电站 )。其中中心城区有 4座: 盘龙岗变电站、十里变电站、北环变电站、应山变电站。规划新建 110千伏高峰变电站、七里冲变电站、关庙变电站、三环变电站、秦河变电站、新庵变电站。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广水市调管辖范围内 13座 35 千伏变电站，5座35千伏配电站，其中中心城区 1座: 广水变电站。35 千伏输电线路 35条，总长度 386.93 公里。10千伏公用线路 137 条，总长度 2675.01 公里，其中架空 2611.6 公里，电缆长度 63.41公里。</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广水市现有风电项目 13 项，光伏发电项目 9 项，风光体项目 1项，总装机容量 87.28 万千瓦。</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结合城镇的发展，及时调整110KV及以上的电网结构，对村镇和城市建设有较大影响的高压走廊要结合用地情况及时进行调整，高压走廊应尽量布置在绿地和道路隔离带之中。</w:t>
      </w:r>
    </w:p>
    <w:p>
      <w:pPr>
        <w:numPr>
          <w:ilvl w:val="0"/>
          <w:numId w:val="19"/>
        </w:numPr>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通信工程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电信设施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规划电信局所5处，每10平方公里设置一座电信机房支局。</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规划建设和扩容移动通信设施，包括基站、配套机房和光缆传输线路及宽带建设规划，优化移动通信网络和服务。大力建设4G站点，实现4G网络全覆盖。</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移动通信基站平均每300-500米分布一个，基站尽量建在公共建筑上，在居住区应采用多基站，小功率的方式布置，减少电磁辐射。在多个经营商基站相近的地方应采用共享技术公用基站，减少重复投资和基站位置。</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邮政设施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规划邮政支局4处。其中火车站邮政支局兼做邮政物流转运中心。保留现状的邮政中心局。规划按照平均服务人口10万人标准设置邮政支局；按照服务人口2万人标准设置邮政所。</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中心城区内按照服务半径0.8-1.0公里设置邮政支局，小区邮政所按服务半径500m设置网点。</w:t>
      </w:r>
    </w:p>
    <w:p>
      <w:pPr>
        <w:numPr>
          <w:ilvl w:val="0"/>
          <w:numId w:val="19"/>
        </w:numPr>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燃气工程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气源</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规划广水市以“西气东输二线”为主要气源，液化天然气（LNG）作为补充气源。</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用气量预测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规划中心城区天然气普及率达到90%。</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规划居民燃气耗热定额2093MJ/人·年。天然气低热值取39.46MJ/标立方米，商业公建占居民耗气量的1/3，工业占居民耗气量的1/2，预留充足工业用气量。</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预测中心城区天然气总用气量为94185万标立方米/年。</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天然气系统</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根据气量预测，结合广水市城市远期发展趋势，规划保留现状的双岗天然气门站和马都司片区</w:t>
      </w:r>
      <w:bookmarkStart w:id="120" w:name="_Hlk100675797"/>
      <w:r>
        <w:rPr>
          <w:rFonts w:hint="eastAsia" w:ascii="仿宋" w:hAnsi="仿宋" w:eastAsia="仿宋" w:cs="Times New Roman"/>
          <w:color w:val="000000" w:themeColor="text1"/>
          <w:highlight w:val="none"/>
          <w14:textFill>
            <w14:solidFill>
              <w14:schemeClr w14:val="tx1"/>
            </w14:solidFill>
          </w14:textFill>
        </w:rPr>
        <w:t>王家湾棚天然气门站</w:t>
      </w:r>
      <w:bookmarkEnd w:id="120"/>
      <w:r>
        <w:rPr>
          <w:rFonts w:hint="eastAsia" w:ascii="仿宋" w:hAnsi="仿宋" w:eastAsia="仿宋" w:cs="Times New Roman"/>
          <w:color w:val="000000" w:themeColor="text1"/>
          <w:highlight w:val="none"/>
          <w14:textFill>
            <w14:solidFill>
              <w14:schemeClr w14:val="tx1"/>
            </w14:solidFill>
          </w14:textFill>
        </w:rPr>
        <w:t>。</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中心城区燃气工程规划管径在DN110~DN200之间，天然气干管采用中压A一级系统，设计压力0.4兆帕，规划将中压管网布置成环状，保障用气安全。</w:t>
      </w:r>
    </w:p>
    <w:p>
      <w:pPr>
        <w:numPr>
          <w:ilvl w:val="0"/>
          <w:numId w:val="19"/>
        </w:numPr>
        <w:rPr>
          <w:rFonts w:ascii="仿宋" w:hAnsi="仿宋" w:eastAsia="仿宋" w:cs="Times New Roman"/>
          <w:b/>
          <w:bCs/>
          <w:color w:val="000000" w:themeColor="text1"/>
          <w:highlight w:val="none"/>
          <w14:textFill>
            <w14:solidFill>
              <w14:schemeClr w14:val="tx1"/>
            </w14:solidFill>
          </w14:textFill>
        </w:rPr>
      </w:pPr>
      <w:r>
        <w:rPr>
          <w:rFonts w:hint="eastAsia" w:ascii="仿宋" w:hAnsi="仿宋" w:eastAsia="仿宋" w:cs="Times New Roman"/>
          <w:b/>
          <w:bCs/>
          <w:color w:val="000000" w:themeColor="text1"/>
          <w:highlight w:val="none"/>
          <w14:textFill>
            <w14:solidFill>
              <w14:schemeClr w14:val="tx1"/>
            </w14:solidFill>
          </w14:textFill>
        </w:rPr>
        <w:t>环卫工程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规划目标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规划中心城区生活垃圾无害化处理率达到100%，工业固体废弃物处置率达到90%以上，城市道路清扫机械化程度达到80%。</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环卫设施指标</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中心城区公厕沿规划道路布置，依人口密集程度，间距控制在300～800米，公厕标准不低于二类。</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城区生活垃圾采用小型机动车结合非机动车方式收运，转运站收集服务距离不大于3.0公里。</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环卫职工按服务人口的0.3％配置；环卫车辆按服务人口的万分之二点五配备，环卫停车场按照环卫车辆150平方米/辆选取。</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垃圾量预测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规划中心城区垃圾产生量标准为1.2公斤/人.日，预测中心城区近期垃圾产生量为</w:t>
      </w:r>
      <w:r>
        <w:rPr>
          <w:rFonts w:ascii="仿宋" w:hAnsi="仿宋" w:eastAsia="仿宋" w:cs="Times New Roman"/>
          <w:color w:val="000000" w:themeColor="text1"/>
          <w:highlight w:val="none"/>
          <w14:textFill>
            <w14:solidFill>
              <w14:schemeClr w14:val="tx1"/>
            </w14:solidFill>
          </w14:textFill>
        </w:rPr>
        <w:t>386</w:t>
      </w:r>
      <w:r>
        <w:rPr>
          <w:rFonts w:hint="eastAsia" w:ascii="仿宋" w:hAnsi="仿宋" w:eastAsia="仿宋" w:cs="Times New Roman"/>
          <w:color w:val="000000" w:themeColor="text1"/>
          <w:highlight w:val="none"/>
          <w14:textFill>
            <w14:solidFill>
              <w14:schemeClr w14:val="tx1"/>
            </w14:solidFill>
          </w14:textFill>
        </w:rPr>
        <w:t>吨/日，远期垃圾产生量为</w:t>
      </w:r>
      <w:r>
        <w:rPr>
          <w:rFonts w:ascii="仿宋" w:hAnsi="仿宋" w:eastAsia="仿宋" w:cs="Times New Roman"/>
          <w:color w:val="000000" w:themeColor="text1"/>
          <w:highlight w:val="none"/>
          <w14:textFill>
            <w14:solidFill>
              <w14:schemeClr w14:val="tx1"/>
            </w14:solidFill>
          </w14:textFill>
        </w:rPr>
        <w:t>5</w:t>
      </w:r>
      <w:r>
        <w:rPr>
          <w:rFonts w:hint="eastAsia" w:ascii="仿宋" w:hAnsi="仿宋" w:eastAsia="仿宋" w:cs="Times New Roman"/>
          <w:color w:val="000000" w:themeColor="text1"/>
          <w:highlight w:val="none"/>
          <w14:textFill>
            <w14:solidFill>
              <w14:schemeClr w14:val="tx1"/>
            </w14:solidFill>
          </w14:textFill>
        </w:rPr>
        <w:t>40吨/日。</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垃圾收集及处理</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保留广水片区及应山片区的垃圾填埋场，日处理能力为200吨，规划远期将对应山片区垃圾填埋场进行生态修复；在十里街道千户冲村岗岭湾新建一处垃圾处理设施，处理方式为焚烧发电，近期规划日处理能力为400吨/天，远期规划日处理能力扩建为800吨；城南工业区南侧新建一处工业垃圾压缩站。日处理能力为400吨/天。</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工业固体废弃物的处理以综合利用为主，尽可能地根据废物利用的产业链安排上下游产业，化废为宝。建立城市建筑垃圾、餐厨垃圾及污水处理厂污泥集中处理设施，加强对医疗废物和其他危险废物的监管，实现安全处置，并由随州市危险固体废物处理中心统一监管、处理。</w:t>
      </w:r>
    </w:p>
    <w:p>
      <w:pPr>
        <w:pStyle w:val="4"/>
        <w:rPr>
          <w:rFonts w:ascii="仿宋" w:hAnsi="仿宋" w:eastAsia="仿宋"/>
          <w:color w:val="000000" w:themeColor="text1"/>
          <w:highlight w:val="none"/>
          <w14:textFill>
            <w14:solidFill>
              <w14:schemeClr w14:val="tx1"/>
            </w14:solidFill>
          </w14:textFill>
        </w:rPr>
      </w:pPr>
      <w:bookmarkStart w:id="121" w:name="_Toc16514"/>
      <w:r>
        <w:rPr>
          <w:rFonts w:hint="eastAsia" w:ascii="仿宋" w:hAnsi="仿宋" w:eastAsia="仿宋"/>
          <w:color w:val="000000" w:themeColor="text1"/>
          <w:highlight w:val="none"/>
          <w14:textFill>
            <w14:solidFill>
              <w14:schemeClr w14:val="tx1"/>
            </w14:solidFill>
          </w14:textFill>
        </w:rPr>
        <w:t>第</w:t>
      </w:r>
      <w:r>
        <w:rPr>
          <w:rFonts w:ascii="仿宋" w:hAnsi="仿宋" w:eastAsia="仿宋"/>
          <w:color w:val="000000" w:themeColor="text1"/>
          <w:highlight w:val="none"/>
          <w14:textFill>
            <w14:solidFill>
              <w14:schemeClr w14:val="tx1"/>
            </w14:solidFill>
          </w14:textFill>
        </w:rPr>
        <w:t>4</w:t>
      </w:r>
      <w:r>
        <w:rPr>
          <w:rFonts w:hint="eastAsia" w:ascii="仿宋" w:hAnsi="仿宋" w:eastAsia="仿宋"/>
          <w:color w:val="000000" w:themeColor="text1"/>
          <w:highlight w:val="none"/>
          <w14:textFill>
            <w14:solidFill>
              <w14:schemeClr w14:val="tx1"/>
            </w14:solidFill>
          </w14:textFill>
        </w:rPr>
        <w:t>节 公共安全与</w:t>
      </w:r>
      <w:r>
        <w:rPr>
          <w:rFonts w:ascii="仿宋" w:hAnsi="仿宋" w:eastAsia="仿宋"/>
          <w:color w:val="000000" w:themeColor="text1"/>
          <w:highlight w:val="none"/>
          <w14:textFill>
            <w14:solidFill>
              <w14:schemeClr w14:val="tx1"/>
            </w14:solidFill>
          </w14:textFill>
        </w:rPr>
        <w:t>综合防灾</w:t>
      </w:r>
      <w:bookmarkEnd w:id="121"/>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（1）防灾减灾与目标与分区</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防灾减灾目标。整合优化，确立对所有单一灾害管理和协调的综合应急机制。体系建设，形成应对灾害的测、防、抗综合应对体系。韧性建设，提升城乡防灾减灾工程安全保障能力和社会应急能力。</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防灾减灾分区。划定灾害危险性分区，引导各区开展防灾减灾救灾体系建设。广水市危险等级为中等，重点关注地质灾害监测与治理，完善防洪体系建设，注意防范自然灾害事件，加快布局城乡消防设施。曾都区危险等级为低等，重点完善城市防洪排涝工程建设，加强城市消防设施布局与危险源管控，推进抗震设防管理，构建坚强的公共卫生救治系统，关注镇办部分地质灾害风险与消防能力提升。</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w:t>
      </w:r>
      <w:r>
        <w:rPr>
          <w:rFonts w:ascii="仿宋" w:hAnsi="仿宋" w:eastAsia="仿宋"/>
          <w:b/>
          <w:bCs/>
          <w:color w:val="000000" w:themeColor="text1"/>
          <w:highlight w:val="none"/>
          <w14:textFill>
            <w14:solidFill>
              <w14:schemeClr w14:val="tx1"/>
            </w14:solidFill>
          </w14:textFill>
        </w:rPr>
        <w:t>市域综合防灾减灾规划</w:t>
      </w:r>
    </w:p>
    <w:p>
      <w:pPr>
        <w:numPr>
          <w:ilvl w:val="0"/>
          <w:numId w:val="20"/>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防洪</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根据《防洪标准》（</w:t>
      </w:r>
      <w:r>
        <w:rPr>
          <w:rFonts w:ascii="仿宋" w:hAnsi="仿宋" w:eastAsia="仿宋" w:cs="Times New Roman"/>
          <w:color w:val="000000" w:themeColor="text1"/>
          <w:highlight w:val="none"/>
          <w14:textFill>
            <w14:solidFill>
              <w14:schemeClr w14:val="tx1"/>
            </w14:solidFill>
          </w14:textFill>
        </w:rPr>
        <w:t>GB50201-94</w:t>
      </w:r>
      <w:r>
        <w:rPr>
          <w:rFonts w:hint="eastAsia" w:ascii="仿宋" w:hAnsi="仿宋" w:eastAsia="仿宋" w:cs="Times New Roman"/>
          <w:color w:val="000000" w:themeColor="text1"/>
          <w:highlight w:val="none"/>
          <w14:textFill>
            <w14:solidFill>
              <w14:schemeClr w14:val="tx1"/>
            </w14:solidFill>
          </w14:textFill>
        </w:rPr>
        <w:t>），广水城区城市等级为</w:t>
      </w:r>
      <w:r>
        <w:rPr>
          <w:rFonts w:ascii="仿宋" w:hAnsi="仿宋" w:eastAsia="仿宋" w:cs="Times New Roman"/>
          <w:color w:val="000000" w:themeColor="text1"/>
          <w:highlight w:val="none"/>
          <w14:textFill>
            <w14:solidFill>
              <w14:schemeClr w14:val="tx1"/>
            </w14:solidFill>
          </w14:textFill>
        </w:rPr>
        <w:t>III</w:t>
      </w:r>
      <w:r>
        <w:rPr>
          <w:rFonts w:hint="eastAsia" w:ascii="仿宋" w:hAnsi="仿宋" w:eastAsia="仿宋" w:cs="Times New Roman"/>
          <w:color w:val="000000" w:themeColor="text1"/>
          <w:highlight w:val="none"/>
          <w14:textFill>
            <w14:solidFill>
              <w14:schemeClr w14:val="tx1"/>
            </w14:solidFill>
          </w14:textFill>
        </w:rPr>
        <w:t>级（中等城市，非农人口</w:t>
      </w:r>
      <w:r>
        <w:rPr>
          <w:rFonts w:hint="eastAsia" w:ascii="仿宋" w:hAnsi="仿宋" w:eastAsia="仿宋" w:cs="Times New Roman"/>
          <w:color w:val="000000" w:themeColor="text1"/>
          <w:highlight w:val="none"/>
          <w:lang w:eastAsia="zh-CN"/>
          <w14:textFill>
            <w14:solidFill>
              <w14:schemeClr w14:val="tx1"/>
            </w14:solidFill>
          </w14:textFill>
        </w:rPr>
        <w:t>50万-20万</w:t>
      </w:r>
      <w:r>
        <w:rPr>
          <w:rFonts w:hint="eastAsia" w:ascii="仿宋" w:hAnsi="仿宋" w:eastAsia="仿宋" w:cs="Times New Roman"/>
          <w:color w:val="000000" w:themeColor="text1"/>
          <w:highlight w:val="none"/>
          <w14:textFill>
            <w14:solidFill>
              <w14:schemeClr w14:val="tx1"/>
            </w14:solidFill>
          </w14:textFill>
        </w:rPr>
        <w:t>），防洪标准为</w:t>
      </w:r>
      <w:r>
        <w:rPr>
          <w:rFonts w:ascii="仿宋" w:hAnsi="仿宋" w:eastAsia="仿宋" w:cs="Times New Roman"/>
          <w:color w:val="000000" w:themeColor="text1"/>
          <w:highlight w:val="none"/>
          <w14:textFill>
            <w14:solidFill>
              <w14:schemeClr w14:val="tx1"/>
            </w14:solidFill>
          </w14:textFill>
        </w:rPr>
        <w:t>100</w:t>
      </w:r>
      <w:r>
        <w:rPr>
          <w:rFonts w:hint="eastAsia" w:ascii="仿宋" w:hAnsi="仿宋" w:eastAsia="仿宋" w:cs="Times New Roman"/>
          <w:color w:val="000000" w:themeColor="text1"/>
          <w:highlight w:val="none"/>
          <w14:textFill>
            <w14:solidFill>
              <w14:schemeClr w14:val="tx1"/>
            </w14:solidFill>
          </w14:textFill>
        </w:rPr>
        <w:t>～</w:t>
      </w:r>
      <w:r>
        <w:rPr>
          <w:rFonts w:ascii="仿宋" w:hAnsi="仿宋" w:eastAsia="仿宋" w:cs="Times New Roman"/>
          <w:color w:val="000000" w:themeColor="text1"/>
          <w:highlight w:val="none"/>
          <w14:textFill>
            <w14:solidFill>
              <w14:schemeClr w14:val="tx1"/>
            </w14:solidFill>
          </w14:textFill>
        </w:rPr>
        <w:t>50</w:t>
      </w:r>
      <w:r>
        <w:rPr>
          <w:rFonts w:hint="eastAsia" w:ascii="仿宋" w:hAnsi="仿宋" w:eastAsia="仿宋" w:cs="Times New Roman"/>
          <w:color w:val="000000" w:themeColor="text1"/>
          <w:highlight w:val="none"/>
          <w14:textFill>
            <w14:solidFill>
              <w14:schemeClr w14:val="tx1"/>
            </w14:solidFill>
          </w14:textFill>
        </w:rPr>
        <w:t>年一遇，规划广水市中心城区防洪标准为</w:t>
      </w:r>
      <w:r>
        <w:rPr>
          <w:rFonts w:ascii="仿宋" w:hAnsi="仿宋" w:eastAsia="仿宋" w:cs="Times New Roman"/>
          <w:color w:val="000000" w:themeColor="text1"/>
          <w:highlight w:val="none"/>
          <w14:textFill>
            <w14:solidFill>
              <w14:schemeClr w14:val="tx1"/>
            </w14:solidFill>
          </w14:textFill>
        </w:rPr>
        <w:t>50</w:t>
      </w:r>
      <w:r>
        <w:rPr>
          <w:rFonts w:hint="eastAsia" w:ascii="仿宋" w:hAnsi="仿宋" w:eastAsia="仿宋" w:cs="Times New Roman"/>
          <w:color w:val="000000" w:themeColor="text1"/>
          <w:highlight w:val="none"/>
          <w14:textFill>
            <w14:solidFill>
              <w14:schemeClr w14:val="tx1"/>
            </w14:solidFill>
          </w14:textFill>
        </w:rPr>
        <w:t>年一遇，乡镇综合防洪能力达到</w:t>
      </w:r>
      <w:r>
        <w:rPr>
          <w:rFonts w:ascii="仿宋" w:hAnsi="仿宋" w:eastAsia="仿宋" w:cs="Times New Roman"/>
          <w:color w:val="000000" w:themeColor="text1"/>
          <w:highlight w:val="none"/>
          <w14:textFill>
            <w14:solidFill>
              <w14:schemeClr w14:val="tx1"/>
            </w14:solidFill>
          </w14:textFill>
        </w:rPr>
        <w:t>20</w:t>
      </w:r>
      <w:r>
        <w:rPr>
          <w:rFonts w:hint="eastAsia" w:ascii="仿宋" w:hAnsi="仿宋" w:eastAsia="仿宋" w:cs="Times New Roman"/>
          <w:color w:val="000000" w:themeColor="text1"/>
          <w:highlight w:val="none"/>
          <w14:textFill>
            <w14:solidFill>
              <w14:schemeClr w14:val="tx1"/>
            </w14:solidFill>
          </w14:textFill>
        </w:rPr>
        <w:t>年一遇标准，乡村综合防洪能力达到</w:t>
      </w:r>
      <w:r>
        <w:rPr>
          <w:rFonts w:ascii="仿宋" w:hAnsi="仿宋" w:eastAsia="仿宋" w:cs="Times New Roman"/>
          <w:color w:val="000000" w:themeColor="text1"/>
          <w:highlight w:val="none"/>
          <w14:textFill>
            <w14:solidFill>
              <w14:schemeClr w14:val="tx1"/>
            </w14:solidFill>
          </w14:textFill>
        </w:rPr>
        <w:t>10</w:t>
      </w:r>
      <w:r>
        <w:rPr>
          <w:rFonts w:hint="eastAsia" w:ascii="仿宋" w:hAnsi="仿宋" w:eastAsia="仿宋" w:cs="Times New Roman"/>
          <w:color w:val="000000" w:themeColor="text1"/>
          <w:highlight w:val="none"/>
          <w14:textFill>
            <w14:solidFill>
              <w14:schemeClr w14:val="tx1"/>
            </w14:solidFill>
          </w14:textFill>
        </w:rPr>
        <w:t>年一遇标准。</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规划中型水库达到</w:t>
      </w:r>
      <w:r>
        <w:rPr>
          <w:rFonts w:ascii="仿宋" w:hAnsi="仿宋" w:eastAsia="仿宋" w:cs="Times New Roman"/>
          <w:color w:val="000000" w:themeColor="text1"/>
          <w:highlight w:val="none"/>
          <w14:textFill>
            <w14:solidFill>
              <w14:schemeClr w14:val="tx1"/>
            </w14:solidFill>
          </w14:textFill>
        </w:rPr>
        <w:t>50</w:t>
      </w:r>
      <w:r>
        <w:rPr>
          <w:rFonts w:hint="eastAsia" w:ascii="仿宋" w:hAnsi="仿宋" w:eastAsia="仿宋" w:cs="Times New Roman"/>
          <w:color w:val="000000" w:themeColor="text1"/>
          <w:highlight w:val="none"/>
          <w14:textFill>
            <w14:solidFill>
              <w14:schemeClr w14:val="tx1"/>
            </w14:solidFill>
          </w14:textFill>
        </w:rPr>
        <w:t>～</w:t>
      </w:r>
      <w:r>
        <w:rPr>
          <w:rFonts w:ascii="仿宋" w:hAnsi="仿宋" w:eastAsia="仿宋" w:cs="Times New Roman"/>
          <w:color w:val="000000" w:themeColor="text1"/>
          <w:highlight w:val="none"/>
          <w14:textFill>
            <w14:solidFill>
              <w14:schemeClr w14:val="tx1"/>
            </w14:solidFill>
          </w14:textFill>
        </w:rPr>
        <w:t>100</w:t>
      </w:r>
      <w:r>
        <w:rPr>
          <w:rFonts w:hint="eastAsia" w:ascii="仿宋" w:hAnsi="仿宋" w:eastAsia="仿宋" w:cs="Times New Roman"/>
          <w:color w:val="000000" w:themeColor="text1"/>
          <w:highlight w:val="none"/>
          <w14:textFill>
            <w14:solidFill>
              <w14:schemeClr w14:val="tx1"/>
            </w14:solidFill>
          </w14:textFill>
        </w:rPr>
        <w:t>年一遇设计洪水标准，小（一）型水库达到</w:t>
      </w:r>
      <w:r>
        <w:rPr>
          <w:rFonts w:ascii="仿宋" w:hAnsi="仿宋" w:eastAsia="仿宋" w:cs="Times New Roman"/>
          <w:color w:val="000000" w:themeColor="text1"/>
          <w:highlight w:val="none"/>
          <w14:textFill>
            <w14:solidFill>
              <w14:schemeClr w14:val="tx1"/>
            </w14:solidFill>
          </w14:textFill>
        </w:rPr>
        <w:t>30</w:t>
      </w:r>
      <w:r>
        <w:rPr>
          <w:rFonts w:hint="eastAsia" w:ascii="仿宋" w:hAnsi="仿宋" w:eastAsia="仿宋" w:cs="Times New Roman"/>
          <w:color w:val="000000" w:themeColor="text1"/>
          <w:highlight w:val="none"/>
          <w14:textFill>
            <w14:solidFill>
              <w14:schemeClr w14:val="tx1"/>
            </w14:solidFill>
          </w14:textFill>
        </w:rPr>
        <w:t>年一遇设计洪水标准。</w:t>
      </w:r>
    </w:p>
    <w:p>
      <w:pPr>
        <w:numPr>
          <w:ilvl w:val="0"/>
          <w:numId w:val="20"/>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抗震设防标准</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广水市域处于地震基本烈度</w:t>
      </w:r>
      <w:r>
        <w:rPr>
          <w:rFonts w:ascii="仿宋" w:hAnsi="仿宋" w:eastAsia="仿宋" w:cs="Times New Roman"/>
          <w:color w:val="000000" w:themeColor="text1"/>
          <w:highlight w:val="none"/>
          <w14:textFill>
            <w14:solidFill>
              <w14:schemeClr w14:val="tx1"/>
            </w14:solidFill>
          </w14:textFill>
        </w:rPr>
        <w:t>VI</w:t>
      </w:r>
      <w:r>
        <w:rPr>
          <w:rFonts w:hint="eastAsia" w:ascii="仿宋" w:hAnsi="仿宋" w:eastAsia="仿宋" w:cs="Times New Roman"/>
          <w:color w:val="000000" w:themeColor="text1"/>
          <w:highlight w:val="none"/>
          <w14:textFill>
            <w14:solidFill>
              <w14:schemeClr w14:val="tx1"/>
            </w14:solidFill>
          </w14:textFill>
        </w:rPr>
        <w:t>度区，规划一般建筑按六度设防，对城市生命线工程、易产生次生灾害的工程及设施，提高一度重点设防。</w:t>
      </w:r>
    </w:p>
    <w:p>
      <w:pPr>
        <w:numPr>
          <w:ilvl w:val="0"/>
          <w:numId w:val="20"/>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人防标准</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规划期末中心城区和各镇区战时留城人口比例</w:t>
      </w:r>
      <w:r>
        <w:rPr>
          <w:rFonts w:hint="eastAsia" w:ascii="仿宋" w:hAnsi="仿宋" w:eastAsia="仿宋" w:cs="Times New Roman"/>
          <w:color w:val="000000" w:themeColor="text1"/>
          <w:highlight w:val="none"/>
          <w:lang w:eastAsia="zh-CN"/>
          <w14:textFill>
            <w14:solidFill>
              <w14:schemeClr w14:val="tx1"/>
            </w14:solidFill>
          </w14:textFill>
        </w:rPr>
        <w:t>30%-40%</w:t>
      </w:r>
      <w:r>
        <w:rPr>
          <w:rFonts w:hint="eastAsia" w:ascii="仿宋" w:hAnsi="仿宋" w:eastAsia="仿宋" w:cs="Times New Roman"/>
          <w:color w:val="000000" w:themeColor="text1"/>
          <w:highlight w:val="none"/>
          <w14:textFill>
            <w14:solidFill>
              <w14:schemeClr w14:val="tx1"/>
            </w14:solidFill>
          </w14:textFill>
        </w:rPr>
        <w:t>，人均占有人防工程面积</w:t>
      </w:r>
      <w:r>
        <w:rPr>
          <w:rFonts w:ascii="仿宋" w:hAnsi="仿宋" w:eastAsia="仿宋" w:cs="Times New Roman"/>
          <w:color w:val="000000" w:themeColor="text1"/>
          <w:highlight w:val="none"/>
          <w14:textFill>
            <w14:solidFill>
              <w14:schemeClr w14:val="tx1"/>
            </w14:solidFill>
          </w14:textFill>
        </w:rPr>
        <w:t>1.5</w:t>
      </w:r>
      <w:r>
        <w:rPr>
          <w:rFonts w:hint="eastAsia" w:ascii="仿宋" w:hAnsi="仿宋" w:eastAsia="仿宋" w:cs="Times New Roman"/>
          <w:color w:val="000000" w:themeColor="text1"/>
          <w:highlight w:val="none"/>
          <w14:textFill>
            <w14:solidFill>
              <w14:schemeClr w14:val="tx1"/>
            </w14:solidFill>
          </w14:textFill>
        </w:rPr>
        <w:t>平方米。</w:t>
      </w:r>
    </w:p>
    <w:p>
      <w:pPr>
        <w:numPr>
          <w:ilvl w:val="0"/>
          <w:numId w:val="20"/>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消防安全</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中心城区按</w:t>
      </w:r>
      <w:r>
        <w:rPr>
          <w:rFonts w:ascii="仿宋" w:hAnsi="仿宋" w:eastAsia="仿宋" w:cs="Times New Roman"/>
          <w:color w:val="000000" w:themeColor="text1"/>
          <w:highlight w:val="none"/>
          <w14:textFill>
            <w14:solidFill>
              <w14:schemeClr w14:val="tx1"/>
            </w14:solidFill>
          </w14:textFill>
        </w:rPr>
        <w:t>4-7</w:t>
      </w:r>
      <w:r>
        <w:rPr>
          <w:rFonts w:hint="eastAsia" w:ascii="仿宋" w:hAnsi="仿宋" w:eastAsia="仿宋" w:cs="Times New Roman"/>
          <w:color w:val="000000" w:themeColor="text1"/>
          <w:highlight w:val="none"/>
          <w14:textFill>
            <w14:solidFill>
              <w14:schemeClr w14:val="tx1"/>
            </w14:solidFill>
          </w14:textFill>
        </w:rPr>
        <w:t>平方公里的服务面积结合用地，布置普通消防站。现状已有消防站3个，规划新建</w:t>
      </w:r>
      <w:r>
        <w:rPr>
          <w:rFonts w:ascii="仿宋" w:hAnsi="仿宋" w:eastAsia="仿宋" w:cs="Times New Roman"/>
          <w:color w:val="000000" w:themeColor="text1"/>
          <w:highlight w:val="none"/>
          <w14:textFill>
            <w14:solidFill>
              <w14:schemeClr w14:val="tx1"/>
            </w14:solidFill>
          </w14:textFill>
        </w:rPr>
        <w:t>6</w:t>
      </w:r>
      <w:r>
        <w:rPr>
          <w:rFonts w:hint="eastAsia" w:ascii="仿宋" w:hAnsi="仿宋" w:eastAsia="仿宋" w:cs="Times New Roman"/>
          <w:color w:val="000000" w:themeColor="text1"/>
          <w:highlight w:val="none"/>
          <w14:textFill>
            <w14:solidFill>
              <w14:schemeClr w14:val="tx1"/>
            </w14:solidFill>
          </w14:textFill>
        </w:rPr>
        <w:t>处消防站。其他镇各设置专职消防队</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个。乡镇及远离城区大型企业在保证消防供水的前提下，逐步完善室外消火栓设置，自行或结合城区布置小型普通消防站或消防值班室，配备消防通讯设备和灭火设备。</w:t>
      </w:r>
    </w:p>
    <w:p>
      <w:pPr>
        <w:numPr>
          <w:ilvl w:val="0"/>
          <w:numId w:val="20"/>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防灾体系建设</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建立安全可靠高效的城市生命线系统，提高城市抗灾能力，保障社会稳定和经济发展。</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应急避难场所</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城区规划应急疏散场所两处，分别位于滨河公园及中山广场，其中，滨河公园的应急避难场所面积为5000平方米，可容纳避难人数10000人，中山广场的应急避难场所面积为12000平方米，可容纳避难人数18000人。</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各镇区建立避难救助场所，应具备医疗急救、卫生防疫、物资分配和中长期宿住等功能。</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救灾疏散通道</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范围主要道路干线与对外交通干线为人防物资运输和居民疏散交通线；给排水、供电、燃气、天然气、重要交通设施，在满足和平时期生产、生活要求的前提下，规划设计时应考虑战时疏散的特殊要求。规划应广大道为联接东西区域的救援主干道，规划西环路、四贤路、大邦路、十长路、三李线、新城大道、沿河路、广武大道、鄂北大道、武兴大道为主要对外疏散道路。</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运输通道</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规划环城北路、广武大道、南环路为应急运输通道。</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城市生命线工程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规划急救医疗机构</w:t>
      </w:r>
      <w:r>
        <w:rPr>
          <w:rFonts w:ascii="仿宋" w:hAnsi="仿宋" w:eastAsia="仿宋" w:cs="Times New Roman"/>
          <w:color w:val="000000" w:themeColor="text1"/>
          <w:highlight w:val="none"/>
          <w14:textFill>
            <w14:solidFill>
              <w14:schemeClr w14:val="tx1"/>
            </w14:solidFill>
          </w14:textFill>
        </w:rPr>
        <w:t>X</w:t>
      </w:r>
      <w:r>
        <w:rPr>
          <w:rFonts w:hint="eastAsia" w:ascii="仿宋" w:hAnsi="仿宋" w:eastAsia="仿宋" w:cs="Times New Roman"/>
          <w:color w:val="000000" w:themeColor="text1"/>
          <w:highlight w:val="none"/>
          <w14:textFill>
            <w14:solidFill>
              <w14:schemeClr w14:val="tx1"/>
            </w14:solidFill>
          </w14:textFill>
        </w:rPr>
        <w:t>处。建设好维持城市生存功能系统的供水排水系统工程、能源供给系统工程、通信系统工程、医疗系统工程及交通系统工程。</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w:t>
      </w:r>
      <w:r>
        <w:rPr>
          <w:rFonts w:ascii="仿宋" w:hAnsi="仿宋" w:eastAsia="仿宋"/>
          <w:b/>
          <w:bCs/>
          <w:color w:val="000000" w:themeColor="text1"/>
          <w:highlight w:val="none"/>
          <w14:textFill>
            <w14:solidFill>
              <w14:schemeClr w14:val="tx1"/>
            </w14:solidFill>
          </w14:textFill>
        </w:rPr>
        <w:t>中心城区综合防灾减灾规划</w:t>
      </w:r>
    </w:p>
    <w:p>
      <w:pPr>
        <w:numPr>
          <w:ilvl w:val="0"/>
          <w:numId w:val="21"/>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抗震工程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根据《中国地震动参数区划图（</w:t>
      </w:r>
      <w:r>
        <w:rPr>
          <w:rFonts w:ascii="仿宋" w:hAnsi="仿宋" w:eastAsia="仿宋" w:cs="Times New Roman"/>
          <w:b/>
          <w:bCs/>
          <w:color w:val="000000" w:themeColor="text1"/>
          <w:highlight w:val="none"/>
          <w14:textFill>
            <w14:solidFill>
              <w14:schemeClr w14:val="tx1"/>
            </w14:solidFill>
          </w14:textFill>
        </w:rPr>
        <w:t>GB18306-2001</w:t>
      </w:r>
      <w:r>
        <w:rPr>
          <w:rFonts w:hint="eastAsia" w:ascii="仿宋" w:hAnsi="仿宋" w:eastAsia="仿宋" w:cs="Times New Roman"/>
          <w:color w:val="000000" w:themeColor="text1"/>
          <w:highlight w:val="none"/>
          <w14:textFill>
            <w14:solidFill>
              <w14:schemeClr w14:val="tx1"/>
            </w14:solidFill>
          </w14:textFill>
        </w:rPr>
        <w:t>）》，广水市位于基本烈度</w:t>
      </w:r>
      <w:r>
        <w:rPr>
          <w:rFonts w:ascii="仿宋" w:hAnsi="仿宋" w:eastAsia="仿宋" w:cs="Times New Roman"/>
          <w:b/>
          <w:bCs/>
          <w:color w:val="000000" w:themeColor="text1"/>
          <w:highlight w:val="none"/>
          <w14:textFill>
            <w14:solidFill>
              <w14:schemeClr w14:val="tx1"/>
            </w14:solidFill>
          </w14:textFill>
        </w:rPr>
        <w:t>6</w:t>
      </w:r>
      <w:r>
        <w:rPr>
          <w:rFonts w:hint="eastAsia" w:ascii="仿宋" w:hAnsi="仿宋" w:eastAsia="仿宋" w:cs="Times New Roman"/>
          <w:color w:val="000000" w:themeColor="text1"/>
          <w:highlight w:val="none"/>
          <w14:textFill>
            <w14:solidFill>
              <w14:schemeClr w14:val="tx1"/>
            </w14:solidFill>
          </w14:textFill>
        </w:rPr>
        <w:t>度区，一般工业和民用建筑按</w:t>
      </w:r>
      <w:r>
        <w:rPr>
          <w:rFonts w:ascii="仿宋" w:hAnsi="仿宋" w:eastAsia="仿宋" w:cs="Times New Roman"/>
          <w:b/>
          <w:bCs/>
          <w:color w:val="000000" w:themeColor="text1"/>
          <w:highlight w:val="none"/>
          <w14:textFill>
            <w14:solidFill>
              <w14:schemeClr w14:val="tx1"/>
            </w14:solidFill>
          </w14:textFill>
        </w:rPr>
        <w:t>6</w:t>
      </w:r>
      <w:r>
        <w:rPr>
          <w:rFonts w:hint="eastAsia" w:ascii="仿宋" w:hAnsi="仿宋" w:eastAsia="仿宋" w:cs="Times New Roman"/>
          <w:color w:val="000000" w:themeColor="text1"/>
          <w:highlight w:val="none"/>
          <w14:textFill>
            <w14:solidFill>
              <w14:schemeClr w14:val="tx1"/>
            </w14:solidFill>
          </w14:textFill>
        </w:rPr>
        <w:t>度设防，对城市功能、人民生活和生产活动有重大影响的供电、供水、交通、通讯枢纽、医疗卫生、消防等工程按</w:t>
      </w:r>
      <w:r>
        <w:rPr>
          <w:rFonts w:ascii="仿宋" w:hAnsi="仿宋" w:eastAsia="仿宋" w:cs="Times New Roman"/>
          <w:b/>
          <w:bCs/>
          <w:color w:val="000000" w:themeColor="text1"/>
          <w:highlight w:val="none"/>
          <w14:textFill>
            <w14:solidFill>
              <w14:schemeClr w14:val="tx1"/>
            </w14:solidFill>
          </w14:textFill>
        </w:rPr>
        <w:t>7</w:t>
      </w:r>
      <w:r>
        <w:rPr>
          <w:rFonts w:hint="eastAsia" w:ascii="仿宋" w:hAnsi="仿宋" w:eastAsia="仿宋" w:cs="Times New Roman"/>
          <w:color w:val="000000" w:themeColor="text1"/>
          <w:highlight w:val="none"/>
          <w14:textFill>
            <w14:solidFill>
              <w14:schemeClr w14:val="tx1"/>
            </w14:solidFill>
          </w14:textFill>
        </w:rPr>
        <w:t>度设防。</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中心城区供水、供电、通信及燃气等城市生命线重要工程设施采用多源、多路径的方式供应。</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建立抗震预警、防震工程体系，重大建设工程、易产生严重次生灾害的建设项目、重要的生命线工程，必须按照地震安全性评价结果进行抗震设防。</w:t>
      </w:r>
    </w:p>
    <w:p>
      <w:pPr>
        <w:numPr>
          <w:ilvl w:val="0"/>
          <w:numId w:val="21"/>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工业危险品</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工业危险品在生产、储存和使用中必须设置相应的监测和安全防护设备设施；工业危险品必须存储在专用仓库、专用场地内。</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生产、储存或使用工业危险品的工厂、企业、科研机构等危及城市公共安全的单位应布置在城市边缘，对现有影响城市公共安全的大型危险品仓库，应限期迁移或就地改变生产、使用性质。</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各类大型公共建筑、重要交通设施、重要生命线工程设施、危险品生产储存单位应预留建筑物外围</w:t>
      </w:r>
      <w:r>
        <w:rPr>
          <w:rFonts w:ascii="仿宋" w:hAnsi="仿宋" w:eastAsia="仿宋" w:cs="Times New Roman"/>
          <w:color w:val="000000" w:themeColor="text1"/>
          <w:highlight w:val="none"/>
          <w14:textFill>
            <w14:solidFill>
              <w14:schemeClr w14:val="tx1"/>
            </w14:solidFill>
          </w14:textFill>
        </w:rPr>
        <w:t>30</w:t>
      </w:r>
      <w:r>
        <w:rPr>
          <w:rFonts w:hint="eastAsia" w:ascii="仿宋" w:hAnsi="仿宋" w:eastAsia="仿宋" w:cs="Times New Roman"/>
          <w:color w:val="000000" w:themeColor="text1"/>
          <w:highlight w:val="none"/>
          <w14:textFill>
            <w14:solidFill>
              <w14:schemeClr w14:val="tx1"/>
            </w14:solidFill>
          </w14:textFill>
        </w:rPr>
        <w:t>－</w:t>
      </w:r>
      <w:r>
        <w:rPr>
          <w:rFonts w:ascii="仿宋" w:hAnsi="仿宋" w:eastAsia="仿宋" w:cs="Times New Roman"/>
          <w:color w:val="000000" w:themeColor="text1"/>
          <w:highlight w:val="none"/>
          <w14:textFill>
            <w14:solidFill>
              <w14:schemeClr w14:val="tx1"/>
            </w14:solidFill>
          </w14:textFill>
        </w:rPr>
        <w:t>50</w:t>
      </w:r>
      <w:r>
        <w:rPr>
          <w:rFonts w:hint="eastAsia" w:ascii="仿宋" w:hAnsi="仿宋" w:eastAsia="仿宋" w:cs="Times New Roman"/>
          <w:color w:val="000000" w:themeColor="text1"/>
          <w:highlight w:val="none"/>
          <w14:textFill>
            <w14:solidFill>
              <w14:schemeClr w14:val="tx1"/>
            </w14:solidFill>
          </w14:textFill>
        </w:rPr>
        <w:t>米的救灾工作场所和</w:t>
      </w:r>
      <w:r>
        <w:rPr>
          <w:rFonts w:ascii="仿宋" w:hAnsi="仿宋" w:eastAsia="仿宋" w:cs="Times New Roman"/>
          <w:color w:val="000000" w:themeColor="text1"/>
          <w:highlight w:val="none"/>
          <w14:textFill>
            <w14:solidFill>
              <w14:schemeClr w14:val="tx1"/>
            </w14:solidFill>
          </w14:textFill>
        </w:rPr>
        <w:t>2</w:t>
      </w:r>
      <w:r>
        <w:rPr>
          <w:rFonts w:hint="eastAsia" w:ascii="仿宋" w:hAnsi="仿宋" w:eastAsia="仿宋" w:cs="Times New Roman"/>
          <w:color w:val="000000" w:themeColor="text1"/>
          <w:highlight w:val="none"/>
          <w14:textFill>
            <w14:solidFill>
              <w14:schemeClr w14:val="tx1"/>
            </w14:solidFill>
          </w14:textFill>
        </w:rPr>
        <w:t>－</w:t>
      </w:r>
      <w:r>
        <w:rPr>
          <w:rFonts w:ascii="仿宋" w:hAnsi="仿宋" w:eastAsia="仿宋" w:cs="Times New Roman"/>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条双向两车道的救援疏散通道。</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建立全市性救灾应急指挥中心；在大型绿色开敞空间增设综合性防灾减灾功能设施。</w:t>
      </w:r>
    </w:p>
    <w:p>
      <w:pPr>
        <w:numPr>
          <w:ilvl w:val="0"/>
          <w:numId w:val="21"/>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危险品运输</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中心城区外环线作为中心城区危险品运输主通道；爆炸品、剧毒品和过境危险品运输不得穿越中心城区，应避开水源保护区、水厂、变电站、军事禁区和其他规定的区域。</w:t>
      </w:r>
    </w:p>
    <w:p>
      <w:pPr>
        <w:numPr>
          <w:ilvl w:val="0"/>
          <w:numId w:val="21"/>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防洪排涝</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根据《防洪标准（</w:t>
      </w:r>
      <w:r>
        <w:rPr>
          <w:rFonts w:ascii="仿宋" w:hAnsi="仿宋" w:eastAsia="仿宋" w:cs="Times New Roman"/>
          <w:color w:val="000000" w:themeColor="text1"/>
          <w:highlight w:val="none"/>
          <w14:textFill>
            <w14:solidFill>
              <w14:schemeClr w14:val="tx1"/>
            </w14:solidFill>
          </w14:textFill>
        </w:rPr>
        <w:t>GB50201-94</w:t>
      </w:r>
      <w:r>
        <w:rPr>
          <w:rFonts w:hint="eastAsia" w:ascii="仿宋" w:hAnsi="仿宋" w:eastAsia="仿宋" w:cs="Times New Roman"/>
          <w:color w:val="000000" w:themeColor="text1"/>
          <w:highlight w:val="none"/>
          <w14:textFill>
            <w14:solidFill>
              <w14:schemeClr w14:val="tx1"/>
            </w14:solidFill>
          </w14:textFill>
        </w:rPr>
        <w:t>）》，规划确定广水市中心城区防洪标准为</w:t>
      </w:r>
      <w:r>
        <w:rPr>
          <w:rFonts w:ascii="仿宋" w:hAnsi="仿宋" w:eastAsia="仿宋" w:cs="Times New Roman"/>
          <w:color w:val="000000" w:themeColor="text1"/>
          <w:highlight w:val="none"/>
          <w14:textFill>
            <w14:solidFill>
              <w14:schemeClr w14:val="tx1"/>
            </w14:solidFill>
          </w14:textFill>
        </w:rPr>
        <w:t>50</w:t>
      </w:r>
      <w:r>
        <w:rPr>
          <w:rFonts w:hint="eastAsia" w:ascii="仿宋" w:hAnsi="仿宋" w:eastAsia="仿宋" w:cs="Times New Roman"/>
          <w:color w:val="000000" w:themeColor="text1"/>
          <w:highlight w:val="none"/>
          <w14:textFill>
            <w14:solidFill>
              <w14:schemeClr w14:val="tx1"/>
            </w14:solidFill>
          </w14:textFill>
        </w:rPr>
        <w:t>年一遇，排涝标准为</w:t>
      </w:r>
      <w:r>
        <w:rPr>
          <w:rFonts w:ascii="仿宋" w:hAnsi="仿宋" w:eastAsia="仿宋" w:cs="Times New Roman"/>
          <w:color w:val="000000" w:themeColor="text1"/>
          <w:highlight w:val="none"/>
          <w14:textFill>
            <w14:solidFill>
              <w14:schemeClr w14:val="tx1"/>
            </w14:solidFill>
          </w14:textFill>
        </w:rPr>
        <w:t>20</w:t>
      </w:r>
      <w:r>
        <w:rPr>
          <w:rFonts w:hint="eastAsia" w:ascii="仿宋" w:hAnsi="仿宋" w:eastAsia="仿宋" w:cs="Times New Roman"/>
          <w:color w:val="000000" w:themeColor="text1"/>
          <w:highlight w:val="none"/>
          <w14:textFill>
            <w14:solidFill>
              <w14:schemeClr w14:val="tx1"/>
            </w14:solidFill>
          </w14:textFill>
        </w:rPr>
        <w:t>年一遇。</w:t>
      </w:r>
    </w:p>
    <w:p>
      <w:pPr>
        <w:numPr>
          <w:ilvl w:val="0"/>
          <w:numId w:val="21"/>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消防工程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按照每座消防站辖区面积不大于</w:t>
      </w:r>
      <w:r>
        <w:rPr>
          <w:rFonts w:ascii="仿宋" w:hAnsi="仿宋" w:eastAsia="仿宋" w:cs="Times New Roman"/>
          <w:color w:val="000000" w:themeColor="text1"/>
          <w:highlight w:val="none"/>
          <w14:textFill>
            <w14:solidFill>
              <w14:schemeClr w14:val="tx1"/>
            </w14:solidFill>
          </w14:textFill>
        </w:rPr>
        <w:t>7</w:t>
      </w:r>
      <w:r>
        <w:rPr>
          <w:rFonts w:hint="eastAsia" w:ascii="仿宋" w:hAnsi="仿宋" w:eastAsia="仿宋" w:cs="Times New Roman"/>
          <w:color w:val="000000" w:themeColor="text1"/>
          <w:highlight w:val="none"/>
          <w14:textFill>
            <w14:solidFill>
              <w14:schemeClr w14:val="tx1"/>
            </w14:solidFill>
          </w14:textFill>
        </w:rPr>
        <w:t>平方公里的标准，在应山组团规划消防站</w:t>
      </w:r>
      <w:r>
        <w:rPr>
          <w:rFonts w:ascii="仿宋" w:hAnsi="仿宋" w:eastAsia="仿宋" w:cs="Times New Roman"/>
          <w:color w:val="000000" w:themeColor="text1"/>
          <w:highlight w:val="none"/>
          <w14:textFill>
            <w14:solidFill>
              <w14:schemeClr w14:val="tx1"/>
            </w14:solidFill>
          </w14:textFill>
        </w:rPr>
        <w:t>6</w:t>
      </w:r>
      <w:r>
        <w:rPr>
          <w:rFonts w:hint="eastAsia" w:ascii="仿宋" w:hAnsi="仿宋" w:eastAsia="仿宋" w:cs="Times New Roman"/>
          <w:color w:val="000000" w:themeColor="text1"/>
          <w:highlight w:val="none"/>
          <w14:textFill>
            <w14:solidFill>
              <w14:schemeClr w14:val="tx1"/>
            </w14:solidFill>
          </w14:textFill>
        </w:rPr>
        <w:t>个，其中保留</w:t>
      </w:r>
      <w:r>
        <w:rPr>
          <w:rFonts w:ascii="仿宋" w:hAnsi="仿宋" w:eastAsia="仿宋" w:cs="Times New Roman"/>
          <w:color w:val="000000" w:themeColor="text1"/>
          <w:highlight w:val="none"/>
          <w14:textFill>
            <w14:solidFill>
              <w14:schemeClr w14:val="tx1"/>
            </w14:solidFill>
          </w14:textFill>
        </w:rPr>
        <w:t>2</w:t>
      </w:r>
      <w:r>
        <w:rPr>
          <w:rFonts w:hint="eastAsia" w:ascii="仿宋" w:hAnsi="仿宋" w:eastAsia="仿宋" w:cs="Times New Roman"/>
          <w:color w:val="000000" w:themeColor="text1"/>
          <w:highlight w:val="none"/>
          <w14:textFill>
            <w14:solidFill>
              <w14:schemeClr w14:val="tx1"/>
            </w14:solidFill>
          </w14:textFill>
        </w:rPr>
        <w:t>座现状消防站，新建</w:t>
      </w:r>
      <w:r>
        <w:rPr>
          <w:rFonts w:ascii="仿宋" w:hAnsi="仿宋" w:eastAsia="仿宋" w:cs="Times New Roman"/>
          <w:color w:val="000000" w:themeColor="text1"/>
          <w:highlight w:val="none"/>
          <w14:textFill>
            <w14:solidFill>
              <w14:schemeClr w14:val="tx1"/>
            </w14:solidFill>
          </w14:textFill>
        </w:rPr>
        <w:t>4</w:t>
      </w:r>
      <w:r>
        <w:rPr>
          <w:rFonts w:hint="eastAsia" w:ascii="仿宋" w:hAnsi="仿宋" w:eastAsia="仿宋" w:cs="Times New Roman"/>
          <w:color w:val="000000" w:themeColor="text1"/>
          <w:highlight w:val="none"/>
          <w14:textFill>
            <w14:solidFill>
              <w14:schemeClr w14:val="tx1"/>
            </w14:solidFill>
          </w14:textFill>
        </w:rPr>
        <w:t>处消防站；在广水组团规划消防站</w:t>
      </w:r>
      <w:r>
        <w:rPr>
          <w:rFonts w:ascii="仿宋" w:hAnsi="仿宋" w:eastAsia="仿宋" w:cs="Times New Roman"/>
          <w:color w:val="000000" w:themeColor="text1"/>
          <w:highlight w:val="none"/>
          <w14:textFill>
            <w14:solidFill>
              <w14:schemeClr w14:val="tx1"/>
            </w14:solidFill>
          </w14:textFill>
        </w:rPr>
        <w:t>3</w:t>
      </w:r>
      <w:r>
        <w:rPr>
          <w:rFonts w:hint="eastAsia" w:ascii="仿宋" w:hAnsi="仿宋" w:eastAsia="仿宋" w:cs="Times New Roman"/>
          <w:color w:val="000000" w:themeColor="text1"/>
          <w:highlight w:val="none"/>
          <w14:textFill>
            <w14:solidFill>
              <w14:schemeClr w14:val="tx1"/>
            </w14:solidFill>
          </w14:textFill>
        </w:rPr>
        <w:t>个，其中保留</w:t>
      </w:r>
      <w:r>
        <w:rPr>
          <w:rFonts w:ascii="仿宋" w:hAnsi="仿宋" w:eastAsia="仿宋" w:cs="Times New Roman"/>
          <w:color w:val="000000" w:themeColor="text1"/>
          <w:highlight w:val="none"/>
          <w14:textFill>
            <w14:solidFill>
              <w14:schemeClr w14:val="tx1"/>
            </w14:solidFill>
          </w14:textFill>
        </w:rPr>
        <w:t>1</w:t>
      </w:r>
      <w:r>
        <w:rPr>
          <w:rFonts w:hint="eastAsia" w:ascii="仿宋" w:hAnsi="仿宋" w:eastAsia="仿宋" w:cs="Times New Roman"/>
          <w:color w:val="000000" w:themeColor="text1"/>
          <w:highlight w:val="none"/>
          <w14:textFill>
            <w14:solidFill>
              <w14:schemeClr w14:val="tx1"/>
            </w14:solidFill>
          </w14:textFill>
        </w:rPr>
        <w:t>座现状消防站，新建</w:t>
      </w:r>
      <w:r>
        <w:rPr>
          <w:rFonts w:ascii="仿宋" w:hAnsi="仿宋" w:eastAsia="仿宋" w:cs="Times New Roman"/>
          <w:color w:val="000000" w:themeColor="text1"/>
          <w:highlight w:val="none"/>
          <w14:textFill>
            <w14:solidFill>
              <w14:schemeClr w14:val="tx1"/>
            </w14:solidFill>
          </w14:textFill>
        </w:rPr>
        <w:t>2</w:t>
      </w:r>
      <w:r>
        <w:rPr>
          <w:rFonts w:hint="eastAsia" w:ascii="仿宋" w:hAnsi="仿宋" w:eastAsia="仿宋" w:cs="Times New Roman"/>
          <w:color w:val="000000" w:themeColor="text1"/>
          <w:highlight w:val="none"/>
          <w14:textFill>
            <w14:solidFill>
              <w14:schemeClr w14:val="tx1"/>
            </w14:solidFill>
          </w14:textFill>
        </w:rPr>
        <w:t>处消防站。</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根据《建筑设计防火规范（</w:t>
      </w:r>
      <w:r>
        <w:rPr>
          <w:rFonts w:ascii="仿宋" w:hAnsi="仿宋" w:eastAsia="仿宋" w:cs="Times New Roman"/>
          <w:color w:val="000000" w:themeColor="text1"/>
          <w:highlight w:val="none"/>
          <w14:textFill>
            <w14:solidFill>
              <w14:schemeClr w14:val="tx1"/>
            </w14:solidFill>
          </w14:textFill>
        </w:rPr>
        <w:t>GB50016-2006</w:t>
      </w:r>
      <w:r>
        <w:rPr>
          <w:rFonts w:hint="eastAsia" w:ascii="仿宋" w:hAnsi="仿宋" w:eastAsia="仿宋" w:cs="Times New Roman"/>
          <w:color w:val="000000" w:themeColor="text1"/>
          <w:highlight w:val="none"/>
          <w14:textFill>
            <w14:solidFill>
              <w14:schemeClr w14:val="tx1"/>
            </w14:solidFill>
          </w14:textFill>
        </w:rPr>
        <w:t>）》，城区消防供水按同一时间火灾三次、一次灭火用水量</w:t>
      </w:r>
      <w:r>
        <w:rPr>
          <w:rFonts w:ascii="仿宋" w:hAnsi="仿宋" w:eastAsia="仿宋" w:cs="Times New Roman"/>
          <w:color w:val="000000" w:themeColor="text1"/>
          <w:highlight w:val="none"/>
          <w14:textFill>
            <w14:solidFill>
              <w14:schemeClr w14:val="tx1"/>
            </w14:solidFill>
          </w14:textFill>
        </w:rPr>
        <w:t>85</w:t>
      </w:r>
      <w:r>
        <w:rPr>
          <w:rFonts w:hint="eastAsia" w:ascii="仿宋" w:hAnsi="仿宋" w:eastAsia="仿宋" w:cs="Times New Roman"/>
          <w:color w:val="000000" w:themeColor="text1"/>
          <w:highlight w:val="none"/>
          <w14:textFill>
            <w14:solidFill>
              <w14:schemeClr w14:val="tx1"/>
            </w14:solidFill>
          </w14:textFill>
        </w:rPr>
        <w:t>升／秒、火灾持续时间</w:t>
      </w:r>
      <w:r>
        <w:rPr>
          <w:rFonts w:ascii="仿宋" w:hAnsi="仿宋" w:eastAsia="仿宋" w:cs="Times New Roman"/>
          <w:color w:val="000000" w:themeColor="text1"/>
          <w:highlight w:val="none"/>
          <w14:textFill>
            <w14:solidFill>
              <w14:schemeClr w14:val="tx1"/>
            </w14:solidFill>
          </w14:textFill>
        </w:rPr>
        <w:t>2</w:t>
      </w:r>
      <w:r>
        <w:rPr>
          <w:rFonts w:hint="eastAsia" w:ascii="仿宋" w:hAnsi="仿宋" w:eastAsia="仿宋" w:cs="Times New Roman"/>
          <w:color w:val="000000" w:themeColor="text1"/>
          <w:highlight w:val="none"/>
          <w14:textFill>
            <w14:solidFill>
              <w14:schemeClr w14:val="tx1"/>
            </w14:solidFill>
          </w14:textFill>
        </w:rPr>
        <w:t>小时计，预测城区消防需水总量为</w:t>
      </w:r>
      <w:r>
        <w:rPr>
          <w:rFonts w:ascii="仿宋" w:hAnsi="仿宋" w:eastAsia="仿宋" w:cs="Times New Roman"/>
          <w:color w:val="000000" w:themeColor="text1"/>
          <w:highlight w:val="none"/>
          <w14:textFill>
            <w14:solidFill>
              <w14:schemeClr w14:val="tx1"/>
            </w14:solidFill>
          </w14:textFill>
        </w:rPr>
        <w:t>1836</w:t>
      </w:r>
      <w:r>
        <w:rPr>
          <w:rFonts w:hint="eastAsia" w:ascii="仿宋" w:hAnsi="仿宋" w:eastAsia="仿宋" w:cs="Times New Roman"/>
          <w:color w:val="000000" w:themeColor="text1"/>
          <w:highlight w:val="none"/>
          <w14:textFill>
            <w14:solidFill>
              <w14:schemeClr w14:val="tx1"/>
            </w14:solidFill>
          </w14:textFill>
        </w:rPr>
        <w:t>吨。</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消防给管网采用与生产、生活共用的低压消防供水管网，给水管网管径不小于</w:t>
      </w:r>
      <w:r>
        <w:rPr>
          <w:rFonts w:ascii="仿宋" w:hAnsi="仿宋" w:eastAsia="仿宋" w:cs="Times New Roman"/>
          <w:color w:val="000000" w:themeColor="text1"/>
          <w:highlight w:val="none"/>
          <w14:textFill>
            <w14:solidFill>
              <w14:schemeClr w14:val="tx1"/>
            </w14:solidFill>
          </w14:textFill>
        </w:rPr>
        <w:t>100</w:t>
      </w:r>
      <w:r>
        <w:rPr>
          <w:rFonts w:hint="eastAsia" w:ascii="仿宋" w:hAnsi="仿宋" w:eastAsia="仿宋" w:cs="Times New Roman"/>
          <w:color w:val="000000" w:themeColor="text1"/>
          <w:highlight w:val="none"/>
          <w14:textFill>
            <w14:solidFill>
              <w14:schemeClr w14:val="tx1"/>
            </w14:solidFill>
          </w14:textFill>
        </w:rPr>
        <w:t>毫米，出水压力不得小于</w:t>
      </w:r>
      <w:r>
        <w:rPr>
          <w:rFonts w:ascii="仿宋" w:hAnsi="仿宋" w:eastAsia="仿宋" w:cs="Times New Roman"/>
          <w:color w:val="000000" w:themeColor="text1"/>
          <w:highlight w:val="none"/>
          <w14:textFill>
            <w14:solidFill>
              <w14:schemeClr w14:val="tx1"/>
            </w14:solidFill>
          </w14:textFill>
        </w:rPr>
        <w:t>10</w:t>
      </w:r>
      <w:r>
        <w:rPr>
          <w:rFonts w:hint="eastAsia" w:ascii="仿宋" w:hAnsi="仿宋" w:eastAsia="仿宋" w:cs="Times New Roman"/>
          <w:color w:val="000000" w:themeColor="text1"/>
          <w:highlight w:val="none"/>
          <w14:textFill>
            <w14:solidFill>
              <w14:schemeClr w14:val="tx1"/>
            </w14:solidFill>
          </w14:textFill>
        </w:rPr>
        <w:t>米水头。</w:t>
      </w:r>
    </w:p>
    <w:p>
      <w:pPr>
        <w:numPr>
          <w:ilvl w:val="0"/>
          <w:numId w:val="21"/>
        </w:numPr>
        <w:ind w:firstLine="562" w:firstLineChars="20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人防工程</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地下人防工程应坚持平战结合、综合利用的原则分期分步实施。建立完备的战时保障体系，具体包括：掩体工程保障、交通运输保障、电力保障、医疗救护保障、物资保障、治安保卫和交通管制保障。</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中心城区远期规划人口为</w:t>
      </w:r>
      <w:r>
        <w:rPr>
          <w:rFonts w:ascii="仿宋" w:hAnsi="仿宋" w:eastAsia="仿宋" w:cs="Times New Roman"/>
          <w:color w:val="000000" w:themeColor="text1"/>
          <w:highlight w:val="none"/>
          <w14:textFill>
            <w14:solidFill>
              <w14:schemeClr w14:val="tx1"/>
            </w14:solidFill>
          </w14:textFill>
        </w:rPr>
        <w:t>4</w:t>
      </w:r>
      <w:r>
        <w:rPr>
          <w:rFonts w:hint="eastAsia" w:ascii="仿宋" w:hAnsi="仿宋" w:eastAsia="仿宋" w:cs="Times New Roman"/>
          <w:color w:val="000000" w:themeColor="text1"/>
          <w:highlight w:val="none"/>
          <w14:textFill>
            <w14:solidFill>
              <w14:schemeClr w14:val="tx1"/>
            </w14:solidFill>
          </w14:textFill>
        </w:rPr>
        <w:t>5万人，按总人口的</w:t>
      </w:r>
      <w:r>
        <w:rPr>
          <w:rFonts w:hint="eastAsia" w:ascii="仿宋" w:hAnsi="仿宋" w:eastAsia="仿宋" w:cs="Times New Roman"/>
          <w:color w:val="000000" w:themeColor="text1"/>
          <w:highlight w:val="none"/>
          <w:lang w:eastAsia="zh-CN"/>
          <w14:textFill>
            <w14:solidFill>
              <w14:schemeClr w14:val="tx1"/>
            </w14:solidFill>
          </w14:textFill>
        </w:rPr>
        <w:t>30%-40%</w:t>
      </w:r>
      <w:r>
        <w:rPr>
          <w:rFonts w:hint="eastAsia" w:ascii="仿宋" w:hAnsi="仿宋" w:eastAsia="仿宋" w:cs="Times New Roman"/>
          <w:color w:val="000000" w:themeColor="text1"/>
          <w:highlight w:val="none"/>
          <w14:textFill>
            <w14:solidFill>
              <w14:schemeClr w14:val="tx1"/>
            </w14:solidFill>
          </w14:textFill>
        </w:rPr>
        <w:t>为留城人口、人均</w:t>
      </w:r>
      <w:r>
        <w:rPr>
          <w:rFonts w:ascii="仿宋" w:hAnsi="仿宋" w:eastAsia="仿宋" w:cs="Times New Roman"/>
          <w:color w:val="000000" w:themeColor="text1"/>
          <w:highlight w:val="none"/>
          <w14:textFill>
            <w14:solidFill>
              <w14:schemeClr w14:val="tx1"/>
            </w14:solidFill>
          </w14:textFill>
        </w:rPr>
        <w:t>1.5</w:t>
      </w:r>
      <w:r>
        <w:rPr>
          <w:rFonts w:hint="eastAsia" w:ascii="仿宋" w:hAnsi="仿宋" w:eastAsia="仿宋" w:cs="Times New Roman"/>
          <w:color w:val="000000" w:themeColor="text1"/>
          <w:highlight w:val="none"/>
          <w14:textFill>
            <w14:solidFill>
              <w14:schemeClr w14:val="tx1"/>
            </w14:solidFill>
          </w14:textFill>
        </w:rPr>
        <w:t>平方米的人防工程面积标准，规划期城区人防工程设施面积为</w:t>
      </w:r>
      <w:r>
        <w:rPr>
          <w:rFonts w:ascii="仿宋" w:hAnsi="仿宋" w:eastAsia="仿宋" w:cs="Times New Roman"/>
          <w:color w:val="000000" w:themeColor="text1"/>
          <w:highlight w:val="none"/>
          <w14:textFill>
            <w14:solidFill>
              <w14:schemeClr w14:val="tx1"/>
            </w14:solidFill>
          </w14:textFill>
        </w:rPr>
        <w:t>2</w:t>
      </w:r>
      <w:r>
        <w:rPr>
          <w:rFonts w:hint="eastAsia" w:ascii="仿宋" w:hAnsi="仿宋" w:eastAsia="仿宋" w:cs="Times New Roman"/>
          <w:color w:val="000000" w:themeColor="text1"/>
          <w:highlight w:val="none"/>
          <w14:textFill>
            <w14:solidFill>
              <w14:schemeClr w14:val="tx1"/>
            </w14:solidFill>
          </w14:textFill>
        </w:rPr>
        <w:t>5万平方米。</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民用建筑应按国家规定的标准配建防空地下室。</w:t>
      </w:r>
    </w:p>
    <w:p>
      <w:pPr>
        <w:ind w:firstLine="560" w:firstLineChars="200"/>
        <w:rPr>
          <w:rFonts w:ascii="仿宋" w:hAnsi="仿宋" w:eastAsia="仿宋" w:cs="Times New Roman"/>
          <w:color w:val="000000" w:themeColor="text1"/>
          <w:highlight w:val="none"/>
          <w14:textFill>
            <w14:solidFill>
              <w14:schemeClr w14:val="tx1"/>
            </w14:solidFill>
          </w14:textFill>
        </w:rPr>
      </w:pPr>
      <w:r>
        <w:rPr>
          <w:rFonts w:hint="eastAsia" w:ascii="仿宋" w:hAnsi="仿宋" w:eastAsia="仿宋" w:cs="Times New Roman"/>
          <w:color w:val="000000" w:themeColor="text1"/>
          <w:highlight w:val="none"/>
          <w14:textFill>
            <w14:solidFill>
              <w14:schemeClr w14:val="tx1"/>
            </w14:solidFill>
          </w14:textFill>
        </w:rPr>
        <w:t>地下商业娱乐设施、地下停车场、地下街道、地下共同沟等设施的建设应兼顾人民防空的要求。</w:t>
      </w:r>
    </w:p>
    <w:p>
      <w:pPr>
        <w:pStyle w:val="3"/>
        <w:pageBreakBefore/>
        <w:rPr>
          <w:rFonts w:ascii="仿宋" w:hAnsi="仿宋" w:eastAsia="仿宋"/>
          <w:color w:val="000000" w:themeColor="text1"/>
          <w:highlight w:val="none"/>
          <w14:textFill>
            <w14:solidFill>
              <w14:schemeClr w14:val="tx1"/>
            </w14:solidFill>
          </w14:textFill>
        </w:rPr>
      </w:pPr>
      <w:bookmarkStart w:id="122" w:name="_Toc18311"/>
      <w:r>
        <w:rPr>
          <w:rFonts w:hint="eastAsia" w:ascii="仿宋" w:hAnsi="仿宋" w:eastAsia="仿宋"/>
          <w:color w:val="000000" w:themeColor="text1"/>
          <w:highlight w:val="none"/>
          <w14:textFill>
            <w14:solidFill>
              <w14:schemeClr w14:val="tx1"/>
            </w14:solidFill>
          </w14:textFill>
        </w:rPr>
        <w:t>第十二章 规划实施</w:t>
      </w:r>
      <w:bookmarkEnd w:id="122"/>
    </w:p>
    <w:p>
      <w:pPr>
        <w:pStyle w:val="4"/>
        <w:rPr>
          <w:rFonts w:ascii="仿宋" w:hAnsi="仿宋" w:eastAsia="仿宋"/>
          <w:color w:val="000000" w:themeColor="text1"/>
          <w:highlight w:val="none"/>
          <w14:textFill>
            <w14:solidFill>
              <w14:schemeClr w14:val="tx1"/>
            </w14:solidFill>
          </w14:textFill>
        </w:rPr>
      </w:pPr>
      <w:bookmarkStart w:id="123" w:name="_Toc32480"/>
      <w:r>
        <w:rPr>
          <w:rFonts w:ascii="仿宋" w:hAnsi="仿宋" w:eastAsia="仿宋"/>
          <w:color w:val="000000" w:themeColor="text1"/>
          <w:highlight w:val="none"/>
          <w14:textFill>
            <w14:solidFill>
              <w14:schemeClr w14:val="tx1"/>
            </w14:solidFill>
          </w14:textFill>
        </w:rPr>
        <w:t xml:space="preserve">第1节 </w:t>
      </w:r>
      <w:r>
        <w:rPr>
          <w:rFonts w:hint="eastAsia" w:ascii="仿宋" w:hAnsi="仿宋" w:eastAsia="仿宋"/>
          <w:color w:val="000000" w:themeColor="text1"/>
          <w:highlight w:val="none"/>
          <w14:textFill>
            <w14:solidFill>
              <w14:schemeClr w14:val="tx1"/>
            </w14:solidFill>
          </w14:textFill>
        </w:rPr>
        <w:t>规划传导</w:t>
      </w:r>
      <w:bookmarkEnd w:id="123"/>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（1）乡镇国土空间总体规划传导</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乡镇级国土空间总体规划编制时，需落实县级总体规划确定的城镇定位、规划目标、规划分区、底线管控、战略性资源空间、重大基础设施、要素配置等规划内容。</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县级总规层面制定各乡镇的约束性指标分解方案，包括建设用地指标、生态保护红线及湿地指标、耕地及永久基本农田规划指标、林地保有量指标等，各乡镇编制规划时需确保约束性指标的落实。</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（2）相关专项规划指引</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建议编制以下专项规划，包括但不限于城市风貌、村庄分类布局、历史文化保护、生态环境保护、综合交通、市政设施、农业设施、公共服务设施、综合防灾减灾、绿地系统、地下空间等。</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同步编制专项规划，相关专项规划不得违背县级总规中的强制性内容，经批准后纳入级国土空间基础信息平台，叠加到国土空间规划“一张图”。</w:t>
      </w:r>
    </w:p>
    <w:p>
      <w:pPr>
        <w:pStyle w:val="21"/>
        <w:ind w:left="560" w:leftChars="200" w:firstLine="0" w:firstLineChars="0"/>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（3）详细规划指引</w:t>
      </w:r>
    </w:p>
    <w:p>
      <w:pPr>
        <w:numPr>
          <w:ilvl w:val="0"/>
          <w:numId w:val="22"/>
        </w:numPr>
        <w:ind w:firstLine="562" w:firstLineChars="200"/>
        <w:rPr>
          <w:rFonts w:ascii="Times New Roman" w:hAnsi="Times New Roman" w:eastAsia="仿宋" w:cs="Times New Roman"/>
          <w:b/>
          <w:bCs/>
          <w:color w:val="000000" w:themeColor="text1"/>
          <w:kern w:val="21"/>
          <w:szCs w:val="20"/>
          <w:highlight w:val="none"/>
          <w14:textFill>
            <w14:solidFill>
              <w14:schemeClr w14:val="tx1"/>
            </w14:solidFill>
          </w14:textFill>
        </w:rPr>
      </w:pPr>
      <w:r>
        <w:rPr>
          <w:rFonts w:hint="eastAsia" w:ascii="Times New Roman" w:hAnsi="Times New Roman" w:eastAsia="仿宋" w:cs="Times New Roman"/>
          <w:b/>
          <w:bCs/>
          <w:color w:val="000000" w:themeColor="text1"/>
          <w:kern w:val="21"/>
          <w:szCs w:val="20"/>
          <w:highlight w:val="none"/>
          <w14:textFill>
            <w14:solidFill>
              <w14:schemeClr w14:val="tx1"/>
            </w14:solidFill>
          </w14:textFill>
        </w:rPr>
        <w:t>中心城区详细规划指引</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中心城区详细规划编制单元，包括《广水市经济开发区十里工业园控制性详细规划</w:t>
      </w:r>
      <w:r>
        <w:rPr>
          <w:rFonts w:hint="eastAsia" w:ascii="Times New Roman" w:hAnsi="Times New Roman" w:eastAsia="仿宋" w:cs="Times New Roman"/>
          <w:color w:val="000000" w:themeColor="text1"/>
          <w:kern w:val="21"/>
          <w:szCs w:val="20"/>
          <w:highlight w:val="none"/>
          <w:lang w:eastAsia="zh-CN"/>
          <w14:textFill>
            <w14:solidFill>
              <w14:schemeClr w14:val="tx1"/>
            </w14:solidFill>
          </w14:textFill>
        </w:rPr>
        <w:t>》《</w:t>
      </w:r>
      <w:r>
        <w:rPr>
          <w:rFonts w:hint="eastAsia" w:ascii="Times New Roman" w:hAnsi="Times New Roman" w:eastAsia="仿宋" w:cs="Times New Roman"/>
          <w:color w:val="000000" w:themeColor="text1"/>
          <w:kern w:val="21"/>
          <w:szCs w:val="20"/>
          <w:highlight w:val="none"/>
          <w14:textFill>
            <w14:solidFill>
              <w14:schemeClr w14:val="tx1"/>
            </w14:solidFill>
          </w14:textFill>
        </w:rPr>
        <w:t>广水马都司生态新城控制性详细规划</w:t>
      </w:r>
      <w:r>
        <w:rPr>
          <w:rFonts w:hint="eastAsia" w:ascii="Times New Roman" w:hAnsi="Times New Roman" w:eastAsia="仿宋" w:cs="Times New Roman"/>
          <w:color w:val="000000" w:themeColor="text1"/>
          <w:kern w:val="21"/>
          <w:szCs w:val="20"/>
          <w:highlight w:val="none"/>
          <w:lang w:eastAsia="zh-CN"/>
          <w14:textFill>
            <w14:solidFill>
              <w14:schemeClr w14:val="tx1"/>
            </w14:solidFill>
          </w14:textFill>
        </w:rPr>
        <w:t>》《</w:t>
      </w:r>
      <w:r>
        <w:rPr>
          <w:rFonts w:hint="eastAsia" w:ascii="Times New Roman" w:hAnsi="Times New Roman" w:eastAsia="仿宋" w:cs="Times New Roman"/>
          <w:color w:val="000000" w:themeColor="text1"/>
          <w:kern w:val="21"/>
          <w:szCs w:val="20"/>
          <w:highlight w:val="none"/>
          <w14:textFill>
            <w14:solidFill>
              <w14:schemeClr w14:val="tx1"/>
            </w14:solidFill>
          </w14:textFill>
        </w:rPr>
        <w:t>商旅小镇控制性详细规划</w:t>
      </w:r>
      <w:r>
        <w:rPr>
          <w:rFonts w:hint="eastAsia" w:ascii="Times New Roman" w:hAnsi="Times New Roman" w:eastAsia="仿宋" w:cs="Times New Roman"/>
          <w:color w:val="000000" w:themeColor="text1"/>
          <w:kern w:val="21"/>
          <w:szCs w:val="20"/>
          <w:highlight w:val="none"/>
          <w:lang w:eastAsia="zh-CN"/>
          <w14:textFill>
            <w14:solidFill>
              <w14:schemeClr w14:val="tx1"/>
            </w14:solidFill>
          </w14:textFill>
        </w:rPr>
        <w:t>》《</w:t>
      </w:r>
      <w:bookmarkStart w:id="124" w:name="_Hlk112684907"/>
      <w:r>
        <w:rPr>
          <w:rFonts w:hint="eastAsia" w:ascii="Times New Roman" w:hAnsi="Times New Roman" w:eastAsia="仿宋" w:cs="Times New Roman"/>
          <w:color w:val="000000" w:themeColor="text1"/>
          <w:kern w:val="21"/>
          <w:szCs w:val="20"/>
          <w:highlight w:val="none"/>
          <w14:textFill>
            <w14:solidFill>
              <w14:schemeClr w14:val="tx1"/>
            </w14:solidFill>
          </w14:textFill>
        </w:rPr>
        <w:t>广水市化工园区</w:t>
      </w:r>
      <w:bookmarkEnd w:id="124"/>
      <w:r>
        <w:rPr>
          <w:rFonts w:hint="eastAsia" w:ascii="Times New Roman" w:hAnsi="Times New Roman" w:eastAsia="仿宋" w:cs="Times New Roman"/>
          <w:color w:val="000000" w:themeColor="text1"/>
          <w:kern w:val="21"/>
          <w:szCs w:val="20"/>
          <w:highlight w:val="none"/>
          <w14:textFill>
            <w14:solidFill>
              <w14:schemeClr w14:val="tx1"/>
            </w14:solidFill>
          </w14:textFill>
        </w:rPr>
        <w:t>控制性详细规划》等，编制过程需遵守总体规划向各编制单元传导的功能定位、核心指标、管控边界和要求。</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详细规划主要以对地块的用地使用控制和环境容量控制、建筑建造控制和城市设计引导、市政工程设施和公共服务设施的配套，以及交通活动控制和环境保护规定为主要内容，并针对不同地块、不同建设项目和不同开发过程，应用指标量化、条文规定、图则标定等方式对各控制要素进行定性、定量、定位和定界的控制和引导。</w:t>
      </w:r>
    </w:p>
    <w:p>
      <w:pPr>
        <w:numPr>
          <w:ilvl w:val="0"/>
          <w:numId w:val="22"/>
        </w:numPr>
        <w:ind w:firstLine="562" w:firstLineChars="200"/>
        <w:rPr>
          <w:rFonts w:ascii="Times New Roman" w:hAnsi="Times New Roman" w:eastAsia="仿宋" w:cs="Times New Roman"/>
          <w:b/>
          <w:bCs/>
          <w:color w:val="000000" w:themeColor="text1"/>
          <w:kern w:val="21"/>
          <w:szCs w:val="20"/>
          <w:highlight w:val="none"/>
          <w14:textFill>
            <w14:solidFill>
              <w14:schemeClr w14:val="tx1"/>
            </w14:solidFill>
          </w14:textFill>
        </w:rPr>
      </w:pPr>
      <w:r>
        <w:rPr>
          <w:rFonts w:hint="eastAsia" w:ascii="Times New Roman" w:hAnsi="Times New Roman" w:eastAsia="仿宋" w:cs="Times New Roman"/>
          <w:b/>
          <w:bCs/>
          <w:color w:val="000000" w:themeColor="text1"/>
          <w:kern w:val="21"/>
          <w:szCs w:val="20"/>
          <w:highlight w:val="none"/>
          <w14:textFill>
            <w14:solidFill>
              <w14:schemeClr w14:val="tx1"/>
            </w14:solidFill>
          </w14:textFill>
        </w:rPr>
        <w:t>村庄规划指引</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村庄规划作为国土空间规划体系中乡村地区的详细规划，是开展国土空间开发保护活动、实施国土空间用途管制、核发乡村建设规划许可证、进行各项建设等的法定依据，也是实施乡村振兴战略的重要前提、指导乡村发展建设的基本依据。</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国土空间规划编制在县域层面完成村庄布局工作，有条件的村可结合实际单独编制村庄规划，做到应编尽编，实现村庄建设发展有目标、重要建设项目有安排、生态环境有管控、自然景观和文化遗产有保护、农村人居环境改善有措施。</w:t>
      </w:r>
    </w:p>
    <w:p>
      <w:pPr>
        <w:pStyle w:val="4"/>
        <w:rPr>
          <w:rFonts w:ascii="仿宋" w:hAnsi="仿宋" w:eastAsia="仿宋"/>
          <w:color w:val="000000" w:themeColor="text1"/>
          <w:highlight w:val="none"/>
          <w14:textFill>
            <w14:solidFill>
              <w14:schemeClr w14:val="tx1"/>
            </w14:solidFill>
          </w14:textFill>
        </w:rPr>
      </w:pPr>
      <w:bookmarkStart w:id="125" w:name="_Toc22412"/>
      <w:r>
        <w:rPr>
          <w:rFonts w:ascii="仿宋" w:hAnsi="仿宋" w:eastAsia="仿宋"/>
          <w:color w:val="000000" w:themeColor="text1"/>
          <w:highlight w:val="none"/>
          <w14:textFill>
            <w14:solidFill>
              <w14:schemeClr w14:val="tx1"/>
            </w14:solidFill>
          </w14:textFill>
        </w:rPr>
        <w:t xml:space="preserve">第2节 </w:t>
      </w:r>
      <w:r>
        <w:rPr>
          <w:rFonts w:hint="eastAsia" w:ascii="仿宋" w:hAnsi="仿宋" w:eastAsia="仿宋"/>
          <w:color w:val="000000" w:themeColor="text1"/>
          <w:highlight w:val="none"/>
          <w14:textFill>
            <w14:solidFill>
              <w14:schemeClr w14:val="tx1"/>
            </w14:solidFill>
          </w14:textFill>
        </w:rPr>
        <w:t>近期安排</w:t>
      </w:r>
      <w:bookmarkEnd w:id="125"/>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pPr>
      <w:r>
        <w:rPr>
          <w:rFonts w:hint="eastAsia" w:ascii="Times New Roman" w:hAnsi="Times New Roman" w:eastAsia="仿宋" w:cs="Times New Roman"/>
          <w:color w:val="000000" w:themeColor="text1"/>
          <w:kern w:val="21"/>
          <w:szCs w:val="20"/>
          <w:highlight w:val="none"/>
          <w14:textFill>
            <w14:solidFill>
              <w14:schemeClr w14:val="tx1"/>
            </w14:solidFill>
          </w14:textFill>
        </w:rPr>
        <w:t>衔接国民经济和社会发展五年规划，综合考虑现有基础、宏观调控政策和城乡发展需求态势，对近期国土空间开发保护做出统筹安排，提出近期实施目标、重点任务及重点项目安排划。</w:t>
      </w:r>
    </w:p>
    <w:p>
      <w:pPr>
        <w:ind w:firstLine="560" w:firstLineChars="200"/>
        <w:rPr>
          <w:rFonts w:ascii="Times New Roman" w:hAnsi="Times New Roman" w:eastAsia="仿宋" w:cs="Times New Roman"/>
          <w:color w:val="000000" w:themeColor="text1"/>
          <w:kern w:val="21"/>
          <w:szCs w:val="20"/>
          <w:highlight w:val="none"/>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 w:cs="Times New Roman"/>
          <w:color w:val="000000" w:themeColor="text1"/>
          <w:kern w:val="21"/>
          <w:szCs w:val="20"/>
          <w:highlight w:val="none"/>
          <w14:textFill>
            <w14:solidFill>
              <w14:schemeClr w14:val="tx1"/>
            </w14:solidFill>
          </w14:textFill>
        </w:rPr>
        <w:t>梳理广水市“十四五”重点项目清单，形成十四五重点项目清单表。摸底各部门规划期间重点建设诉求，合理纳入国土空间规划体系。按照项目类别及实施时间，对重点项目进行分类分级。优先保障民生以及基础设施类项目。根据项目选址范围或拟选址范围，衔接国土空间规划，保障重点项目建设诉求。</w:t>
      </w:r>
    </w:p>
    <w:p>
      <w:pPr>
        <w:pageBreakBefore/>
        <w:spacing w:before="0" w:after="0"/>
        <w:outlineLvl w:val="0"/>
        <w:rPr>
          <w:rFonts w:ascii="仿宋" w:hAnsi="仿宋" w:eastAsia="仿宋"/>
          <w:b/>
          <w:bCs/>
          <w:color w:val="000000" w:themeColor="text1"/>
          <w:highlight w:val="none"/>
          <w14:textFill>
            <w14:solidFill>
              <w14:schemeClr w14:val="tx1"/>
            </w14:solidFill>
          </w14:textFill>
        </w:rPr>
      </w:pPr>
      <w:bookmarkStart w:id="126" w:name="_Toc26000"/>
      <w:r>
        <w:rPr>
          <w:rFonts w:hint="eastAsia" w:ascii="仿宋" w:hAnsi="仿宋" w:eastAsia="仿宋"/>
          <w:b/>
          <w:bCs/>
          <w:color w:val="000000" w:themeColor="text1"/>
          <w:highlight w:val="none"/>
          <w14:textFill>
            <w14:solidFill>
              <w14:schemeClr w14:val="tx1"/>
            </w14:solidFill>
          </w14:textFill>
        </w:rPr>
        <w:t>附表1：规划指标表</w:t>
      </w:r>
      <w:bookmarkEnd w:id="126"/>
    </w:p>
    <w:tbl>
      <w:tblPr>
        <w:tblStyle w:val="12"/>
        <w:tblW w:w="14021" w:type="dxa"/>
        <w:tblInd w:w="0" w:type="dxa"/>
        <w:tblLayout w:type="autofit"/>
        <w:tblCellMar>
          <w:top w:w="0" w:type="dxa"/>
          <w:left w:w="108" w:type="dxa"/>
          <w:bottom w:w="0" w:type="dxa"/>
          <w:right w:w="108" w:type="dxa"/>
        </w:tblCellMar>
      </w:tblPr>
      <w:tblGrid>
        <w:gridCol w:w="831"/>
        <w:gridCol w:w="4673"/>
        <w:gridCol w:w="1862"/>
        <w:gridCol w:w="1843"/>
        <w:gridCol w:w="1843"/>
        <w:gridCol w:w="1587"/>
        <w:gridCol w:w="1382"/>
      </w:tblGrid>
      <w:tr>
        <w:tblPrEx>
          <w:tblCellMar>
            <w:top w:w="0" w:type="dxa"/>
            <w:left w:w="108" w:type="dxa"/>
            <w:bottom w:w="0" w:type="dxa"/>
            <w:right w:w="108" w:type="dxa"/>
          </w:tblCellMar>
        </w:tblPrEx>
        <w:trPr>
          <w:trHeight w:val="90" w:hRule="atLeast"/>
          <w:tblHead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编号</w:t>
            </w:r>
          </w:p>
        </w:tc>
        <w:tc>
          <w:tcPr>
            <w:tcW w:w="4673"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指标项</w:t>
            </w:r>
          </w:p>
        </w:tc>
        <w:tc>
          <w:tcPr>
            <w:tcW w:w="1862"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规划基期年</w:t>
            </w:r>
          </w:p>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（2020年）</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规划近期目标年</w:t>
            </w:r>
          </w:p>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（2025年）</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规划目标年</w:t>
            </w:r>
          </w:p>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（2035年）</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指标属性</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指标层级</w:t>
            </w:r>
          </w:p>
        </w:tc>
      </w:tr>
      <w:tr>
        <w:tblPrEx>
          <w:tblCellMar>
            <w:top w:w="0" w:type="dxa"/>
            <w:left w:w="108" w:type="dxa"/>
            <w:bottom w:w="0" w:type="dxa"/>
            <w:right w:w="108" w:type="dxa"/>
          </w:tblCellMar>
        </w:tblPrEx>
        <w:trPr>
          <w:trHeight w:val="515" w:hRule="atLeast"/>
        </w:trPr>
        <w:tc>
          <w:tcPr>
            <w:tcW w:w="1402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一、空间底线</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生态保护红线面积（平方公里）</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209.50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209.50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209.50</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用水总量（亿立方米）</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2.47</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2.54</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2.67</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永久基本农田面积（平方公里）</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647</w:t>
            </w:r>
            <w:r>
              <w:rPr>
                <w:rFonts w:hint="eastAsia" w:ascii="仿宋" w:hAnsi="仿宋" w:eastAsia="仿宋" w:cs="宋体"/>
                <w:color w:val="000000" w:themeColor="text1"/>
                <w:kern w:val="0"/>
                <w:sz w:val="24"/>
                <w:szCs w:val="24"/>
                <w:highlight w:val="none"/>
                <w14:textFill>
                  <w14:solidFill>
                    <w14:schemeClr w14:val="tx1"/>
                  </w14:solidFill>
                </w14:textFill>
              </w:rPr>
              <w:t>.</w:t>
            </w:r>
            <w:r>
              <w:rPr>
                <w:rFonts w:ascii="仿宋" w:hAnsi="仿宋" w:eastAsia="仿宋" w:cs="宋体"/>
                <w:color w:val="000000" w:themeColor="text1"/>
                <w:kern w:val="0"/>
                <w:sz w:val="24"/>
                <w:szCs w:val="24"/>
                <w:highlight w:val="none"/>
                <w14:textFill>
                  <w14:solidFill>
                    <w14:schemeClr w14:val="tx1"/>
                  </w14:solidFill>
                </w14:textFill>
              </w:rPr>
              <w:t>91</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647</w:t>
            </w:r>
            <w:r>
              <w:rPr>
                <w:rFonts w:hint="eastAsia" w:ascii="仿宋" w:hAnsi="仿宋" w:eastAsia="仿宋" w:cs="宋体"/>
                <w:color w:val="000000" w:themeColor="text1"/>
                <w:kern w:val="0"/>
                <w:sz w:val="24"/>
                <w:szCs w:val="24"/>
                <w:highlight w:val="none"/>
                <w14:textFill>
                  <w14:solidFill>
                    <w14:schemeClr w14:val="tx1"/>
                  </w14:solidFill>
                </w14:textFill>
              </w:rPr>
              <w:t>.</w:t>
            </w:r>
            <w:r>
              <w:rPr>
                <w:rFonts w:ascii="仿宋" w:hAnsi="仿宋" w:eastAsia="仿宋" w:cs="宋体"/>
                <w:color w:val="000000" w:themeColor="text1"/>
                <w:kern w:val="0"/>
                <w:sz w:val="24"/>
                <w:szCs w:val="24"/>
                <w:highlight w:val="none"/>
                <w14:textFill>
                  <w14:solidFill>
                    <w14:schemeClr w14:val="tx1"/>
                  </w14:solidFill>
                </w14:textFill>
              </w:rPr>
              <w:t>91</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647</w:t>
            </w:r>
            <w:r>
              <w:rPr>
                <w:rFonts w:hint="eastAsia" w:ascii="仿宋" w:hAnsi="仿宋" w:eastAsia="仿宋" w:cs="宋体"/>
                <w:color w:val="000000" w:themeColor="text1"/>
                <w:kern w:val="0"/>
                <w:sz w:val="24"/>
                <w:szCs w:val="24"/>
                <w:highlight w:val="none"/>
                <w14:textFill>
                  <w14:solidFill>
                    <w14:schemeClr w14:val="tx1"/>
                  </w14:solidFill>
                </w14:textFill>
              </w:rPr>
              <w:t>.</w:t>
            </w:r>
            <w:r>
              <w:rPr>
                <w:rFonts w:ascii="仿宋" w:hAnsi="仿宋" w:eastAsia="仿宋" w:cs="宋体"/>
                <w:color w:val="000000" w:themeColor="text1"/>
                <w:kern w:val="0"/>
                <w:sz w:val="24"/>
                <w:szCs w:val="24"/>
                <w:highlight w:val="none"/>
                <w14:textFill>
                  <w14:solidFill>
                    <w14:schemeClr w14:val="tx1"/>
                  </w14:solidFill>
                </w14:textFill>
              </w:rPr>
              <w:t>91</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耕地保有量（平方公里）</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751.99</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751.99</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751.99</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83"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建设用地面积（平方公里）</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247.62</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317.58</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317.58</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城乡建设用地面积（平方公里）</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w:t>
            </w:r>
            <w:r>
              <w:rPr>
                <w:rFonts w:ascii="仿宋" w:hAnsi="仿宋" w:eastAsia="仿宋" w:cs="宋体"/>
                <w:color w:val="000000" w:themeColor="text1"/>
                <w:kern w:val="0"/>
                <w:sz w:val="24"/>
                <w:szCs w:val="24"/>
                <w:highlight w:val="none"/>
                <w14:textFill>
                  <w14:solidFill>
                    <w14:schemeClr w14:val="tx1"/>
                  </w14:solidFill>
                </w14:textFill>
              </w:rPr>
              <w:t>15.61</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251.88</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251.88</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林地保有量（平方公里）</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w:t>
            </w:r>
            <w:r>
              <w:rPr>
                <w:rFonts w:ascii="仿宋" w:hAnsi="仿宋" w:eastAsia="仿宋" w:cs="宋体"/>
                <w:color w:val="000000" w:themeColor="text1"/>
                <w:kern w:val="0"/>
                <w:sz w:val="24"/>
                <w:szCs w:val="24"/>
                <w:highlight w:val="none"/>
                <w14:textFill>
                  <w14:solidFill>
                    <w14:schemeClr w14:val="tx1"/>
                  </w14:solidFill>
                </w14:textFill>
              </w:rPr>
              <w:t>155.20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1129.98</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1129.98</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湿地面积（平方公里）</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2.91</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w:t>
            </w:r>
            <w:r>
              <w:rPr>
                <w:rFonts w:ascii="仿宋" w:hAnsi="仿宋" w:eastAsia="仿宋" w:cs="宋体"/>
                <w:color w:val="000000" w:themeColor="text1"/>
                <w:kern w:val="0"/>
                <w:sz w:val="24"/>
                <w:szCs w:val="24"/>
                <w:highlight w:val="none"/>
                <w14:textFill>
                  <w14:solidFill>
                    <w14:schemeClr w14:val="tx1"/>
                  </w14:solidFill>
                </w14:textFill>
              </w:rPr>
              <w:t>.84</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w:t>
            </w:r>
            <w:r>
              <w:rPr>
                <w:rFonts w:ascii="仿宋" w:hAnsi="仿宋" w:eastAsia="仿宋" w:cs="宋体"/>
                <w:color w:val="000000" w:themeColor="text1"/>
                <w:kern w:val="0"/>
                <w:sz w:val="24"/>
                <w:szCs w:val="24"/>
                <w:highlight w:val="none"/>
                <w14:textFill>
                  <w14:solidFill>
                    <w14:schemeClr w14:val="tx1"/>
                  </w14:solidFill>
                </w14:textFill>
              </w:rPr>
              <w:t>.84</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441"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自然和文化遗产（处）</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08"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新能源和可再生能源比例 ( %)</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暂无统计</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412" w:hRule="atLeast"/>
        </w:trPr>
        <w:tc>
          <w:tcPr>
            <w:tcW w:w="1402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二、空间结构与效率</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常住人口规模（万人）</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71.09</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77</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95</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515"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常住人口城镇化率(%)</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54.45</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61</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72</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665" w:hRule="atLeast"/>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人均城镇建设用地面积（平方米）</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95/140</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100/130</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108/130</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县域/中心城区</w:t>
            </w:r>
          </w:p>
        </w:tc>
      </w:tr>
      <w:tr>
        <w:tblPrEx>
          <w:tblCellMar>
            <w:top w:w="0" w:type="dxa"/>
            <w:left w:w="108" w:type="dxa"/>
            <w:bottom w:w="0" w:type="dxa"/>
            <w:right w:w="108" w:type="dxa"/>
          </w:tblCellMar>
        </w:tblPrEx>
        <w:trPr>
          <w:trHeight w:val="469" w:hRule="atLeast"/>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w:t>
            </w:r>
          </w:p>
        </w:tc>
        <w:tc>
          <w:tcPr>
            <w:tcW w:w="4673"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人均村庄建设用地面积（平方米）</w:t>
            </w:r>
          </w:p>
        </w:tc>
        <w:tc>
          <w:tcPr>
            <w:tcW w:w="1862"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381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247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219</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77"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人均应急避难场所面积（平方米）</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455"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道路网密度（ 千米／平方公里）</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2.38</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每万元 GDP 水耗（立方米）</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73.22</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X</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X</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455"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每万元 GDP 地耗（平方米）</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69.36</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X</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X</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97" w:hRule="atLeast"/>
        </w:trPr>
        <w:tc>
          <w:tcPr>
            <w:tcW w:w="1402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三、空间品质</w:t>
            </w:r>
          </w:p>
        </w:tc>
      </w:tr>
      <w:tr>
        <w:tblPrEx>
          <w:tblCellMar>
            <w:top w:w="0" w:type="dxa"/>
            <w:left w:w="108" w:type="dxa"/>
            <w:bottom w:w="0" w:type="dxa"/>
            <w:right w:w="108" w:type="dxa"/>
          </w:tblCellMar>
        </w:tblPrEx>
        <w:trPr>
          <w:trHeight w:val="410"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19</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公园绿地、广场步行5分钟覆盖率（％）</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37.85</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80</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约束性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635"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卫生、养老、教育、文化、体育等社区公共服务设施步行15分钟覆盖率（％）</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57.14</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80</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90"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21</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等级医院交通30分钟行政村覆盖率（％）</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63.28</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80</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22</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城镇人均住房面积（平方米）</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40.8</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45</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45</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441"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23</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每千名老年人养老床位数（张）</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25.46</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X</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X</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515"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24</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每千人口医疗卫生机构床位数（张）</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3.72</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人均体育用地面积（平方米）</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0.13</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0.5</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0.5</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26</w:t>
            </w:r>
          </w:p>
        </w:tc>
        <w:tc>
          <w:tcPr>
            <w:tcW w:w="467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bidi="ar"/>
                <w14:textFill>
                  <w14:solidFill>
                    <w14:schemeClr w14:val="tx1"/>
                  </w14:solidFill>
                </w14:textFill>
              </w:rPr>
              <w:t>人均公园绿地面积（平方米）</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12.14</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12.5</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27</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河湖生活岸线占比</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暂无统计</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40</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352" w:hRule="atLeast"/>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28</w:t>
            </w:r>
          </w:p>
        </w:tc>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绿色交通出行比例（％）</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暂无统计</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60</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80</w:t>
            </w:r>
          </w:p>
        </w:tc>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352" w:hRule="atLeast"/>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29</w:t>
            </w:r>
          </w:p>
        </w:tc>
        <w:tc>
          <w:tcPr>
            <w:tcW w:w="4673"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降雨就地消纳率（％）</w:t>
            </w:r>
          </w:p>
        </w:tc>
        <w:tc>
          <w:tcPr>
            <w:tcW w:w="1862"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暂无统计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30</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城镇生活垃圾回收利用率（％）</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18.1</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X</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X</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352"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31</w:t>
            </w:r>
          </w:p>
        </w:tc>
        <w:tc>
          <w:tcPr>
            <w:tcW w:w="467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农村生活垃圾处理率（％）</w:t>
            </w:r>
          </w:p>
        </w:tc>
        <w:tc>
          <w:tcPr>
            <w:tcW w:w="186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w:t>
            </w:r>
          </w:p>
        </w:tc>
        <w:tc>
          <w:tcPr>
            <w:tcW w:w="1843"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w:t>
            </w:r>
          </w:p>
        </w:tc>
        <w:tc>
          <w:tcPr>
            <w:tcW w:w="1587"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预期性</w:t>
            </w:r>
          </w:p>
        </w:tc>
        <w:tc>
          <w:tcPr>
            <w:tcW w:w="138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县域</w:t>
            </w:r>
          </w:p>
        </w:tc>
      </w:tr>
    </w:tbl>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27" w:name="_Toc30423"/>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2</w:t>
      </w:r>
      <w:r>
        <w:rPr>
          <w:rFonts w:hint="eastAsia" w:ascii="仿宋" w:hAnsi="仿宋" w:eastAsia="仿宋"/>
          <w:b/>
          <w:bCs/>
          <w:color w:val="000000" w:themeColor="text1"/>
          <w:highlight w:val="none"/>
          <w14:textFill>
            <w14:solidFill>
              <w14:schemeClr w14:val="tx1"/>
            </w14:solidFill>
          </w14:textFill>
        </w:rPr>
        <w:t>：县域规划分区统计表</w:t>
      </w:r>
      <w:bookmarkEnd w:id="127"/>
    </w:p>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r>
        <w:rPr>
          <w:rFonts w:hint="eastAsia" w:ascii="仿宋" w:hAnsi="仿宋" w:eastAsia="仿宋"/>
          <w:color w:val="000000" w:themeColor="text1"/>
          <w:sz w:val="24"/>
          <w:szCs w:val="21"/>
          <w:highlight w:val="none"/>
          <w14:textFill>
            <w14:solidFill>
              <w14:schemeClr w14:val="tx1"/>
            </w14:solidFill>
          </w14:textFill>
        </w:rPr>
        <w:t>单位：平方公里</w:t>
      </w:r>
    </w:p>
    <w:tbl>
      <w:tblPr>
        <w:tblStyle w:val="12"/>
        <w:tblW w:w="14329" w:type="dxa"/>
        <w:tblInd w:w="0" w:type="dxa"/>
        <w:tblLayout w:type="autofit"/>
        <w:tblCellMar>
          <w:top w:w="0" w:type="dxa"/>
          <w:left w:w="108" w:type="dxa"/>
          <w:bottom w:w="0" w:type="dxa"/>
          <w:right w:w="108" w:type="dxa"/>
        </w:tblCellMar>
      </w:tblPr>
      <w:tblGrid>
        <w:gridCol w:w="713"/>
        <w:gridCol w:w="1093"/>
        <w:gridCol w:w="1093"/>
        <w:gridCol w:w="1093"/>
        <w:gridCol w:w="1362"/>
        <w:gridCol w:w="1362"/>
        <w:gridCol w:w="983"/>
        <w:gridCol w:w="1056"/>
        <w:gridCol w:w="1056"/>
        <w:gridCol w:w="1056"/>
        <w:gridCol w:w="1037"/>
        <w:gridCol w:w="1426"/>
        <w:gridCol w:w="1196"/>
      </w:tblGrid>
      <w:tr>
        <w:tblPrEx>
          <w:tblCellMar>
            <w:top w:w="0" w:type="dxa"/>
            <w:left w:w="108" w:type="dxa"/>
            <w:bottom w:w="0" w:type="dxa"/>
            <w:right w:w="108" w:type="dxa"/>
          </w:tblCellMar>
        </w:tblPrEx>
        <w:trPr>
          <w:trHeight w:val="232" w:hRule="atLeast"/>
        </w:trPr>
        <w:tc>
          <w:tcPr>
            <w:tcW w:w="7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分区</w:t>
            </w:r>
          </w:p>
        </w:tc>
        <w:tc>
          <w:tcPr>
            <w:tcW w:w="109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生态保护区</w:t>
            </w:r>
          </w:p>
        </w:tc>
        <w:tc>
          <w:tcPr>
            <w:tcW w:w="109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生态控制区</w:t>
            </w:r>
          </w:p>
        </w:tc>
        <w:tc>
          <w:tcPr>
            <w:tcW w:w="109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农田保护区</w:t>
            </w:r>
          </w:p>
        </w:tc>
        <w:tc>
          <w:tcPr>
            <w:tcW w:w="3707"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城镇发展区</w:t>
            </w:r>
          </w:p>
        </w:tc>
        <w:tc>
          <w:tcPr>
            <w:tcW w:w="414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乡村发展区</w:t>
            </w:r>
          </w:p>
        </w:tc>
        <w:tc>
          <w:tcPr>
            <w:tcW w:w="142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矿产能源发展区</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合计</w:t>
            </w:r>
          </w:p>
        </w:tc>
      </w:tr>
      <w:tr>
        <w:tblPrEx>
          <w:tblCellMar>
            <w:top w:w="0" w:type="dxa"/>
            <w:left w:w="108" w:type="dxa"/>
            <w:bottom w:w="0" w:type="dxa"/>
            <w:right w:w="108" w:type="dxa"/>
          </w:tblCellMar>
        </w:tblPrEx>
        <w:trPr>
          <w:trHeight w:val="376" w:hRule="atLeast"/>
        </w:trPr>
        <w:tc>
          <w:tcPr>
            <w:tcW w:w="713"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1093"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1093"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1093"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136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城镇集中建设区</w:t>
            </w:r>
          </w:p>
        </w:tc>
        <w:tc>
          <w:tcPr>
            <w:tcW w:w="136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城镇弹性发展区</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特别用途区</w:t>
            </w:r>
          </w:p>
        </w:tc>
        <w:tc>
          <w:tcPr>
            <w:tcW w:w="10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村庄建设区</w:t>
            </w:r>
          </w:p>
        </w:tc>
        <w:tc>
          <w:tcPr>
            <w:tcW w:w="10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一般农业区</w:t>
            </w:r>
          </w:p>
        </w:tc>
        <w:tc>
          <w:tcPr>
            <w:tcW w:w="10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林业发展区</w:t>
            </w:r>
          </w:p>
        </w:tc>
        <w:tc>
          <w:tcPr>
            <w:tcW w:w="10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牧业发展区</w:t>
            </w:r>
          </w:p>
        </w:tc>
        <w:tc>
          <w:tcPr>
            <w:tcW w:w="142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25" w:hRule="atLeast"/>
        </w:trPr>
        <w:tc>
          <w:tcPr>
            <w:tcW w:w="71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面积</w:t>
            </w:r>
          </w:p>
        </w:tc>
        <w:tc>
          <w:tcPr>
            <w:tcW w:w="1093"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209.5</w:t>
            </w:r>
          </w:p>
        </w:tc>
        <w:tc>
          <w:tcPr>
            <w:tcW w:w="1093"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513.75</w:t>
            </w:r>
          </w:p>
        </w:tc>
        <w:tc>
          <w:tcPr>
            <w:tcW w:w="1093"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729.05</w:t>
            </w:r>
          </w:p>
        </w:tc>
        <w:tc>
          <w:tcPr>
            <w:tcW w:w="136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73.67</w:t>
            </w:r>
          </w:p>
        </w:tc>
        <w:tc>
          <w:tcPr>
            <w:tcW w:w="136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5.15</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3.16</w:t>
            </w:r>
          </w:p>
        </w:tc>
        <w:tc>
          <w:tcPr>
            <w:tcW w:w="10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178.21</w:t>
            </w:r>
          </w:p>
        </w:tc>
        <w:tc>
          <w:tcPr>
            <w:tcW w:w="10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287.43</w:t>
            </w:r>
          </w:p>
        </w:tc>
        <w:tc>
          <w:tcPr>
            <w:tcW w:w="10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590.44</w:t>
            </w:r>
          </w:p>
        </w:tc>
        <w:tc>
          <w:tcPr>
            <w:tcW w:w="10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w:t>
            </w:r>
          </w:p>
        </w:tc>
        <w:tc>
          <w:tcPr>
            <w:tcW w:w="142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55.17</w:t>
            </w:r>
          </w:p>
        </w:tc>
        <w:tc>
          <w:tcPr>
            <w:tcW w:w="1056"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2645.53</w:t>
            </w:r>
          </w:p>
        </w:tc>
      </w:tr>
    </w:tbl>
    <w:p>
      <w:pPr>
        <w:spacing w:before="381" w:beforeLines="100" w:after="0"/>
        <w:rPr>
          <w:rFonts w:ascii="仿宋" w:hAnsi="仿宋" w:eastAsia="仿宋"/>
          <w:b/>
          <w:bCs/>
          <w:color w:val="000000" w:themeColor="text1"/>
          <w:highlight w:val="none"/>
          <w14:textFill>
            <w14:solidFill>
              <w14:schemeClr w14:val="tx1"/>
            </w14:solidFill>
          </w14:textFill>
        </w:rPr>
      </w:pPr>
    </w:p>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28" w:name="_Toc18108"/>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3</w:t>
      </w:r>
      <w:r>
        <w:rPr>
          <w:rFonts w:hint="eastAsia" w:ascii="仿宋" w:hAnsi="仿宋" w:eastAsia="仿宋"/>
          <w:b/>
          <w:bCs/>
          <w:color w:val="000000" w:themeColor="text1"/>
          <w:highlight w:val="none"/>
          <w14:textFill>
            <w14:solidFill>
              <w14:schemeClr w14:val="tx1"/>
            </w14:solidFill>
          </w14:textFill>
        </w:rPr>
        <w:t>：中心城区城镇集中建设区规划分区统计表</w:t>
      </w:r>
      <w:bookmarkEnd w:id="128"/>
    </w:p>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r>
        <w:rPr>
          <w:rFonts w:hint="eastAsia" w:ascii="仿宋" w:hAnsi="仿宋" w:eastAsia="仿宋"/>
          <w:color w:val="000000" w:themeColor="text1"/>
          <w:sz w:val="24"/>
          <w:szCs w:val="21"/>
          <w:highlight w:val="none"/>
          <w14:textFill>
            <w14:solidFill>
              <w14:schemeClr w14:val="tx1"/>
            </w14:solidFill>
          </w14:textFill>
        </w:rPr>
        <w:t>单位：公顷</w:t>
      </w:r>
    </w:p>
    <w:tbl>
      <w:tblPr>
        <w:tblStyle w:val="12"/>
        <w:tblW w:w="14105" w:type="dxa"/>
        <w:tblInd w:w="0" w:type="dxa"/>
        <w:tblLayout w:type="autofit"/>
        <w:tblCellMar>
          <w:top w:w="0" w:type="dxa"/>
          <w:left w:w="108" w:type="dxa"/>
          <w:bottom w:w="0" w:type="dxa"/>
          <w:right w:w="108" w:type="dxa"/>
        </w:tblCellMar>
      </w:tblPr>
      <w:tblGrid>
        <w:gridCol w:w="704"/>
        <w:gridCol w:w="1587"/>
        <w:gridCol w:w="1532"/>
        <w:gridCol w:w="1559"/>
        <w:gridCol w:w="1559"/>
        <w:gridCol w:w="1604"/>
        <w:gridCol w:w="1515"/>
        <w:gridCol w:w="1559"/>
        <w:gridCol w:w="1417"/>
        <w:gridCol w:w="1069"/>
      </w:tblGrid>
      <w:tr>
        <w:tblPrEx>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分区</w:t>
            </w:r>
          </w:p>
        </w:tc>
        <w:tc>
          <w:tcPr>
            <w:tcW w:w="158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居住生活区</w:t>
            </w:r>
          </w:p>
        </w:tc>
        <w:tc>
          <w:tcPr>
            <w:tcW w:w="153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综合服务区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商业商务区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工业发展区</w:t>
            </w:r>
          </w:p>
        </w:tc>
        <w:tc>
          <w:tcPr>
            <w:tcW w:w="160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物流仓储区</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绿地休闲区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交通枢纽区</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战略预留区</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合计</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面积</w:t>
            </w:r>
          </w:p>
        </w:tc>
        <w:tc>
          <w:tcPr>
            <w:tcW w:w="158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2018.41</w:t>
            </w:r>
          </w:p>
        </w:tc>
        <w:tc>
          <w:tcPr>
            <w:tcW w:w="153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684.53</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266.38</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1685.44</w:t>
            </w:r>
          </w:p>
        </w:tc>
        <w:tc>
          <w:tcPr>
            <w:tcW w:w="160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27.29</w:t>
            </w:r>
          </w:p>
        </w:tc>
        <w:tc>
          <w:tcPr>
            <w:tcW w:w="151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1224.81</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45.62</w:t>
            </w:r>
          </w:p>
        </w:tc>
        <w:tc>
          <w:tcPr>
            <w:tcW w:w="14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551.36</w:t>
            </w:r>
          </w:p>
        </w:tc>
        <w:tc>
          <w:tcPr>
            <w:tcW w:w="106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6503.84</w:t>
            </w:r>
          </w:p>
        </w:tc>
      </w:tr>
    </w:tbl>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29" w:name="_Toc27340"/>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4</w:t>
      </w:r>
      <w:r>
        <w:rPr>
          <w:rFonts w:hint="eastAsia" w:ascii="仿宋" w:hAnsi="仿宋" w:eastAsia="仿宋"/>
          <w:b/>
          <w:bCs/>
          <w:color w:val="000000" w:themeColor="text1"/>
          <w:highlight w:val="none"/>
          <w14:textFill>
            <w14:solidFill>
              <w14:schemeClr w14:val="tx1"/>
            </w14:solidFill>
          </w14:textFill>
        </w:rPr>
        <w:t>：国土空间功能结构调整表</w:t>
      </w:r>
      <w:bookmarkEnd w:id="129"/>
    </w:p>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r>
        <w:rPr>
          <w:rFonts w:hint="eastAsia" w:ascii="仿宋" w:hAnsi="仿宋" w:eastAsia="仿宋"/>
          <w:color w:val="000000" w:themeColor="text1"/>
          <w:sz w:val="24"/>
          <w:szCs w:val="21"/>
          <w:highlight w:val="none"/>
          <w14:textFill>
            <w14:solidFill>
              <w14:schemeClr w14:val="tx1"/>
            </w14:solidFill>
          </w14:textFill>
        </w:rPr>
        <w:t>单位：平方公里、%</w:t>
      </w:r>
    </w:p>
    <w:tbl>
      <w:tblPr>
        <w:tblStyle w:val="12"/>
        <w:tblW w:w="5000" w:type="pct"/>
        <w:tblInd w:w="0" w:type="dxa"/>
        <w:tblLayout w:type="autofit"/>
        <w:tblCellMar>
          <w:top w:w="0" w:type="dxa"/>
          <w:left w:w="108" w:type="dxa"/>
          <w:bottom w:w="0" w:type="dxa"/>
          <w:right w:w="108" w:type="dxa"/>
        </w:tblCellMar>
      </w:tblPr>
      <w:tblGrid>
        <w:gridCol w:w="1545"/>
        <w:gridCol w:w="1176"/>
        <w:gridCol w:w="1564"/>
        <w:gridCol w:w="1124"/>
        <w:gridCol w:w="1564"/>
        <w:gridCol w:w="1124"/>
        <w:gridCol w:w="1479"/>
        <w:gridCol w:w="1556"/>
        <w:gridCol w:w="1504"/>
        <w:gridCol w:w="1538"/>
      </w:tblGrid>
      <w:tr>
        <w:trPr>
          <w:trHeight w:val="312" w:hRule="atLeast"/>
          <w:tblHeader/>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　</w:t>
            </w:r>
          </w:p>
        </w:tc>
        <w:tc>
          <w:tcPr>
            <w:tcW w:w="1907"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县域</w:t>
            </w:r>
          </w:p>
        </w:tc>
        <w:tc>
          <w:tcPr>
            <w:tcW w:w="2172"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中心城区</w:t>
            </w:r>
          </w:p>
        </w:tc>
      </w:tr>
      <w:tr>
        <w:tblPrEx>
          <w:tblCellMar>
            <w:top w:w="0" w:type="dxa"/>
            <w:left w:w="108" w:type="dxa"/>
            <w:bottom w:w="0" w:type="dxa"/>
            <w:right w:w="108" w:type="dxa"/>
          </w:tblCellMar>
        </w:tblPrEx>
        <w:trPr>
          <w:trHeight w:val="312" w:hRule="atLeast"/>
          <w:tblHeader/>
        </w:trPr>
        <w:tc>
          <w:tcPr>
            <w:tcW w:w="920"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用地类型</w:t>
            </w:r>
          </w:p>
        </w:tc>
        <w:tc>
          <w:tcPr>
            <w:tcW w:w="95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规划基期年（2020年）</w:t>
            </w:r>
          </w:p>
        </w:tc>
        <w:tc>
          <w:tcPr>
            <w:tcW w:w="95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规划目标年（2035年）</w:t>
            </w:r>
          </w:p>
        </w:tc>
        <w:tc>
          <w:tcPr>
            <w:tcW w:w="108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规划基期年（2020年）</w:t>
            </w:r>
          </w:p>
        </w:tc>
        <w:tc>
          <w:tcPr>
            <w:tcW w:w="108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规划目标年（2035年）</w:t>
            </w:r>
          </w:p>
        </w:tc>
      </w:tr>
      <w:tr>
        <w:tblPrEx>
          <w:tblCellMar>
            <w:top w:w="0" w:type="dxa"/>
            <w:left w:w="108" w:type="dxa"/>
            <w:bottom w:w="0" w:type="dxa"/>
            <w:right w:w="108" w:type="dxa"/>
          </w:tblCellMar>
        </w:tblPrEx>
        <w:trPr>
          <w:trHeight w:val="312" w:hRule="atLeast"/>
          <w:tblHeader/>
        </w:trPr>
        <w:tc>
          <w:tcPr>
            <w:tcW w:w="92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面积</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比重</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面积</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比重</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面积</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比重</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面积</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比重</w:t>
            </w:r>
          </w:p>
        </w:tc>
      </w:tr>
      <w:tr>
        <w:tblPrEx>
          <w:tblCellMar>
            <w:top w:w="0" w:type="dxa"/>
            <w:left w:w="108" w:type="dxa"/>
            <w:bottom w:w="0" w:type="dxa"/>
            <w:right w:w="108" w:type="dxa"/>
          </w:tblCellMar>
        </w:tblPrEx>
        <w:trPr>
          <w:trHeight w:val="312"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耕地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757.18</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28.62</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755.42</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28.55</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22.02</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29.04</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2.4</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3.17</w:t>
            </w:r>
          </w:p>
        </w:tc>
      </w:tr>
      <w:tr>
        <w:tblPrEx>
          <w:tblCellMar>
            <w:top w:w="0" w:type="dxa"/>
            <w:left w:w="108" w:type="dxa"/>
            <w:bottom w:w="0" w:type="dxa"/>
            <w:right w:w="108" w:type="dxa"/>
          </w:tblCellMar>
        </w:tblPrEx>
        <w:trPr>
          <w:trHeight w:val="312"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园地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48.89</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1.85</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46.86</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1.77</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1.48</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1.95</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0.21</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0.28</w:t>
            </w:r>
          </w:p>
        </w:tc>
      </w:tr>
      <w:tr>
        <w:tblPrEx>
          <w:tblCellMar>
            <w:top w:w="0" w:type="dxa"/>
            <w:left w:w="108" w:type="dxa"/>
            <w:bottom w:w="0" w:type="dxa"/>
            <w:right w:w="108" w:type="dxa"/>
          </w:tblCellMar>
        </w:tblPrEx>
        <w:trPr>
          <w:trHeight w:val="312"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林地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1155.2</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43.67</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1129.98</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42.71</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7.1</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9.36</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1.52</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2.00</w:t>
            </w:r>
          </w:p>
        </w:tc>
      </w:tr>
      <w:tr>
        <w:tblPrEx>
          <w:tblCellMar>
            <w:top w:w="0" w:type="dxa"/>
            <w:left w:w="108" w:type="dxa"/>
            <w:bottom w:w="0" w:type="dxa"/>
            <w:right w:w="108" w:type="dxa"/>
          </w:tblCellMar>
        </w:tblPrEx>
        <w:trPr>
          <w:trHeight w:val="312"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草地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102.6</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3.88</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73.91</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2.79</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1.43</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1.89</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0.27</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0.36</w:t>
            </w:r>
          </w:p>
        </w:tc>
      </w:tr>
      <w:tr>
        <w:tblPrEx>
          <w:tblCellMar>
            <w:top w:w="0" w:type="dxa"/>
            <w:left w:w="108" w:type="dxa"/>
            <w:bottom w:w="0" w:type="dxa"/>
            <w:right w:w="108" w:type="dxa"/>
          </w:tblCellMar>
        </w:tblPrEx>
        <w:trPr>
          <w:trHeight w:val="312"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湿地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2.91</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0.11</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2.84</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0.11</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0.19</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0.25</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0.01</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0.01</w:t>
            </w:r>
          </w:p>
        </w:tc>
      </w:tr>
      <w:tr>
        <w:tblPrEx>
          <w:tblCellMar>
            <w:top w:w="0" w:type="dxa"/>
            <w:left w:w="108" w:type="dxa"/>
            <w:bottom w:w="0" w:type="dxa"/>
            <w:right w:w="108" w:type="dxa"/>
          </w:tblCellMar>
        </w:tblPrEx>
        <w:trPr>
          <w:trHeight w:val="348"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农业设施建设用地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23.39</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0.88</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21.08</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0.8</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0.24</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0.32</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0.03</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0.04</w:t>
            </w:r>
          </w:p>
        </w:tc>
      </w:tr>
      <w:tr>
        <w:tblPrEx>
          <w:tblCellMar>
            <w:top w:w="0" w:type="dxa"/>
            <w:left w:w="108" w:type="dxa"/>
            <w:bottom w:w="0" w:type="dxa"/>
            <w:right w:w="108" w:type="dxa"/>
          </w:tblCellMar>
        </w:tblPrEx>
        <w:trPr>
          <w:trHeight w:val="348" w:hRule="atLeast"/>
        </w:trPr>
        <w:tc>
          <w:tcPr>
            <w:tcW w:w="55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城乡建设用地</w:t>
            </w:r>
          </w:p>
        </w:tc>
        <w:tc>
          <w:tcPr>
            <w:tcW w:w="371"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城镇用地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36.95</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73.67</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2.78</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26.05</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34.36</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57.31</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75.59</w:t>
            </w:r>
          </w:p>
        </w:tc>
      </w:tr>
      <w:tr>
        <w:tblPrEx>
          <w:tblCellMar>
            <w:top w:w="0" w:type="dxa"/>
            <w:left w:w="108" w:type="dxa"/>
            <w:bottom w:w="0" w:type="dxa"/>
            <w:right w:w="108" w:type="dxa"/>
          </w:tblCellMar>
        </w:tblPrEx>
        <w:trPr>
          <w:trHeight w:val="90" w:hRule="atLeast"/>
        </w:trPr>
        <w:tc>
          <w:tcPr>
            <w:tcW w:w="550" w:type="pct"/>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71"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村庄用地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178.66</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6.75</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178.21</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6.74</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6.31</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8.32</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2.03</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2.68</w:t>
            </w:r>
          </w:p>
        </w:tc>
      </w:tr>
      <w:tr>
        <w:tblPrEx>
          <w:tblCellMar>
            <w:top w:w="0" w:type="dxa"/>
            <w:left w:w="108" w:type="dxa"/>
            <w:bottom w:w="0" w:type="dxa"/>
            <w:right w:w="108" w:type="dxa"/>
          </w:tblCellMar>
        </w:tblPrEx>
        <w:trPr>
          <w:trHeight w:val="348"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区域基础设施用地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21.04</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0.8</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54.61</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2.06</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2.99</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3.94</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6.99</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9.22</w:t>
            </w:r>
          </w:p>
        </w:tc>
      </w:tr>
      <w:tr>
        <w:tblPrEx>
          <w:tblCellMar>
            <w:top w:w="0" w:type="dxa"/>
            <w:left w:w="108" w:type="dxa"/>
            <w:bottom w:w="0" w:type="dxa"/>
            <w:right w:w="108" w:type="dxa"/>
          </w:tblCellMar>
        </w:tblPrEx>
        <w:trPr>
          <w:trHeight w:val="348"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其他建设用地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10.97</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0.41</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11.09</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0.42</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1.71</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1.56</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2.06</w:t>
            </w:r>
          </w:p>
        </w:tc>
      </w:tr>
      <w:tr>
        <w:tblPrEx>
          <w:tblCellMar>
            <w:top w:w="0" w:type="dxa"/>
            <w:left w:w="108" w:type="dxa"/>
            <w:bottom w:w="0" w:type="dxa"/>
            <w:right w:w="108" w:type="dxa"/>
          </w:tblCellMar>
        </w:tblPrEx>
        <w:trPr>
          <w:trHeight w:val="348"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陆地水域</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264.62</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255.75</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9.67</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5.54</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7.31</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2.69</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3.55</w:t>
            </w:r>
          </w:p>
        </w:tc>
      </w:tr>
      <w:tr>
        <w:tblPrEx>
          <w:tblCellMar>
            <w:top w:w="0" w:type="dxa"/>
            <w:left w:w="108" w:type="dxa"/>
            <w:bottom w:w="0" w:type="dxa"/>
            <w:right w:w="108" w:type="dxa"/>
          </w:tblCellMar>
        </w:tblPrEx>
        <w:trPr>
          <w:trHeight w:val="348"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其他土地</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43.12</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1.63</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42.11</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1.59</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1.17</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1.54</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0.8</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1.06</w:t>
            </w:r>
          </w:p>
        </w:tc>
      </w:tr>
      <w:tr>
        <w:tblPrEx>
          <w:tblCellMar>
            <w:top w:w="0" w:type="dxa"/>
            <w:left w:w="108" w:type="dxa"/>
            <w:bottom w:w="0" w:type="dxa"/>
            <w:right w:w="108" w:type="dxa"/>
          </w:tblCellMar>
        </w:tblPrEx>
        <w:trPr>
          <w:trHeight w:val="312" w:hRule="atLeast"/>
        </w:trPr>
        <w:tc>
          <w:tcPr>
            <w:tcW w:w="92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合计</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2645.53</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100</w:t>
            </w:r>
          </w:p>
        </w:tc>
        <w:tc>
          <w:tcPr>
            <w:tcW w:w="55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2645.53</w:t>
            </w:r>
          </w:p>
        </w:tc>
        <w:tc>
          <w:tcPr>
            <w:tcW w:w="39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100</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75.82</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100.00</w:t>
            </w:r>
          </w:p>
        </w:tc>
        <w:tc>
          <w:tcPr>
            <w:tcW w:w="53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75.82</w:t>
            </w:r>
          </w:p>
        </w:tc>
        <w:tc>
          <w:tcPr>
            <w:tcW w:w="549"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100.00</w:t>
            </w:r>
          </w:p>
        </w:tc>
      </w:tr>
    </w:tbl>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p>
    <w:p>
      <w:pPr>
        <w:adjustRightInd w:val="0"/>
        <w:snapToGrid w:val="0"/>
        <w:spacing w:before="0" w:after="0" w:line="240" w:lineRule="auto"/>
        <w:jc w:val="left"/>
        <w:rPr>
          <w:rFonts w:ascii="仿宋" w:hAnsi="仿宋" w:eastAsia="仿宋"/>
          <w:color w:val="000000" w:themeColor="text1"/>
          <w:sz w:val="20"/>
          <w:szCs w:val="16"/>
          <w:highlight w:val="none"/>
          <w14:textFill>
            <w14:solidFill>
              <w14:schemeClr w14:val="tx1"/>
            </w14:solidFill>
          </w14:textFill>
        </w:rPr>
      </w:pPr>
      <w:r>
        <w:rPr>
          <w:rFonts w:hint="eastAsia" w:ascii="仿宋" w:hAnsi="仿宋" w:eastAsia="仿宋"/>
          <w:color w:val="000000" w:themeColor="text1"/>
          <w:sz w:val="20"/>
          <w:szCs w:val="16"/>
          <w:highlight w:val="none"/>
          <w14:textFill>
            <w14:solidFill>
              <w14:schemeClr w14:val="tx1"/>
            </w14:solidFill>
          </w14:textFill>
        </w:rPr>
        <w:t>注：1.城乡建设用地中的城镇、村庄是指城镇、村庄范围的建设用地，规划基期年数据采用“三调”中的城市、建制镇、村庄用地数据；2.区域基础设施用地包括区域性交通运输用地、公用设施用地；3.其他建设用地是城乡建设用地、区域基础设施用地以外的建设用地，主要包括特殊用地、矿业用地等。</w:t>
      </w:r>
    </w:p>
    <w:p>
      <w:pPr>
        <w:adjustRightInd w:val="0"/>
        <w:snapToGrid w:val="0"/>
        <w:spacing w:before="0" w:after="0" w:line="240" w:lineRule="auto"/>
        <w:jc w:val="left"/>
        <w:rPr>
          <w:rFonts w:ascii="仿宋" w:hAnsi="仿宋" w:eastAsia="仿宋"/>
          <w:color w:val="000000" w:themeColor="text1"/>
          <w:sz w:val="20"/>
          <w:szCs w:val="16"/>
          <w:highlight w:val="none"/>
          <w14:textFill>
            <w14:solidFill>
              <w14:schemeClr w14:val="tx1"/>
            </w14:solidFill>
          </w14:textFill>
        </w:rPr>
      </w:pPr>
    </w:p>
    <w:p>
      <w:pPr>
        <w:adjustRightInd w:val="0"/>
        <w:snapToGrid w:val="0"/>
        <w:spacing w:before="0" w:after="0" w:line="240" w:lineRule="auto"/>
        <w:jc w:val="left"/>
        <w:rPr>
          <w:rFonts w:ascii="仿宋" w:hAnsi="仿宋" w:eastAsia="仿宋"/>
          <w:color w:val="000000" w:themeColor="text1"/>
          <w:sz w:val="20"/>
          <w:szCs w:val="16"/>
          <w:highlight w:val="none"/>
          <w14:textFill>
            <w14:solidFill>
              <w14:schemeClr w14:val="tx1"/>
            </w14:solidFill>
          </w14:textFill>
        </w:rPr>
      </w:pPr>
    </w:p>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0" w:name="_Toc9871"/>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5</w:t>
      </w:r>
      <w:r>
        <w:rPr>
          <w:rFonts w:hint="eastAsia" w:ascii="仿宋" w:hAnsi="仿宋" w:eastAsia="仿宋"/>
          <w:b/>
          <w:bCs/>
          <w:color w:val="000000" w:themeColor="text1"/>
          <w:highlight w:val="none"/>
          <w14:textFill>
            <w14:solidFill>
              <w14:schemeClr w14:val="tx1"/>
            </w14:solidFill>
          </w14:textFill>
        </w:rPr>
        <w:t>：建设用地指标分解表</w:t>
      </w:r>
      <w:bookmarkEnd w:id="130"/>
    </w:p>
    <w:tbl>
      <w:tblPr>
        <w:tblStyle w:val="12"/>
        <w:tblW w:w="4996" w:type="pct"/>
        <w:tblInd w:w="0" w:type="dxa"/>
        <w:tblLayout w:type="autofit"/>
        <w:tblCellMar>
          <w:top w:w="0" w:type="dxa"/>
          <w:left w:w="108" w:type="dxa"/>
          <w:bottom w:w="0" w:type="dxa"/>
          <w:right w:w="108" w:type="dxa"/>
        </w:tblCellMar>
      </w:tblPr>
      <w:tblGrid>
        <w:gridCol w:w="473"/>
        <w:gridCol w:w="1915"/>
        <w:gridCol w:w="1955"/>
        <w:gridCol w:w="1570"/>
        <w:gridCol w:w="1281"/>
        <w:gridCol w:w="1864"/>
        <w:gridCol w:w="2411"/>
        <w:gridCol w:w="2694"/>
      </w:tblGrid>
      <w:tr>
        <w:tblPrEx>
          <w:tblCellMar>
            <w:top w:w="0" w:type="dxa"/>
            <w:left w:w="108" w:type="dxa"/>
            <w:bottom w:w="0" w:type="dxa"/>
            <w:right w:w="108" w:type="dxa"/>
          </w:tblCellMar>
        </w:tblPrEx>
        <w:trPr>
          <w:trHeight w:val="312" w:hRule="atLeast"/>
        </w:trPr>
        <w:tc>
          <w:tcPr>
            <w:tcW w:w="84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乡镇</w:t>
            </w:r>
          </w:p>
        </w:tc>
        <w:tc>
          <w:tcPr>
            <w:tcW w:w="169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规划基期年（2020年）</w:t>
            </w:r>
          </w:p>
        </w:tc>
        <w:tc>
          <w:tcPr>
            <w:tcW w:w="2460"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规划目标年（2035年）</w:t>
            </w:r>
          </w:p>
        </w:tc>
      </w:tr>
      <w:tr>
        <w:tblPrEx>
          <w:tblCellMar>
            <w:top w:w="0" w:type="dxa"/>
            <w:left w:w="108" w:type="dxa"/>
            <w:bottom w:w="0" w:type="dxa"/>
            <w:right w:w="108" w:type="dxa"/>
          </w:tblCellMar>
        </w:tblPrEx>
        <w:trPr>
          <w:trHeight w:val="684" w:hRule="atLeast"/>
        </w:trPr>
        <w:tc>
          <w:tcPr>
            <w:tcW w:w="84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690" w:type="pct"/>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建设用地总规模（平方公里）</w:t>
            </w:r>
          </w:p>
        </w:tc>
        <w:tc>
          <w:tcPr>
            <w:tcW w:w="554" w:type="pct"/>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城乡建设用地规模（平方公里）</w:t>
            </w:r>
          </w:p>
        </w:tc>
        <w:tc>
          <w:tcPr>
            <w:tcW w:w="452" w:type="pct"/>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人均城镇建设用地（平方米）</w:t>
            </w:r>
          </w:p>
        </w:tc>
        <w:tc>
          <w:tcPr>
            <w:tcW w:w="658" w:type="pct"/>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建设用地总规模（平方公里）</w:t>
            </w:r>
          </w:p>
        </w:tc>
        <w:tc>
          <w:tcPr>
            <w:tcW w:w="851" w:type="pct"/>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城乡建设用地规模（平方公里）</w:t>
            </w:r>
          </w:p>
        </w:tc>
        <w:tc>
          <w:tcPr>
            <w:tcW w:w="950" w:type="pct"/>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人均城镇建设用地（平方米）</w:t>
            </w:r>
          </w:p>
        </w:tc>
      </w:tr>
      <w:tr>
        <w:tblPrEx>
          <w:tblCellMar>
            <w:top w:w="0" w:type="dxa"/>
            <w:left w:w="108" w:type="dxa"/>
            <w:bottom w:w="0" w:type="dxa"/>
            <w:right w:w="108" w:type="dxa"/>
          </w:tblCellMar>
        </w:tblPrEx>
        <w:trPr>
          <w:trHeight w:val="312" w:hRule="atLeast"/>
        </w:trPr>
        <w:tc>
          <w:tcPr>
            <w:tcW w:w="16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c>
          <w:tcPr>
            <w:tcW w:w="67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应山街道办事处</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13.26</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12.64</w:t>
            </w:r>
          </w:p>
        </w:tc>
        <w:tc>
          <w:tcPr>
            <w:tcW w:w="452" w:type="pct"/>
            <w:vMerge w:val="restart"/>
            <w:tcBorders>
              <w:top w:val="nil"/>
              <w:left w:val="nil"/>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95</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15.44</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14.26</w:t>
            </w:r>
          </w:p>
        </w:tc>
        <w:tc>
          <w:tcPr>
            <w:tcW w:w="950" w:type="pct"/>
            <w:vMerge w:val="restart"/>
            <w:tcBorders>
              <w:top w:val="nil"/>
              <w:left w:val="nil"/>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130　</w:t>
            </w:r>
          </w:p>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12" w:hRule="atLeast"/>
        </w:trPr>
        <w:tc>
          <w:tcPr>
            <w:tcW w:w="167" w:type="pct"/>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67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17.78</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15.1</w:t>
            </w:r>
          </w:p>
        </w:tc>
        <w:tc>
          <w:tcPr>
            <w:tcW w:w="452" w:type="pct"/>
            <w:vMerge w:val="continue"/>
            <w:tcBorders>
              <w:left w:val="nil"/>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24.31</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18.16</w:t>
            </w:r>
          </w:p>
        </w:tc>
        <w:tc>
          <w:tcPr>
            <w:tcW w:w="950" w:type="pct"/>
            <w:vMerge w:val="continue"/>
            <w:tcBorders>
              <w:left w:val="nil"/>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67" w:type="pct"/>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67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城郊街道办事处</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19.46</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17.75</w:t>
            </w:r>
          </w:p>
        </w:tc>
        <w:tc>
          <w:tcPr>
            <w:tcW w:w="452" w:type="pct"/>
            <w:vMerge w:val="continue"/>
            <w:tcBorders>
              <w:left w:val="nil"/>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25.69</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20.08</w:t>
            </w:r>
          </w:p>
        </w:tc>
        <w:tc>
          <w:tcPr>
            <w:tcW w:w="950" w:type="pct"/>
            <w:vMerge w:val="continue"/>
            <w:tcBorders>
              <w:left w:val="nil"/>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67" w:type="pct"/>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67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13.44</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10.08</w:t>
            </w:r>
          </w:p>
        </w:tc>
        <w:tc>
          <w:tcPr>
            <w:tcW w:w="452" w:type="pct"/>
            <w:vMerge w:val="continue"/>
            <w:tcBorders>
              <w:left w:val="nil"/>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14.82</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11.17</w:t>
            </w:r>
          </w:p>
        </w:tc>
        <w:tc>
          <w:tcPr>
            <w:tcW w:w="950" w:type="pct"/>
            <w:vMerge w:val="continue"/>
            <w:tcBorders>
              <w:left w:val="nil"/>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67" w:type="pct"/>
            <w:vMerge w:val="continue"/>
            <w:tcBorders>
              <w:top w:val="nil"/>
              <w:left w:val="single" w:color="auto" w:sz="4" w:space="0"/>
              <w:bottom w:val="single" w:color="auto"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675"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15.09</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10.81</w:t>
            </w:r>
          </w:p>
        </w:tc>
        <w:tc>
          <w:tcPr>
            <w:tcW w:w="452" w:type="pct"/>
            <w:vMerge w:val="continue"/>
            <w:tcBorders>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16.53</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11.4</w:t>
            </w:r>
          </w:p>
        </w:tc>
        <w:tc>
          <w:tcPr>
            <w:tcW w:w="950" w:type="pct"/>
            <w:vMerge w:val="continue"/>
            <w:tcBorders>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杨寨镇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14.01</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10.76</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192</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19.28</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15.96</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130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26</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23.13</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191</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30.72</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22.84</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77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12.67</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10.26</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95</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14.39</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10.09</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38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李店镇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10.09</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9.1</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89</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11.11</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8.87</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49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马坪镇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9.79</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8.69</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87</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11.42</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8.47</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45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19.85</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18.41</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69</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21.87</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18.19</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39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16.35</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13.83</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159</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21.1</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13.64</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72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7.9</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87</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8.94</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6.74</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44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陈巷镇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14.92</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14.08</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114</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16.79</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13.82</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55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骆店镇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12.61</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187</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13.41</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11.73</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59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关庙镇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16.98</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15.79</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18.62</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15.51</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55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太平镇</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7.42</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6.18</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86</w:t>
            </w: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8.12</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5.93</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64　</w:t>
            </w:r>
          </w:p>
        </w:tc>
      </w:tr>
      <w:tr>
        <w:tblPrEx>
          <w:tblCellMar>
            <w:top w:w="0" w:type="dxa"/>
            <w:left w:w="108" w:type="dxa"/>
            <w:bottom w:w="0" w:type="dxa"/>
            <w:right w:w="108" w:type="dxa"/>
          </w:tblCellMar>
        </w:tblPrEx>
        <w:trPr>
          <w:trHeight w:val="312" w:hRule="atLeast"/>
        </w:trPr>
        <w:tc>
          <w:tcPr>
            <w:tcW w:w="84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合计</w:t>
            </w:r>
          </w:p>
        </w:tc>
        <w:tc>
          <w:tcPr>
            <w:tcW w:w="6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247.62</w:t>
            </w:r>
          </w:p>
        </w:tc>
        <w:tc>
          <w:tcPr>
            <w:tcW w:w="554"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215.61</w:t>
            </w:r>
          </w:p>
        </w:tc>
        <w:tc>
          <w:tcPr>
            <w:tcW w:w="45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p>
        </w:tc>
        <w:tc>
          <w:tcPr>
            <w:tcW w:w="186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292.56</w:t>
            </w:r>
          </w:p>
        </w:tc>
        <w:tc>
          <w:tcPr>
            <w:tcW w:w="2411"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226.86</w:t>
            </w:r>
          </w:p>
        </w:tc>
        <w:tc>
          <w:tcPr>
            <w:tcW w:w="95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108</w:t>
            </w: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1" w:name="_Toc4576"/>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6</w:t>
      </w:r>
      <w:r>
        <w:rPr>
          <w:rFonts w:hint="eastAsia" w:ascii="仿宋" w:hAnsi="仿宋" w:eastAsia="仿宋"/>
          <w:b/>
          <w:bCs/>
          <w:color w:val="000000" w:themeColor="text1"/>
          <w:highlight w:val="none"/>
          <w14:textFill>
            <w14:solidFill>
              <w14:schemeClr w14:val="tx1"/>
            </w14:solidFill>
          </w14:textFill>
        </w:rPr>
        <w:t>：自然保护地一览表</w:t>
      </w:r>
      <w:bookmarkEnd w:id="131"/>
    </w:p>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r>
        <w:rPr>
          <w:rFonts w:hint="eastAsia" w:ascii="仿宋" w:hAnsi="仿宋" w:eastAsia="仿宋"/>
          <w:color w:val="000000" w:themeColor="text1"/>
          <w:sz w:val="24"/>
          <w:szCs w:val="21"/>
          <w:highlight w:val="none"/>
          <w14:textFill>
            <w14:solidFill>
              <w14:schemeClr w14:val="tx1"/>
            </w14:solidFill>
          </w14:textFill>
        </w:rPr>
        <w:t>单位：平方公里</w:t>
      </w:r>
    </w:p>
    <w:tbl>
      <w:tblPr>
        <w:tblStyle w:val="12"/>
        <w:tblW w:w="14043" w:type="dxa"/>
        <w:tblInd w:w="0" w:type="dxa"/>
        <w:tblLayout w:type="autofit"/>
        <w:tblCellMar>
          <w:top w:w="0" w:type="dxa"/>
          <w:left w:w="108" w:type="dxa"/>
          <w:bottom w:w="0" w:type="dxa"/>
          <w:right w:w="108" w:type="dxa"/>
        </w:tblCellMar>
      </w:tblPr>
      <w:tblGrid>
        <w:gridCol w:w="664"/>
        <w:gridCol w:w="4147"/>
        <w:gridCol w:w="3322"/>
        <w:gridCol w:w="2818"/>
        <w:gridCol w:w="1855"/>
        <w:gridCol w:w="1237"/>
      </w:tblGrid>
      <w:tr>
        <w:tblPrEx>
          <w:tblCellMar>
            <w:top w:w="0" w:type="dxa"/>
            <w:left w:w="108" w:type="dxa"/>
            <w:bottom w:w="0" w:type="dxa"/>
            <w:right w:w="108" w:type="dxa"/>
          </w:tblCellMar>
        </w:tblPrEx>
        <w:trPr>
          <w:trHeight w:val="602" w:hRule="atLeast"/>
        </w:trPr>
        <w:tc>
          <w:tcPr>
            <w:tcW w:w="6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序号</w:t>
            </w:r>
          </w:p>
        </w:tc>
        <w:tc>
          <w:tcPr>
            <w:tcW w:w="414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名称</w:t>
            </w:r>
          </w:p>
        </w:tc>
        <w:tc>
          <w:tcPr>
            <w:tcW w:w="332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保护地范围所在行政区</w:t>
            </w:r>
          </w:p>
        </w:tc>
        <w:tc>
          <w:tcPr>
            <w:tcW w:w="281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总面积</w:t>
            </w:r>
          </w:p>
        </w:tc>
        <w:tc>
          <w:tcPr>
            <w:tcW w:w="185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保护地类型</w:t>
            </w:r>
          </w:p>
        </w:tc>
        <w:tc>
          <w:tcPr>
            <w:tcW w:w="123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级别</w:t>
            </w:r>
          </w:p>
        </w:tc>
      </w:tr>
      <w:tr>
        <w:tblPrEx>
          <w:tblCellMar>
            <w:top w:w="0" w:type="dxa"/>
            <w:left w:w="108" w:type="dxa"/>
            <w:bottom w:w="0" w:type="dxa"/>
            <w:right w:w="108" w:type="dxa"/>
          </w:tblCellMar>
        </w:tblPrEx>
        <w:trPr>
          <w:trHeight w:val="412" w:hRule="atLeast"/>
        </w:trPr>
        <w:tc>
          <w:tcPr>
            <w:tcW w:w="6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w:t>
            </w:r>
          </w:p>
        </w:tc>
        <w:tc>
          <w:tcPr>
            <w:tcW w:w="414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湖北中华山鸟类省级自然保护区</w:t>
            </w:r>
          </w:p>
        </w:tc>
        <w:tc>
          <w:tcPr>
            <w:tcW w:w="332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28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84.34</w:t>
            </w:r>
          </w:p>
        </w:tc>
        <w:tc>
          <w:tcPr>
            <w:tcW w:w="185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自然保护区</w:t>
            </w:r>
          </w:p>
        </w:tc>
        <w:tc>
          <w:tcPr>
            <w:tcW w:w="12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r>
      <w:tr>
        <w:tblPrEx>
          <w:tblCellMar>
            <w:top w:w="0" w:type="dxa"/>
            <w:left w:w="108" w:type="dxa"/>
            <w:bottom w:w="0" w:type="dxa"/>
            <w:right w:w="108" w:type="dxa"/>
          </w:tblCellMar>
        </w:tblPrEx>
        <w:trPr>
          <w:trHeight w:val="459" w:hRule="atLeast"/>
        </w:trPr>
        <w:tc>
          <w:tcPr>
            <w:tcW w:w="6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w:t>
            </w:r>
          </w:p>
        </w:tc>
        <w:tc>
          <w:tcPr>
            <w:tcW w:w="414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广水三潭森林自然公园</w:t>
            </w:r>
          </w:p>
        </w:tc>
        <w:tc>
          <w:tcPr>
            <w:tcW w:w="332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c>
          <w:tcPr>
            <w:tcW w:w="28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53</w:t>
            </w:r>
          </w:p>
        </w:tc>
        <w:tc>
          <w:tcPr>
            <w:tcW w:w="185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自然公园</w:t>
            </w:r>
          </w:p>
        </w:tc>
        <w:tc>
          <w:tcPr>
            <w:tcW w:w="12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r>
      <w:tr>
        <w:tblPrEx>
          <w:tblCellMar>
            <w:top w:w="0" w:type="dxa"/>
            <w:left w:w="108" w:type="dxa"/>
            <w:bottom w:w="0" w:type="dxa"/>
            <w:right w:w="108" w:type="dxa"/>
          </w:tblCellMar>
        </w:tblPrEx>
        <w:trPr>
          <w:trHeight w:val="507" w:hRule="atLeast"/>
        </w:trPr>
        <w:tc>
          <w:tcPr>
            <w:tcW w:w="66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w:t>
            </w:r>
          </w:p>
        </w:tc>
        <w:tc>
          <w:tcPr>
            <w:tcW w:w="414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湖北广水徐家河湿地自然公园</w:t>
            </w:r>
          </w:p>
        </w:tc>
        <w:tc>
          <w:tcPr>
            <w:tcW w:w="332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长岭镇、马坪镇</w:t>
            </w:r>
          </w:p>
        </w:tc>
        <w:tc>
          <w:tcPr>
            <w:tcW w:w="28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41.77</w:t>
            </w:r>
          </w:p>
        </w:tc>
        <w:tc>
          <w:tcPr>
            <w:tcW w:w="185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自然公园</w:t>
            </w:r>
          </w:p>
        </w:tc>
        <w:tc>
          <w:tcPr>
            <w:tcW w:w="12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国家级</w:t>
            </w:r>
          </w:p>
        </w:tc>
      </w:tr>
    </w:tbl>
    <w:p>
      <w:pPr>
        <w:rPr>
          <w:color w:val="000000" w:themeColor="text1"/>
          <w:highlight w:val="none"/>
          <w14:textFill>
            <w14:solidFill>
              <w14:schemeClr w14:val="tx1"/>
            </w14:solidFill>
          </w14:textFill>
        </w:rPr>
      </w:pPr>
    </w:p>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2" w:name="_Toc28886"/>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7</w:t>
      </w:r>
      <w:r>
        <w:rPr>
          <w:rFonts w:hint="eastAsia" w:ascii="仿宋" w:hAnsi="仿宋" w:eastAsia="仿宋"/>
          <w:b/>
          <w:bCs/>
          <w:color w:val="000000" w:themeColor="text1"/>
          <w:highlight w:val="none"/>
          <w14:textFill>
            <w14:solidFill>
              <w14:schemeClr w14:val="tx1"/>
            </w14:solidFill>
          </w14:textFill>
        </w:rPr>
        <w:t>：城镇规模等级结构一览表</w:t>
      </w:r>
      <w:bookmarkEnd w:id="132"/>
    </w:p>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r>
        <w:rPr>
          <w:rFonts w:hint="eastAsia" w:ascii="仿宋" w:hAnsi="仿宋" w:eastAsia="仿宋"/>
          <w:color w:val="000000" w:themeColor="text1"/>
          <w:sz w:val="24"/>
          <w:szCs w:val="21"/>
          <w:highlight w:val="none"/>
          <w14:textFill>
            <w14:solidFill>
              <w14:schemeClr w14:val="tx1"/>
            </w14:solidFill>
          </w14:textFill>
        </w:rPr>
        <w:t>单位：个、万人</w:t>
      </w:r>
    </w:p>
    <w:tbl>
      <w:tblPr>
        <w:tblStyle w:val="12"/>
        <w:tblW w:w="13958" w:type="dxa"/>
        <w:tblInd w:w="0" w:type="dxa"/>
        <w:tblLayout w:type="autofit"/>
        <w:tblCellMar>
          <w:top w:w="0" w:type="dxa"/>
          <w:left w:w="108" w:type="dxa"/>
          <w:bottom w:w="0" w:type="dxa"/>
          <w:right w:w="108" w:type="dxa"/>
        </w:tblCellMar>
      </w:tblPr>
      <w:tblGrid>
        <w:gridCol w:w="2475"/>
        <w:gridCol w:w="2475"/>
        <w:gridCol w:w="3610"/>
        <w:gridCol w:w="5398"/>
      </w:tblGrid>
      <w:tr>
        <w:tblPrEx>
          <w:tblCellMar>
            <w:top w:w="0" w:type="dxa"/>
            <w:left w:w="108" w:type="dxa"/>
            <w:bottom w:w="0" w:type="dxa"/>
            <w:right w:w="108" w:type="dxa"/>
          </w:tblCellMar>
        </w:tblPrEx>
        <w:trPr>
          <w:trHeight w:val="559" w:hRule="atLeast"/>
        </w:trPr>
        <w:tc>
          <w:tcPr>
            <w:tcW w:w="24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等级</w:t>
            </w:r>
          </w:p>
        </w:tc>
        <w:tc>
          <w:tcPr>
            <w:tcW w:w="247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城镇数</w:t>
            </w:r>
          </w:p>
        </w:tc>
        <w:tc>
          <w:tcPr>
            <w:tcW w:w="361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城镇人口</w:t>
            </w:r>
          </w:p>
        </w:tc>
        <w:tc>
          <w:tcPr>
            <w:tcW w:w="539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城镇名称</w:t>
            </w:r>
          </w:p>
        </w:tc>
      </w:tr>
      <w:tr>
        <w:tblPrEx>
          <w:tblCellMar>
            <w:top w:w="0" w:type="dxa"/>
            <w:left w:w="108" w:type="dxa"/>
            <w:bottom w:w="0" w:type="dxa"/>
            <w:right w:w="108" w:type="dxa"/>
          </w:tblCellMar>
        </w:tblPrEx>
        <w:trPr>
          <w:trHeight w:val="344" w:hRule="atLeast"/>
        </w:trPr>
        <w:tc>
          <w:tcPr>
            <w:tcW w:w="247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中心城区</w:t>
            </w:r>
          </w:p>
        </w:tc>
        <w:tc>
          <w:tcPr>
            <w:tcW w:w="247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w:t>
            </w:r>
          </w:p>
        </w:tc>
        <w:tc>
          <w:tcPr>
            <w:tcW w:w="36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45</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应山街道办事处</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城郊街道办事处</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r>
      <w:tr>
        <w:tblPrEx>
          <w:tblCellMar>
            <w:top w:w="0" w:type="dxa"/>
            <w:left w:w="108" w:type="dxa"/>
            <w:bottom w:w="0" w:type="dxa"/>
            <w:right w:w="108" w:type="dxa"/>
          </w:tblCellMar>
        </w:tblPrEx>
        <w:trPr>
          <w:trHeight w:val="416" w:hRule="atLeast"/>
        </w:trPr>
        <w:tc>
          <w:tcPr>
            <w:tcW w:w="247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重点镇</w:t>
            </w:r>
          </w:p>
        </w:tc>
        <w:tc>
          <w:tcPr>
            <w:tcW w:w="247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w:t>
            </w: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3.8</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杨寨镇</w:t>
            </w:r>
          </w:p>
        </w:tc>
      </w:tr>
      <w:tr>
        <w:tblPrEx>
          <w:tblCellMar>
            <w:top w:w="0" w:type="dxa"/>
            <w:left w:w="108" w:type="dxa"/>
            <w:bottom w:w="0" w:type="dxa"/>
            <w:right w:w="108" w:type="dxa"/>
          </w:tblCellMar>
        </w:tblPrEx>
        <w:trPr>
          <w:trHeight w:val="401"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2.6</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r>
      <w:tr>
        <w:tblPrEx>
          <w:tblCellMar>
            <w:top w:w="0" w:type="dxa"/>
            <w:left w:w="108" w:type="dxa"/>
            <w:bottom w:w="0" w:type="dxa"/>
            <w:right w:w="108" w:type="dxa"/>
          </w:tblCellMar>
        </w:tblPrEx>
        <w:trPr>
          <w:trHeight w:val="373"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r>
      <w:tr>
        <w:tblPrEx>
          <w:tblCellMar>
            <w:top w:w="0" w:type="dxa"/>
            <w:left w:w="108" w:type="dxa"/>
            <w:bottom w:w="0" w:type="dxa"/>
            <w:right w:w="108" w:type="dxa"/>
          </w:tblCellMar>
        </w:tblPrEx>
        <w:trPr>
          <w:trHeight w:val="344" w:hRule="atLeast"/>
        </w:trPr>
        <w:tc>
          <w:tcPr>
            <w:tcW w:w="247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一般镇</w:t>
            </w:r>
          </w:p>
        </w:tc>
        <w:tc>
          <w:tcPr>
            <w:tcW w:w="247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w:t>
            </w: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李店镇</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马坪镇</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2.7</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陈巷镇</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骆店镇</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关庙镇</w:t>
            </w:r>
          </w:p>
        </w:tc>
      </w:tr>
      <w:tr>
        <w:tblPrEx>
          <w:tblCellMar>
            <w:top w:w="0" w:type="dxa"/>
            <w:left w:w="108" w:type="dxa"/>
            <w:bottom w:w="0" w:type="dxa"/>
            <w:right w:w="108" w:type="dxa"/>
          </w:tblCellMar>
        </w:tblPrEx>
        <w:trPr>
          <w:trHeight w:val="344" w:hRule="atLeast"/>
        </w:trPr>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47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0.9</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太平镇</w:t>
            </w:r>
          </w:p>
        </w:tc>
      </w:tr>
      <w:tr>
        <w:tblPrEx>
          <w:tblCellMar>
            <w:top w:w="0" w:type="dxa"/>
            <w:left w:w="108" w:type="dxa"/>
            <w:bottom w:w="0" w:type="dxa"/>
            <w:right w:w="108" w:type="dxa"/>
          </w:tblCellMar>
        </w:tblPrEx>
        <w:trPr>
          <w:trHeight w:val="344" w:hRule="atLeast"/>
        </w:trPr>
        <w:tc>
          <w:tcPr>
            <w:tcW w:w="247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合计</w:t>
            </w:r>
          </w:p>
        </w:tc>
        <w:tc>
          <w:tcPr>
            <w:tcW w:w="24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17</w:t>
            </w:r>
          </w:p>
        </w:tc>
        <w:tc>
          <w:tcPr>
            <w:tcW w:w="361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68.6</w:t>
            </w:r>
          </w:p>
        </w:tc>
        <w:tc>
          <w:tcPr>
            <w:tcW w:w="539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w:t>
            </w:r>
          </w:p>
        </w:tc>
      </w:tr>
    </w:tbl>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3" w:name="_Toc15143"/>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8</w:t>
      </w:r>
      <w:r>
        <w:rPr>
          <w:rFonts w:hint="eastAsia" w:ascii="仿宋" w:hAnsi="仿宋" w:eastAsia="仿宋"/>
          <w:b/>
          <w:bCs/>
          <w:color w:val="000000" w:themeColor="text1"/>
          <w:highlight w:val="none"/>
          <w14:textFill>
            <w14:solidFill>
              <w14:schemeClr w14:val="tx1"/>
            </w14:solidFill>
          </w14:textFill>
        </w:rPr>
        <w:t>：生态保护红线、湿地指标分解表</w:t>
      </w:r>
      <w:bookmarkEnd w:id="133"/>
    </w:p>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r>
        <w:rPr>
          <w:color w:val="000000" w:themeColor="text1"/>
          <w:highlight w:val="none"/>
          <w14:textFill>
            <w14:solidFill>
              <w14:schemeClr w14:val="tx1"/>
            </w14:solidFill>
          </w14:textFill>
        </w:rPr>
        <w:tab/>
      </w:r>
      <w:r>
        <w:rPr>
          <w:rFonts w:hint="eastAsia" w:ascii="仿宋" w:hAnsi="仿宋" w:eastAsia="仿宋"/>
          <w:color w:val="000000" w:themeColor="text1"/>
          <w:sz w:val="24"/>
          <w:szCs w:val="21"/>
          <w:highlight w:val="none"/>
          <w14:textFill>
            <w14:solidFill>
              <w14:schemeClr w14:val="tx1"/>
            </w14:solidFill>
          </w14:textFill>
        </w:rPr>
        <w:t>单位：平方公里</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4"/>
        <w:gridCol w:w="3685"/>
        <w:gridCol w:w="1871"/>
        <w:gridCol w:w="3685"/>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1081" w:type="pct"/>
            <w:vMerge w:val="restar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乡镇</w:t>
            </w:r>
          </w:p>
        </w:tc>
        <w:tc>
          <w:tcPr>
            <w:tcW w:w="1959" w:type="pct"/>
            <w:gridSpan w:val="2"/>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规划基期年（2021年）</w:t>
            </w:r>
          </w:p>
        </w:tc>
        <w:tc>
          <w:tcPr>
            <w:tcW w:w="1959" w:type="pct"/>
            <w:gridSpan w:val="2"/>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规划目标年（2035年）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1081" w:type="pct"/>
            <w:vMerge w:val="continue"/>
            <w:vAlign w:val="center"/>
          </w:tcPr>
          <w:p>
            <w:pPr>
              <w:widowControl/>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1300" w:type="pc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生态保护红线面积</w:t>
            </w:r>
          </w:p>
        </w:tc>
        <w:tc>
          <w:tcPr>
            <w:tcW w:w="660" w:type="pc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湿地面积</w:t>
            </w:r>
          </w:p>
        </w:tc>
        <w:tc>
          <w:tcPr>
            <w:tcW w:w="1300" w:type="pc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生态保护红线面积</w:t>
            </w:r>
          </w:p>
        </w:tc>
        <w:tc>
          <w:tcPr>
            <w:tcW w:w="660" w:type="pc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湿地面积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应山街道办事处</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0.04</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65.91</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0.02</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65.91</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城郊街道办事处</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1.79</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1.79</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3.61</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0.25</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3.61</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13.34</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0.59</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13.34</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杨寨镇</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0.19</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29.69</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0.23</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29.69</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20.97</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0.13</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20.97</w:t>
            </w:r>
          </w:p>
        </w:tc>
        <w:tc>
          <w:tcPr>
            <w:tcW w:w="660" w:type="pct"/>
            <w:shd w:val="clear" w:color="auto" w:fill="auto"/>
            <w:noWrap/>
            <w:vAlign w:val="center"/>
          </w:tcPr>
          <w:p>
            <w:pPr>
              <w:widowControl/>
              <w:spacing w:before="0" w:after="0" w:line="240" w:lineRule="auto"/>
              <w:jc w:val="center"/>
              <w:rPr>
                <w:rFonts w:ascii="等线" w:hAnsi="等线" w:eastAsia="等线" w:cs="宋体"/>
                <w:color w:val="000000" w:themeColor="text1"/>
                <w:kern w:val="0"/>
                <w:sz w:val="22"/>
                <w:highlight w:val="none"/>
                <w14:textFill>
                  <w14:solidFill>
                    <w14:schemeClr w14:val="tx1"/>
                  </w14:solidFill>
                </w14:textFill>
              </w:rPr>
            </w:pPr>
            <w:r>
              <w:rPr>
                <w:rFonts w:hint="eastAsia" w:ascii="等线" w:hAnsi="等线" w:eastAsia="等线" w:cs="宋体"/>
                <w:color w:val="000000" w:themeColor="text1"/>
                <w:kern w:val="0"/>
                <w:sz w:val="22"/>
                <w:highlight w:val="none"/>
                <w14:textFill>
                  <w14:solidFill>
                    <w14:schemeClr w14:val="tx1"/>
                  </w14:solidFill>
                </w14:textFill>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李店镇</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0.49</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马坪镇</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9.36</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9.36</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5.11</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0.06</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5.11</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57.32</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0.08</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57.32</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1.63</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0.09</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1.63</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陈巷镇</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骆店镇</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0.07</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关庙镇</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0.77</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0.12</w:t>
            </w:r>
          </w:p>
        </w:tc>
        <w:tc>
          <w:tcPr>
            <w:tcW w:w="130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0.77</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太平镇</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0.59</w:t>
            </w:r>
          </w:p>
        </w:tc>
        <w:tc>
          <w:tcPr>
            <w:tcW w:w="130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w:t>
            </w:r>
          </w:p>
        </w:tc>
        <w:tc>
          <w:tcPr>
            <w:tcW w:w="660" w:type="pct"/>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81" w:type="pc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合计</w:t>
            </w:r>
          </w:p>
        </w:tc>
        <w:tc>
          <w:tcPr>
            <w:tcW w:w="1300" w:type="pc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209.5</w:t>
            </w:r>
          </w:p>
        </w:tc>
        <w:tc>
          <w:tcPr>
            <w:tcW w:w="660" w:type="pc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2.91</w:t>
            </w:r>
          </w:p>
        </w:tc>
        <w:tc>
          <w:tcPr>
            <w:tcW w:w="1300" w:type="pc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209.5</w:t>
            </w:r>
          </w:p>
        </w:tc>
        <w:tc>
          <w:tcPr>
            <w:tcW w:w="660" w:type="pct"/>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2.84</w:t>
            </w:r>
          </w:p>
        </w:tc>
      </w:tr>
    </w:tbl>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p>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4" w:name="_Toc2250"/>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9</w:t>
      </w:r>
      <w:r>
        <w:rPr>
          <w:rFonts w:hint="eastAsia" w:ascii="仿宋" w:hAnsi="仿宋" w:eastAsia="仿宋"/>
          <w:b/>
          <w:bCs/>
          <w:color w:val="000000" w:themeColor="text1"/>
          <w:highlight w:val="none"/>
          <w14:textFill>
            <w14:solidFill>
              <w14:schemeClr w14:val="tx1"/>
            </w14:solidFill>
          </w14:textFill>
        </w:rPr>
        <w:t>：耕地、永久基本农田规划指标分解表</w:t>
      </w:r>
      <w:bookmarkEnd w:id="134"/>
    </w:p>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r>
        <w:rPr>
          <w:color w:val="000000" w:themeColor="text1"/>
          <w:highlight w:val="none"/>
          <w14:textFill>
            <w14:solidFill>
              <w14:schemeClr w14:val="tx1"/>
            </w14:solidFill>
          </w14:textFill>
        </w:rPr>
        <w:tab/>
      </w:r>
      <w:r>
        <w:rPr>
          <w:rFonts w:hint="eastAsia" w:ascii="仿宋" w:hAnsi="仿宋" w:eastAsia="仿宋"/>
          <w:color w:val="000000" w:themeColor="text1"/>
          <w:sz w:val="24"/>
          <w:szCs w:val="21"/>
          <w:highlight w:val="none"/>
          <w14:textFill>
            <w14:solidFill>
              <w14:schemeClr w14:val="tx1"/>
            </w14:solidFill>
          </w14:textFill>
        </w:rPr>
        <w:t>单位：平方公里</w:t>
      </w:r>
    </w:p>
    <w:tbl>
      <w:tblPr>
        <w:tblStyle w:val="12"/>
        <w:tblW w:w="13949" w:type="dxa"/>
        <w:tblInd w:w="0" w:type="dxa"/>
        <w:tblLayout w:type="autofit"/>
        <w:tblCellMar>
          <w:top w:w="0" w:type="dxa"/>
          <w:left w:w="108" w:type="dxa"/>
          <w:bottom w:w="0" w:type="dxa"/>
          <w:right w:w="108" w:type="dxa"/>
        </w:tblCellMar>
      </w:tblPr>
      <w:tblGrid>
        <w:gridCol w:w="2536"/>
        <w:gridCol w:w="2044"/>
        <w:gridCol w:w="3080"/>
        <w:gridCol w:w="3080"/>
        <w:gridCol w:w="3209"/>
      </w:tblGrid>
      <w:tr>
        <w:tblPrEx>
          <w:tblCellMar>
            <w:top w:w="0" w:type="dxa"/>
            <w:left w:w="108" w:type="dxa"/>
            <w:bottom w:w="0" w:type="dxa"/>
            <w:right w:w="108" w:type="dxa"/>
          </w:tblCellMar>
        </w:tblPrEx>
        <w:trPr>
          <w:trHeight w:val="310" w:hRule="atLeast"/>
        </w:trPr>
        <w:tc>
          <w:tcPr>
            <w:tcW w:w="25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乡镇</w:t>
            </w:r>
          </w:p>
        </w:tc>
        <w:tc>
          <w:tcPr>
            <w:tcW w:w="204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基期年耕地</w:t>
            </w:r>
          </w:p>
        </w:tc>
        <w:tc>
          <w:tcPr>
            <w:tcW w:w="61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耕地保有量</w:t>
            </w:r>
          </w:p>
        </w:tc>
        <w:tc>
          <w:tcPr>
            <w:tcW w:w="320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永久基本农田保护面积</w:t>
            </w:r>
          </w:p>
        </w:tc>
      </w:tr>
      <w:tr>
        <w:tblPrEx>
          <w:tblCellMar>
            <w:top w:w="0" w:type="dxa"/>
            <w:left w:w="108" w:type="dxa"/>
            <w:bottom w:w="0" w:type="dxa"/>
            <w:right w:w="108" w:type="dxa"/>
          </w:tblCellMar>
        </w:tblPrEx>
        <w:trPr>
          <w:trHeight w:val="281" w:hRule="atLeast"/>
        </w:trPr>
        <w:tc>
          <w:tcPr>
            <w:tcW w:w="253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2044"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30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近期目标年（2025年）</w:t>
            </w:r>
          </w:p>
        </w:tc>
        <w:tc>
          <w:tcPr>
            <w:tcW w:w="30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规划目标年（2035年）</w:t>
            </w:r>
          </w:p>
        </w:tc>
        <w:tc>
          <w:tcPr>
            <w:tcW w:w="3209"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262" w:hRule="atLeast"/>
        </w:trPr>
        <w:tc>
          <w:tcPr>
            <w:tcW w:w="253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应山街道办事处</w:t>
            </w:r>
          </w:p>
        </w:tc>
        <w:tc>
          <w:tcPr>
            <w:tcW w:w="204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5.72</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5.48</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5.48</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1.97</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204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57.86</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56.62</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56.62</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42.42</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城郊街道办事处</w:t>
            </w:r>
          </w:p>
        </w:tc>
        <w:tc>
          <w:tcPr>
            <w:tcW w:w="204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58.22</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57.36</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57.36</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46.21</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204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17.31</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17.05</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17.05</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12.78</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204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24.79</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24.53</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24.53</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19.19</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杨寨镇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59.62</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59.34</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59.34</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50.20</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67.42</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66.72</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66.72</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54.47</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35.21</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35.19</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35.19</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30.76</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李店镇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51.88</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51.78</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51.78</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47.82</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马坪镇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20.81</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20.74</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20.74</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16.76</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60.50</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60.4</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60.4</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56.44</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54.64</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54.53</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54.53</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47.53</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25.96</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25.91</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25.91</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23.71</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陈巷镇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60.27</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60.11</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60.11</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54.72</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骆店镇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58.05</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57.83</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57.83</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55.06</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关庙镇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59.17</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58.95</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58.95</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54.38</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太平镇</w:t>
            </w:r>
          </w:p>
        </w:tc>
        <w:tc>
          <w:tcPr>
            <w:tcW w:w="20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39.76</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39.45</w:t>
            </w:r>
          </w:p>
        </w:tc>
        <w:tc>
          <w:tcPr>
            <w:tcW w:w="3080" w:type="dxa"/>
            <w:tcBorders>
              <w:top w:val="nil"/>
              <w:left w:val="nil"/>
              <w:bottom w:val="single" w:color="auto" w:sz="4" w:space="0"/>
              <w:right w:val="single" w:color="auto" w:sz="4" w:space="0"/>
            </w:tcBorders>
            <w:shd w:val="clear" w:color="auto" w:fill="auto"/>
            <w:noWrap/>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39.45</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33.49</w:t>
            </w:r>
          </w:p>
        </w:tc>
      </w:tr>
      <w:tr>
        <w:tblPrEx>
          <w:tblCellMar>
            <w:top w:w="0" w:type="dxa"/>
            <w:left w:w="108" w:type="dxa"/>
            <w:bottom w:w="0" w:type="dxa"/>
            <w:right w:w="108" w:type="dxa"/>
          </w:tblCellMar>
        </w:tblPrEx>
        <w:trPr>
          <w:trHeight w:val="281" w:hRule="atLeast"/>
        </w:trPr>
        <w:tc>
          <w:tcPr>
            <w:tcW w:w="253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合计</w:t>
            </w:r>
          </w:p>
        </w:tc>
        <w:tc>
          <w:tcPr>
            <w:tcW w:w="204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757.19</w:t>
            </w:r>
          </w:p>
        </w:tc>
        <w:tc>
          <w:tcPr>
            <w:tcW w:w="30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751.99</w:t>
            </w:r>
          </w:p>
        </w:tc>
        <w:tc>
          <w:tcPr>
            <w:tcW w:w="30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751.99</w:t>
            </w:r>
          </w:p>
        </w:tc>
        <w:tc>
          <w:tcPr>
            <w:tcW w:w="32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647.91</w:t>
            </w:r>
          </w:p>
        </w:tc>
      </w:tr>
    </w:tbl>
    <w:p>
      <w:pPr>
        <w:tabs>
          <w:tab w:val="left" w:pos="1008"/>
        </w:tabs>
        <w:rPr>
          <w:color w:val="000000" w:themeColor="text1"/>
          <w:highlight w:val="none"/>
          <w14:textFill>
            <w14:solidFill>
              <w14:schemeClr w14:val="tx1"/>
            </w14:solidFill>
          </w14:textFill>
        </w:rPr>
      </w:pPr>
    </w:p>
    <w:p>
      <w:pPr>
        <w:spacing w:before="381" w:beforeLines="100" w:after="0"/>
        <w:outlineLvl w:val="0"/>
        <w:rPr>
          <w:rFonts w:hint="eastAsia" w:ascii="仿宋" w:hAnsi="仿宋" w:eastAsia="仿宋"/>
          <w:b/>
          <w:bCs/>
          <w:color w:val="000000" w:themeColor="text1"/>
          <w:highlight w:val="none"/>
          <w14:textFill>
            <w14:solidFill>
              <w14:schemeClr w14:val="tx1"/>
            </w14:solidFill>
          </w14:textFill>
        </w:rPr>
      </w:pPr>
    </w:p>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5" w:name="_Toc13195"/>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10</w:t>
      </w:r>
      <w:r>
        <w:rPr>
          <w:rFonts w:hint="eastAsia" w:ascii="仿宋" w:hAnsi="仿宋" w:eastAsia="仿宋"/>
          <w:b/>
          <w:bCs/>
          <w:color w:val="000000" w:themeColor="text1"/>
          <w:highlight w:val="none"/>
          <w14:textFill>
            <w14:solidFill>
              <w14:schemeClr w14:val="tx1"/>
            </w14:solidFill>
          </w14:textFill>
        </w:rPr>
        <w:t>：林地保有量指标分解表</w:t>
      </w:r>
      <w:bookmarkEnd w:id="135"/>
    </w:p>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r>
        <w:rPr>
          <w:rFonts w:hint="eastAsia" w:ascii="仿宋" w:hAnsi="仿宋" w:eastAsia="仿宋"/>
          <w:color w:val="000000" w:themeColor="text1"/>
          <w:sz w:val="24"/>
          <w:szCs w:val="21"/>
          <w:highlight w:val="none"/>
          <w14:textFill>
            <w14:solidFill>
              <w14:schemeClr w14:val="tx1"/>
            </w14:solidFill>
          </w14:textFill>
        </w:rPr>
        <w:t>单位：平方公里</w:t>
      </w:r>
    </w:p>
    <w:tbl>
      <w:tblPr>
        <w:tblStyle w:val="12"/>
        <w:tblW w:w="5000" w:type="pct"/>
        <w:tblInd w:w="0" w:type="dxa"/>
        <w:tblLayout w:type="autofit"/>
        <w:tblCellMar>
          <w:top w:w="0" w:type="dxa"/>
          <w:left w:w="108" w:type="dxa"/>
          <w:bottom w:w="0" w:type="dxa"/>
          <w:right w:w="108" w:type="dxa"/>
        </w:tblCellMar>
      </w:tblPr>
      <w:tblGrid>
        <w:gridCol w:w="3419"/>
        <w:gridCol w:w="2806"/>
        <w:gridCol w:w="3974"/>
        <w:gridCol w:w="3975"/>
      </w:tblGrid>
      <w:tr>
        <w:tblPrEx>
          <w:tblCellMar>
            <w:top w:w="0" w:type="dxa"/>
            <w:left w:w="108" w:type="dxa"/>
            <w:bottom w:w="0" w:type="dxa"/>
            <w:right w:w="108" w:type="dxa"/>
          </w:tblCellMar>
        </w:tblPrEx>
        <w:trPr>
          <w:trHeight w:val="20" w:hRule="atLeast"/>
        </w:trPr>
        <w:tc>
          <w:tcPr>
            <w:tcW w:w="120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乡镇</w:t>
            </w:r>
          </w:p>
        </w:tc>
        <w:tc>
          <w:tcPr>
            <w:tcW w:w="99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基期年林地面积</w:t>
            </w:r>
          </w:p>
        </w:tc>
        <w:tc>
          <w:tcPr>
            <w:tcW w:w="280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林地保有量</w:t>
            </w:r>
          </w:p>
        </w:tc>
      </w:tr>
      <w:tr>
        <w:tblPrEx>
          <w:tblCellMar>
            <w:top w:w="0" w:type="dxa"/>
            <w:left w:w="108" w:type="dxa"/>
            <w:bottom w:w="0" w:type="dxa"/>
            <w:right w:w="108" w:type="dxa"/>
          </w:tblCellMar>
        </w:tblPrEx>
        <w:trPr>
          <w:trHeight w:val="20" w:hRule="atLeast"/>
        </w:trPr>
        <w:tc>
          <w:tcPr>
            <w:tcW w:w="1206" w:type="pct"/>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990" w:type="pct"/>
            <w:vMerge w:val="continue"/>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jc w:val="left"/>
              <w:rPr>
                <w:rFonts w:ascii="仿宋" w:hAnsi="仿宋" w:eastAsia="仿宋" w:cs="宋体"/>
                <w:b/>
                <w:bCs/>
                <w:color w:val="000000" w:themeColor="text1"/>
                <w:kern w:val="0"/>
                <w:sz w:val="24"/>
                <w:szCs w:val="24"/>
                <w:highlight w:val="none"/>
                <w14:textFill>
                  <w14:solidFill>
                    <w14:schemeClr w14:val="tx1"/>
                  </w14:solidFill>
                </w14:textFill>
              </w:rPr>
            </w:pP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近期目标年（2025年）</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规划目标年（2035年）</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应山街道办事处</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2.12</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0.9</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0.9</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76.18</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72.52</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72.52</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城郊街道办事处</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15.58</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12.09</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12.09</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79.09</w:t>
            </w:r>
          </w:p>
        </w:tc>
        <w:tc>
          <w:tcPr>
            <w:tcW w:w="1402" w:type="pct"/>
            <w:tcBorders>
              <w:top w:val="nil"/>
              <w:left w:val="nil"/>
              <w:bottom w:val="nil"/>
              <w:right w:val="nil"/>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78.32</w:t>
            </w:r>
          </w:p>
        </w:tc>
        <w:tc>
          <w:tcPr>
            <w:tcW w:w="1402"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78.32</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152.49</w:t>
            </w:r>
          </w:p>
        </w:tc>
        <w:tc>
          <w:tcPr>
            <w:tcW w:w="1402" w:type="pct"/>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151.66</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151.66</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杨寨镇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17.95</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66.9</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64.26</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64.26</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153.5</w:t>
            </w:r>
          </w:p>
        </w:tc>
        <w:tc>
          <w:tcPr>
            <w:tcW w:w="1402" w:type="pct"/>
            <w:tcBorders>
              <w:top w:val="nil"/>
              <w:left w:val="nil"/>
              <w:bottom w:val="nil"/>
              <w:right w:val="nil"/>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152.52</w:t>
            </w:r>
          </w:p>
        </w:tc>
        <w:tc>
          <w:tcPr>
            <w:tcW w:w="1402"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152.52</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李店镇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17.42</w:t>
            </w:r>
          </w:p>
        </w:tc>
        <w:tc>
          <w:tcPr>
            <w:tcW w:w="1402" w:type="pct"/>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16.85</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16.85</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马坪镇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36.47</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35.56</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35.56</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102.13</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101</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101</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158.87</w:t>
            </w:r>
          </w:p>
        </w:tc>
        <w:tc>
          <w:tcPr>
            <w:tcW w:w="1402" w:type="pct"/>
            <w:tcBorders>
              <w:top w:val="nil"/>
              <w:left w:val="nil"/>
              <w:bottom w:val="nil"/>
              <w:right w:val="nil"/>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156.21</w:t>
            </w:r>
          </w:p>
        </w:tc>
        <w:tc>
          <w:tcPr>
            <w:tcW w:w="1402"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156.21</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163.42</w:t>
            </w:r>
          </w:p>
        </w:tc>
        <w:tc>
          <w:tcPr>
            <w:tcW w:w="1402" w:type="pct"/>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162.82</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162.82</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陈巷镇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44</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42.95</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42.95</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骆店镇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8.55</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8.1</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8.1</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关庙镇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42.52</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41.6</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41.6</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太平镇</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18.01</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17.62</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17.62</w:t>
            </w:r>
          </w:p>
        </w:tc>
      </w:tr>
      <w:tr>
        <w:tblPrEx>
          <w:tblCellMar>
            <w:top w:w="0" w:type="dxa"/>
            <w:left w:w="108" w:type="dxa"/>
            <w:bottom w:w="0" w:type="dxa"/>
            <w:right w:w="108" w:type="dxa"/>
          </w:tblCellMar>
        </w:tblPrEx>
        <w:trPr>
          <w:trHeight w:val="20" w:hRule="atLeast"/>
        </w:trPr>
        <w:tc>
          <w:tcPr>
            <w:tcW w:w="1206" w:type="pct"/>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合计</w:t>
            </w:r>
          </w:p>
        </w:tc>
        <w:tc>
          <w:tcPr>
            <w:tcW w:w="990"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1155.2</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1129.98</w:t>
            </w:r>
          </w:p>
        </w:tc>
        <w:tc>
          <w:tcPr>
            <w:tcW w:w="1402" w:type="pct"/>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1129.98</w:t>
            </w:r>
          </w:p>
        </w:tc>
      </w:tr>
    </w:tbl>
    <w:p>
      <w:pPr>
        <w:spacing w:before="0" w:after="0" w:line="240" w:lineRule="auto"/>
        <w:jc w:val="right"/>
        <w:rPr>
          <w:rFonts w:ascii="仿宋" w:hAnsi="仿宋" w:eastAsia="仿宋"/>
          <w:color w:val="000000" w:themeColor="text1"/>
          <w:sz w:val="24"/>
          <w:szCs w:val="21"/>
          <w:highlight w:val="none"/>
          <w14:textFill>
            <w14:solidFill>
              <w14:schemeClr w14:val="tx1"/>
            </w14:solidFill>
          </w14:textFill>
        </w:rPr>
      </w:pPr>
    </w:p>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6" w:name="_Toc27644"/>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11</w:t>
      </w:r>
      <w:r>
        <w:rPr>
          <w:rFonts w:hint="eastAsia" w:ascii="仿宋" w:hAnsi="仿宋" w:eastAsia="仿宋"/>
          <w:b/>
          <w:bCs/>
          <w:color w:val="000000" w:themeColor="text1"/>
          <w:highlight w:val="none"/>
          <w14:textFill>
            <w14:solidFill>
              <w14:schemeClr w14:val="tx1"/>
            </w14:solidFill>
          </w14:textFill>
        </w:rPr>
        <w:t>：历史文化资源一览表</w:t>
      </w:r>
      <w:bookmarkEnd w:id="136"/>
    </w:p>
    <w:tbl>
      <w:tblPr>
        <w:tblStyle w:val="12"/>
        <w:tblW w:w="13894" w:type="dxa"/>
        <w:tblInd w:w="0" w:type="dxa"/>
        <w:tblLayout w:type="autofit"/>
        <w:tblCellMar>
          <w:top w:w="0" w:type="dxa"/>
          <w:left w:w="108" w:type="dxa"/>
          <w:bottom w:w="0" w:type="dxa"/>
          <w:right w:w="108" w:type="dxa"/>
        </w:tblCellMar>
      </w:tblPr>
      <w:tblGrid>
        <w:gridCol w:w="988"/>
        <w:gridCol w:w="4653"/>
        <w:gridCol w:w="2900"/>
        <w:gridCol w:w="1689"/>
        <w:gridCol w:w="2358"/>
        <w:gridCol w:w="1306"/>
      </w:tblGrid>
      <w:tr>
        <w:tblPrEx>
          <w:tblCellMar>
            <w:top w:w="0" w:type="dxa"/>
            <w:left w:w="108" w:type="dxa"/>
            <w:bottom w:w="0" w:type="dxa"/>
            <w:right w:w="108" w:type="dxa"/>
          </w:tblCellMar>
        </w:tblPrEx>
        <w:trPr>
          <w:trHeight w:val="585" w:hRule="atLeast"/>
          <w:tblHead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序号</w:t>
            </w:r>
          </w:p>
        </w:tc>
        <w:tc>
          <w:tcPr>
            <w:tcW w:w="465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名称</w:t>
            </w:r>
          </w:p>
        </w:tc>
        <w:tc>
          <w:tcPr>
            <w:tcW w:w="29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行政辖区</w:t>
            </w:r>
          </w:p>
        </w:tc>
        <w:tc>
          <w:tcPr>
            <w:tcW w:w="168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级别</w:t>
            </w:r>
          </w:p>
        </w:tc>
        <w:tc>
          <w:tcPr>
            <w:tcW w:w="235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类别</w:t>
            </w:r>
          </w:p>
        </w:tc>
        <w:tc>
          <w:tcPr>
            <w:tcW w:w="130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备注</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龙爬寨遗址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大块地墓地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王子山遗址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玉皇顶</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连舜宾墓</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陈巷镇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千户冲古民居</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彭家湾墓地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应山街道办事处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将军寨遗址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大城寨遗址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徐店戏楼</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省级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新四军五师司令部旧址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何子述旧居</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无门寨遗址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大贵寺金顶</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15</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平靖关桥</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三潭风景区</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钟玉如墓</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三潭风景区</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兴旺寨遗址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芦茅寨遗址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19</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四十里铺烽火台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古城畈遗址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21</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甘家桥墓地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22</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易家沟革命旧址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23</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杨常安墓</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24</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周家畈遗址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六份湾墓群</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26</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百步三座桥</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陈巷镇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27</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水河庙遗址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城郊街道办事处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28</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榨屋山遗址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城郊街道办事处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29</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聂家小湾遗址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应山街道办事处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30</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渡蚁桥</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应山街道办事处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31</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蔡湾遗址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32</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威公墓</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33</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张家畈遗址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34</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吴家湾墓地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35</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京汉铁路总工会广水分会旧址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36</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杨忠烈公墓</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中华山林场</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37</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乐城寨遗址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38</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四顾台遗址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杨寨镇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39</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京桥侵华日军碉堡</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40</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响堂湾墓地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李店镇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41</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窝窝墩遗址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李店镇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42</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郝氏祠</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市级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43</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大贵寺石塔</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44</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夏家湾遗址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45</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王家庙墓地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46</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黑洞湾墓地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47</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鄂豫游击支队旧址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48</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中原局和中原军区成立旧址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49</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幺湾遗址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陈巷镇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50</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匡家湾遗址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51</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仙人井</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52</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何家寨墓地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53</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观音畈遗址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54</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宝林寺遗址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55</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江家湾墓地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56</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会馆桥</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马坪镇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57</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老观庙墓地</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58</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冷家湾起义旧址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关庙镇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59</w:t>
            </w:r>
          </w:p>
        </w:tc>
        <w:tc>
          <w:tcPr>
            <w:tcW w:w="465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七里冲农民协会旧址</w:t>
            </w:r>
          </w:p>
        </w:tc>
        <w:tc>
          <w:tcPr>
            <w:tcW w:w="29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太平镇</w:t>
            </w:r>
          </w:p>
        </w:tc>
        <w:tc>
          <w:tcPr>
            <w:tcW w:w="168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县级</w:t>
            </w:r>
          </w:p>
        </w:tc>
        <w:tc>
          <w:tcPr>
            <w:tcW w:w="235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文物保护单位</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988"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60</w:t>
            </w:r>
          </w:p>
        </w:tc>
        <w:tc>
          <w:tcPr>
            <w:tcW w:w="4653"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桃源村</w:t>
            </w:r>
          </w:p>
        </w:tc>
        <w:tc>
          <w:tcPr>
            <w:tcW w:w="2900"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1689"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国家级</w:t>
            </w:r>
          </w:p>
        </w:tc>
        <w:tc>
          <w:tcPr>
            <w:tcW w:w="2358"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传统村落</w:t>
            </w:r>
          </w:p>
        </w:tc>
        <w:tc>
          <w:tcPr>
            <w:tcW w:w="130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w:t>
            </w:r>
          </w:p>
        </w:tc>
      </w:tr>
    </w:tbl>
    <w:p>
      <w:pPr>
        <w:spacing w:before="0" w:after="0" w:line="240" w:lineRule="auto"/>
        <w:jc w:val="left"/>
        <w:rPr>
          <w:rFonts w:ascii="仿宋" w:hAnsi="仿宋" w:eastAsia="仿宋"/>
          <w:color w:val="000000" w:themeColor="text1"/>
          <w:sz w:val="24"/>
          <w:szCs w:val="21"/>
          <w:highlight w:val="none"/>
          <w14:textFill>
            <w14:solidFill>
              <w14:schemeClr w14:val="tx1"/>
            </w14:solidFill>
          </w14:textFill>
        </w:rPr>
      </w:pPr>
    </w:p>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7" w:name="_Toc32124"/>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12</w:t>
      </w:r>
      <w:r>
        <w:rPr>
          <w:rFonts w:hint="eastAsia" w:ascii="仿宋" w:hAnsi="仿宋" w:eastAsia="仿宋"/>
          <w:b/>
          <w:bCs/>
          <w:color w:val="000000" w:themeColor="text1"/>
          <w:highlight w:val="none"/>
          <w14:textFill>
            <w14:solidFill>
              <w14:schemeClr w14:val="tx1"/>
            </w14:solidFill>
          </w14:textFill>
        </w:rPr>
        <w:t>：国土综合整治和生态修复重大工程安排表</w:t>
      </w:r>
      <w:bookmarkEnd w:id="137"/>
    </w:p>
    <w:tbl>
      <w:tblPr>
        <w:tblStyle w:val="12"/>
        <w:tblW w:w="0" w:type="auto"/>
        <w:tblInd w:w="0" w:type="dxa"/>
        <w:tblLayout w:type="fixed"/>
        <w:tblCellMar>
          <w:top w:w="0" w:type="dxa"/>
          <w:left w:w="108" w:type="dxa"/>
          <w:bottom w:w="0" w:type="dxa"/>
          <w:right w:w="108" w:type="dxa"/>
        </w:tblCellMar>
      </w:tblPr>
      <w:tblGrid>
        <w:gridCol w:w="458"/>
        <w:gridCol w:w="3932"/>
        <w:gridCol w:w="850"/>
        <w:gridCol w:w="2126"/>
        <w:gridCol w:w="1276"/>
        <w:gridCol w:w="2268"/>
        <w:gridCol w:w="1418"/>
        <w:gridCol w:w="1620"/>
      </w:tblGrid>
      <w:tr>
        <w:tblPrEx>
          <w:tblCellMar>
            <w:top w:w="0" w:type="dxa"/>
            <w:left w:w="108" w:type="dxa"/>
            <w:bottom w:w="0" w:type="dxa"/>
            <w:right w:w="108" w:type="dxa"/>
          </w:tblCellMar>
        </w:tblPrEx>
        <w:trPr>
          <w:trHeight w:val="570" w:hRule="atLeast"/>
          <w:tblHeader/>
        </w:trPr>
        <w:tc>
          <w:tcPr>
            <w:tcW w:w="4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序号</w:t>
            </w:r>
          </w:p>
        </w:tc>
        <w:tc>
          <w:tcPr>
            <w:tcW w:w="393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工程名称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工程类型</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重点任务</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实施区域</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建设规模</w:t>
            </w:r>
          </w:p>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（平方公里）</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预期目标</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建设时序</w:t>
            </w:r>
          </w:p>
        </w:tc>
      </w:tr>
      <w:tr>
        <w:tblPrEx>
          <w:tblCellMar>
            <w:top w:w="0" w:type="dxa"/>
            <w:left w:w="108" w:type="dxa"/>
            <w:bottom w:w="0" w:type="dxa"/>
            <w:right w:w="108" w:type="dxa"/>
          </w:tblCellMar>
        </w:tblPrEx>
        <w:trPr>
          <w:trHeight w:val="49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2020 年度广水市余店镇全域国土综合整治项目</w:t>
            </w:r>
          </w:p>
        </w:tc>
        <w:tc>
          <w:tcPr>
            <w:tcW w:w="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国土综合整治</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农用地整治，建设用地整治，生态保护修复和环境整治</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余店镇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33.74</w:t>
            </w:r>
          </w:p>
        </w:tc>
        <w:tc>
          <w:tcPr>
            <w:tcW w:w="1418" w:type="dxa"/>
            <w:tcBorders>
              <w:top w:val="nil"/>
              <w:left w:val="nil"/>
              <w:bottom w:val="single" w:color="auto" w:sz="4" w:space="0"/>
              <w:right w:val="single" w:color="auto" w:sz="4" w:space="0"/>
            </w:tcBorders>
            <w:shd w:val="clear" w:color="auto" w:fill="auto"/>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558"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广水市武胜关镇8个村全域国土综合整治项目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60.58</w:t>
            </w:r>
          </w:p>
        </w:tc>
        <w:tc>
          <w:tcPr>
            <w:tcW w:w="1418" w:type="dxa"/>
            <w:tcBorders>
              <w:top w:val="nil"/>
              <w:left w:val="nil"/>
              <w:bottom w:val="single" w:color="auto" w:sz="4" w:space="0"/>
              <w:right w:val="single" w:color="auto" w:sz="4" w:space="0"/>
            </w:tcBorders>
            <w:shd w:val="clear" w:color="auto" w:fill="auto"/>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3</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广水市蔡河镇等3个村全域国土综合整治项目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18.97</w:t>
            </w:r>
          </w:p>
        </w:tc>
        <w:tc>
          <w:tcPr>
            <w:tcW w:w="1418" w:type="dxa"/>
            <w:tcBorders>
              <w:top w:val="nil"/>
              <w:left w:val="nil"/>
              <w:bottom w:val="single" w:color="auto" w:sz="4" w:space="0"/>
              <w:right w:val="single" w:color="auto" w:sz="4" w:space="0"/>
            </w:tcBorders>
            <w:shd w:val="clear" w:color="auto" w:fill="auto"/>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576"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4</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广水市十里街道办事处观音村等5个村全域国土综合整治项目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21.31</w:t>
            </w:r>
          </w:p>
        </w:tc>
        <w:tc>
          <w:tcPr>
            <w:tcW w:w="1418" w:type="dxa"/>
            <w:tcBorders>
              <w:top w:val="nil"/>
              <w:left w:val="nil"/>
              <w:bottom w:val="single" w:color="auto" w:sz="4" w:space="0"/>
              <w:right w:val="single" w:color="auto" w:sz="4" w:space="0"/>
            </w:tcBorders>
            <w:shd w:val="clear" w:color="auto" w:fill="auto"/>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656"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5</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广水市关庙镇老沟村等5个村全域国土综合整治项目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关庙镇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27.8</w:t>
            </w:r>
          </w:p>
        </w:tc>
        <w:tc>
          <w:tcPr>
            <w:tcW w:w="1418" w:type="dxa"/>
            <w:tcBorders>
              <w:top w:val="nil"/>
              <w:left w:val="nil"/>
              <w:bottom w:val="single" w:color="auto" w:sz="4" w:space="0"/>
              <w:right w:val="single" w:color="auto" w:sz="4" w:space="0"/>
            </w:tcBorders>
            <w:shd w:val="clear" w:color="auto" w:fill="auto"/>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55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6</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广水市杨寨镇猫山村等7个村全域国土综合整治项目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杨寨镇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61.37</w:t>
            </w:r>
          </w:p>
        </w:tc>
        <w:tc>
          <w:tcPr>
            <w:tcW w:w="1418" w:type="dxa"/>
            <w:tcBorders>
              <w:top w:val="nil"/>
              <w:left w:val="nil"/>
              <w:bottom w:val="single" w:color="auto" w:sz="4" w:space="0"/>
              <w:right w:val="single" w:color="auto" w:sz="4" w:space="0"/>
            </w:tcBorders>
            <w:shd w:val="clear" w:color="auto" w:fill="auto"/>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2026-2030年</w:t>
            </w:r>
          </w:p>
        </w:tc>
      </w:tr>
      <w:tr>
        <w:tblPrEx>
          <w:tblCellMar>
            <w:top w:w="0" w:type="dxa"/>
            <w:left w:w="108" w:type="dxa"/>
            <w:bottom w:w="0" w:type="dxa"/>
            <w:right w:w="108" w:type="dxa"/>
          </w:tblCellMar>
        </w:tblPrEx>
        <w:trPr>
          <w:trHeight w:val="617"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7</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广水市骆店镇塔塘村等3个村全域国土综合整治项目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骆店镇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17.33</w:t>
            </w:r>
          </w:p>
        </w:tc>
        <w:tc>
          <w:tcPr>
            <w:tcW w:w="1418" w:type="dxa"/>
            <w:tcBorders>
              <w:top w:val="nil"/>
              <w:left w:val="nil"/>
              <w:bottom w:val="single" w:color="auto" w:sz="4" w:space="0"/>
              <w:right w:val="single" w:color="auto" w:sz="4" w:space="0"/>
            </w:tcBorders>
            <w:shd w:val="clear" w:color="auto" w:fill="auto"/>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2026-2030年</w:t>
            </w:r>
          </w:p>
        </w:tc>
      </w:tr>
      <w:tr>
        <w:tblPrEx>
          <w:tblCellMar>
            <w:top w:w="0" w:type="dxa"/>
            <w:left w:w="108" w:type="dxa"/>
            <w:bottom w:w="0" w:type="dxa"/>
            <w:right w:w="108" w:type="dxa"/>
          </w:tblCellMar>
        </w:tblPrEx>
        <w:trPr>
          <w:trHeight w:val="428"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8</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广水市陈巷镇旭升村等3个村全域国土综合整治项目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陈巷镇</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14.37</w:t>
            </w:r>
          </w:p>
        </w:tc>
        <w:tc>
          <w:tcPr>
            <w:tcW w:w="1418" w:type="dxa"/>
            <w:tcBorders>
              <w:top w:val="nil"/>
              <w:left w:val="nil"/>
              <w:bottom w:val="single" w:color="auto" w:sz="4" w:space="0"/>
              <w:right w:val="single" w:color="auto" w:sz="4" w:space="0"/>
            </w:tcBorders>
            <w:shd w:val="clear" w:color="auto" w:fill="auto"/>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2026-2030年</w:t>
            </w:r>
          </w:p>
        </w:tc>
      </w:tr>
      <w:tr>
        <w:tblPrEx>
          <w:tblCellMar>
            <w:top w:w="0" w:type="dxa"/>
            <w:left w:w="108" w:type="dxa"/>
            <w:bottom w:w="0" w:type="dxa"/>
            <w:right w:w="108" w:type="dxa"/>
          </w:tblCellMar>
        </w:tblPrEx>
        <w:trPr>
          <w:trHeight w:val="494"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9</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广水市李店镇黄金村等3个村全域国土综合整治项目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李店镇</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14.82</w:t>
            </w:r>
          </w:p>
        </w:tc>
        <w:tc>
          <w:tcPr>
            <w:tcW w:w="1418" w:type="dxa"/>
            <w:tcBorders>
              <w:top w:val="nil"/>
              <w:left w:val="nil"/>
              <w:bottom w:val="single" w:color="auto" w:sz="4" w:space="0"/>
              <w:right w:val="single" w:color="auto" w:sz="4" w:space="0"/>
            </w:tcBorders>
            <w:shd w:val="clear" w:color="auto" w:fill="auto"/>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2031-2035年</w:t>
            </w:r>
          </w:p>
        </w:tc>
      </w:tr>
      <w:tr>
        <w:tblPrEx>
          <w:tblCellMar>
            <w:top w:w="0" w:type="dxa"/>
            <w:left w:w="108" w:type="dxa"/>
            <w:bottom w:w="0" w:type="dxa"/>
            <w:right w:w="108" w:type="dxa"/>
          </w:tblCellMar>
        </w:tblPrEx>
        <w:trPr>
          <w:trHeight w:val="557"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10</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广水市广水河太平段综合治理工程</w:t>
            </w:r>
          </w:p>
        </w:tc>
        <w:tc>
          <w:tcPr>
            <w:tcW w:w="85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构建河段生态廊道；实施流域综合治理；农用地整治；建设用地整治。</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太平镇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24.27</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570" w:hRule="atLeast"/>
        </w:trPr>
        <w:tc>
          <w:tcPr>
            <w:tcW w:w="4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11</w:t>
            </w:r>
          </w:p>
        </w:tc>
        <w:tc>
          <w:tcPr>
            <w:tcW w:w="3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广水市广水河十里段综合治理工程</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61.9</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2026-2030年</w:t>
            </w:r>
          </w:p>
        </w:tc>
      </w:tr>
      <w:tr>
        <w:tblPrEx>
          <w:tblCellMar>
            <w:top w:w="0" w:type="dxa"/>
            <w:left w:w="108" w:type="dxa"/>
            <w:bottom w:w="0" w:type="dxa"/>
            <w:right w:w="108" w:type="dxa"/>
          </w:tblCellMar>
        </w:tblPrEx>
        <w:trPr>
          <w:trHeight w:val="570" w:hRule="atLeast"/>
        </w:trPr>
        <w:tc>
          <w:tcPr>
            <w:tcW w:w="4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12</w:t>
            </w:r>
          </w:p>
        </w:tc>
        <w:tc>
          <w:tcPr>
            <w:tcW w:w="393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广水市应山河杨寨段综合治理工程</w:t>
            </w: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杨寨镇</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11.01</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2031-2035年</w:t>
            </w:r>
          </w:p>
        </w:tc>
      </w:tr>
      <w:tr>
        <w:tblPrEx>
          <w:tblCellMar>
            <w:top w:w="0" w:type="dxa"/>
            <w:left w:w="108" w:type="dxa"/>
            <w:bottom w:w="0" w:type="dxa"/>
            <w:right w:w="108" w:type="dxa"/>
          </w:tblCellMar>
        </w:tblPrEx>
        <w:trPr>
          <w:trHeight w:val="399"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13</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广水市应山河广办段综合治理工程</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8.41</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2031-2035年</w:t>
            </w:r>
          </w:p>
        </w:tc>
      </w:tr>
      <w:tr>
        <w:tblPrEx>
          <w:tblCellMar>
            <w:top w:w="0" w:type="dxa"/>
            <w:left w:w="108" w:type="dxa"/>
            <w:bottom w:w="0" w:type="dxa"/>
            <w:right w:w="108" w:type="dxa"/>
          </w:tblCellMar>
        </w:tblPrEx>
        <w:trPr>
          <w:trHeight w:val="296"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14</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霞家河水库环库生态修复项目</w:t>
            </w:r>
          </w:p>
        </w:tc>
        <w:tc>
          <w:tcPr>
            <w:tcW w:w="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生态修复</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库区水生态环境修复与保护；农用地整治；建设用地整治</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10.04</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2031-2035年</w:t>
            </w:r>
          </w:p>
        </w:tc>
      </w:tr>
      <w:tr>
        <w:tblPrEx>
          <w:tblCellMar>
            <w:top w:w="0" w:type="dxa"/>
            <w:left w:w="108" w:type="dxa"/>
            <w:bottom w:w="0" w:type="dxa"/>
            <w:right w:w="108" w:type="dxa"/>
          </w:tblCellMar>
        </w:tblPrEx>
        <w:trPr>
          <w:trHeight w:val="471"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15</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广水市徐家河水库环库生态修复项目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49.28</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25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16</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花山水库环库生态修复项目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90.89</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2025-2030年</w:t>
            </w:r>
          </w:p>
        </w:tc>
      </w:tr>
      <w:tr>
        <w:tblPrEx>
          <w:tblCellMar>
            <w:top w:w="0" w:type="dxa"/>
            <w:left w:w="108" w:type="dxa"/>
            <w:bottom w:w="0" w:type="dxa"/>
            <w:right w:w="108" w:type="dxa"/>
          </w:tblCellMar>
        </w:tblPrEx>
        <w:trPr>
          <w:trHeight w:val="286"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17</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高峰寺水库环库生态修复项目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中华山林场</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37.95</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2025-2030年</w:t>
            </w:r>
          </w:p>
        </w:tc>
      </w:tr>
      <w:tr>
        <w:tblPrEx>
          <w:tblCellMar>
            <w:top w:w="0" w:type="dxa"/>
            <w:left w:w="108" w:type="dxa"/>
            <w:bottom w:w="0" w:type="dxa"/>
            <w:right w:w="108" w:type="dxa"/>
          </w:tblCellMar>
        </w:tblPrEx>
        <w:trPr>
          <w:trHeight w:val="650"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18</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广水市广水街道办事处土门村废弃矿山生态修复项目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废弃矿山环境修复和综合整治，农用地整治，建设用地整治，生态保护修复和环境整治</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广水街道办事处</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21.2</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560"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19</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广水市长岭镇永阳村废弃矿山生态修复项目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长岭镇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11.54</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356"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20</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广水市十里街道办事处仙人洞村废弃矿山生态修复项目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十里街道办事处</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10.13</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578"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21</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广水市马坪镇河湾村废弃矿山生态修复项目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马坪镇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12.63</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502"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22</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广水市郝店镇沙子岗村废弃矿山生态修复项目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郝店镇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19.8</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915"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23</w:t>
            </w:r>
          </w:p>
        </w:tc>
        <w:tc>
          <w:tcPr>
            <w:tcW w:w="393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城郊街道办事处石桥村废弃矿山生态修复</w:t>
            </w:r>
          </w:p>
        </w:tc>
        <w:tc>
          <w:tcPr>
            <w:tcW w:w="850"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城郊街道办事处</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24.62</w:t>
            </w:r>
          </w:p>
        </w:tc>
        <w:tc>
          <w:tcPr>
            <w:tcW w:w="1418"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2026-2030年</w:t>
            </w:r>
          </w:p>
        </w:tc>
      </w:tr>
      <w:tr>
        <w:tblPrEx>
          <w:tblCellMar>
            <w:top w:w="0" w:type="dxa"/>
            <w:left w:w="108" w:type="dxa"/>
            <w:bottom w:w="0" w:type="dxa"/>
            <w:right w:w="108" w:type="dxa"/>
          </w:tblCellMar>
        </w:tblPrEx>
        <w:trPr>
          <w:trHeight w:val="277"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24</w:t>
            </w:r>
          </w:p>
        </w:tc>
        <w:tc>
          <w:tcPr>
            <w:tcW w:w="393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广水市吴店镇徐家山村废弃矿山生态修复</w:t>
            </w:r>
          </w:p>
        </w:tc>
        <w:tc>
          <w:tcPr>
            <w:tcW w:w="850"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吴店镇</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23.32</w:t>
            </w:r>
          </w:p>
        </w:tc>
        <w:tc>
          <w:tcPr>
            <w:tcW w:w="1418"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2026-2030年</w:t>
            </w:r>
          </w:p>
        </w:tc>
      </w:tr>
      <w:tr>
        <w:tblPrEx>
          <w:tblCellMar>
            <w:top w:w="0" w:type="dxa"/>
            <w:left w:w="108" w:type="dxa"/>
            <w:bottom w:w="0" w:type="dxa"/>
            <w:right w:w="108" w:type="dxa"/>
          </w:tblCellMar>
        </w:tblPrEx>
        <w:trPr>
          <w:trHeight w:val="2769"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25</w:t>
            </w:r>
          </w:p>
        </w:tc>
        <w:tc>
          <w:tcPr>
            <w:tcW w:w="3932"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广水市水土流失综合治理工程</w:t>
            </w:r>
          </w:p>
        </w:tc>
        <w:tc>
          <w:tcPr>
            <w:tcW w:w="850" w:type="dxa"/>
            <w:vMerge w:val="continue"/>
            <w:tcBorders>
              <w:top w:val="nil"/>
              <w:left w:val="single" w:color="auto" w:sz="4" w:space="0"/>
              <w:bottom w:val="single" w:color="000000" w:sz="4" w:space="0"/>
              <w:right w:val="single" w:color="auto" w:sz="4" w:space="0"/>
            </w:tcBorders>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以控制水土流失和建立良性生态环境为主要目的，在工程区具体布置工程措施、林草措施、封育措施和保土耕作措施</w:t>
            </w:r>
          </w:p>
        </w:tc>
        <w:tc>
          <w:tcPr>
            <w:tcW w:w="1276"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蔡河镇</w:t>
            </w:r>
          </w:p>
        </w:tc>
        <w:tc>
          <w:tcPr>
            <w:tcW w:w="2268"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23.69</w:t>
            </w:r>
          </w:p>
        </w:tc>
        <w:tc>
          <w:tcPr>
            <w:tcW w:w="1418"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2025-2030年</w:t>
            </w:r>
          </w:p>
        </w:tc>
      </w:tr>
      <w:tr>
        <w:tblPrEx>
          <w:tblCellMar>
            <w:top w:w="0" w:type="dxa"/>
            <w:left w:w="108" w:type="dxa"/>
            <w:bottom w:w="0" w:type="dxa"/>
            <w:right w:w="108" w:type="dxa"/>
          </w:tblCellMar>
        </w:tblPrEx>
        <w:trPr>
          <w:trHeight w:val="274"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26</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中华山国家森林公园生态修复项目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林区生态修复与保护；森林公园产业发展</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武胜关镇</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51.33</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450"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27</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三潭风景区生态修复项目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三潭风景区</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12.33</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674"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28</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广水市桐柏—大别山区水土保持与生态修复项目</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推进封山育林、人工造林、退耕还林还草</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全市</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r>
        <w:tblPrEx>
          <w:tblCellMar>
            <w:top w:w="0" w:type="dxa"/>
            <w:left w:w="108" w:type="dxa"/>
            <w:bottom w:w="0" w:type="dxa"/>
            <w:right w:w="108" w:type="dxa"/>
          </w:tblCellMar>
        </w:tblPrEx>
        <w:trPr>
          <w:trHeight w:val="615"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29</w:t>
            </w:r>
          </w:p>
        </w:tc>
        <w:tc>
          <w:tcPr>
            <w:tcW w:w="3932"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“四山”大尺度生态廊道建设重大工程</w:t>
            </w:r>
          </w:p>
        </w:tc>
        <w:tc>
          <w:tcPr>
            <w:tcW w:w="85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212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中幼林抚育、退化林修复、林业有害生物防治</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全市</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left"/>
              <w:rPr>
                <w:rFonts w:ascii="仿宋" w:hAnsi="仿宋" w:eastAsia="仿宋" w:cs="宋体"/>
                <w:color w:val="000000" w:themeColor="text1"/>
                <w:kern w:val="0"/>
                <w:sz w:val="24"/>
                <w:szCs w:val="24"/>
                <w:highlight w:val="none"/>
                <w14:textFill>
                  <w14:solidFill>
                    <w14:schemeClr w14:val="tx1"/>
                  </w14:solidFill>
                </w14:textFill>
              </w:rPr>
            </w:pPr>
          </w:p>
        </w:tc>
        <w:tc>
          <w:tcPr>
            <w:tcW w:w="1620" w:type="dxa"/>
            <w:tcBorders>
              <w:top w:val="nil"/>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2021-2025年</w:t>
            </w:r>
          </w:p>
        </w:tc>
      </w:tr>
    </w:tbl>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8" w:name="_Toc10675"/>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13</w:t>
      </w:r>
      <w:r>
        <w:rPr>
          <w:rFonts w:hint="eastAsia" w:ascii="仿宋" w:hAnsi="仿宋" w:eastAsia="仿宋"/>
          <w:b/>
          <w:bCs/>
          <w:color w:val="000000" w:themeColor="text1"/>
          <w:highlight w:val="none"/>
          <w14:textFill>
            <w14:solidFill>
              <w14:schemeClr w14:val="tx1"/>
            </w14:solidFill>
          </w14:textFill>
        </w:rPr>
        <w:t>：中心城区城镇建设用地结构规划表</w:t>
      </w:r>
      <w:bookmarkEnd w:id="138"/>
    </w:p>
    <w:tbl>
      <w:tblPr>
        <w:tblStyle w:val="12"/>
        <w:tblW w:w="13944" w:type="dxa"/>
        <w:tblInd w:w="0" w:type="dxa"/>
        <w:tblLayout w:type="autofit"/>
        <w:tblCellMar>
          <w:top w:w="0" w:type="dxa"/>
          <w:left w:w="108" w:type="dxa"/>
          <w:bottom w:w="0" w:type="dxa"/>
          <w:right w:w="108" w:type="dxa"/>
        </w:tblCellMar>
      </w:tblPr>
      <w:tblGrid>
        <w:gridCol w:w="1134"/>
        <w:gridCol w:w="5344"/>
        <w:gridCol w:w="3404"/>
        <w:gridCol w:w="4062"/>
      </w:tblGrid>
      <w:tr>
        <w:tblPrEx>
          <w:tblCellMar>
            <w:top w:w="0" w:type="dxa"/>
            <w:left w:w="108" w:type="dxa"/>
            <w:bottom w:w="0" w:type="dxa"/>
            <w:right w:w="108" w:type="dxa"/>
          </w:tblCellMar>
        </w:tblPrEx>
        <w:trPr>
          <w:trHeight w:val="279"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序号</w:t>
            </w:r>
          </w:p>
        </w:tc>
        <w:tc>
          <w:tcPr>
            <w:tcW w:w="5344"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用地类型</w:t>
            </w:r>
          </w:p>
        </w:tc>
        <w:tc>
          <w:tcPr>
            <w:tcW w:w="3404"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面积（公顷）</w:t>
            </w:r>
          </w:p>
        </w:tc>
        <w:tc>
          <w:tcPr>
            <w:tcW w:w="4062"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比例（%）</w:t>
            </w:r>
          </w:p>
        </w:tc>
      </w:tr>
      <w:tr>
        <w:tblPrEx>
          <w:tblCellMar>
            <w:top w:w="0" w:type="dxa"/>
            <w:left w:w="108" w:type="dxa"/>
            <w:bottom w:w="0" w:type="dxa"/>
            <w:right w:w="108" w:type="dxa"/>
          </w:tblCellMar>
        </w:tblPrEx>
        <w:trPr>
          <w:trHeight w:val="2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w:t>
            </w:r>
          </w:p>
        </w:tc>
        <w:tc>
          <w:tcPr>
            <w:tcW w:w="534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居住用地</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1625.74</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25.42</w:t>
            </w:r>
          </w:p>
        </w:tc>
      </w:tr>
      <w:tr>
        <w:tblPrEx>
          <w:tblCellMar>
            <w:top w:w="0" w:type="dxa"/>
            <w:left w:w="108" w:type="dxa"/>
            <w:bottom w:w="0" w:type="dxa"/>
            <w:right w:w="108" w:type="dxa"/>
          </w:tblCellMar>
        </w:tblPrEx>
        <w:trPr>
          <w:trHeight w:val="2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w:t>
            </w:r>
          </w:p>
        </w:tc>
        <w:tc>
          <w:tcPr>
            <w:tcW w:w="5344"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公共管理与公共服务用地</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325.44</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5.51</w:t>
            </w:r>
          </w:p>
        </w:tc>
      </w:tr>
      <w:tr>
        <w:tblPrEx>
          <w:tblCellMar>
            <w:top w:w="0" w:type="dxa"/>
            <w:left w:w="108" w:type="dxa"/>
            <w:bottom w:w="0" w:type="dxa"/>
            <w:right w:w="108" w:type="dxa"/>
          </w:tblCellMar>
        </w:tblPrEx>
        <w:trPr>
          <w:trHeight w:val="2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w:t>
            </w:r>
          </w:p>
        </w:tc>
        <w:tc>
          <w:tcPr>
            <w:tcW w:w="5344"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商业服务业用地</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 xml:space="preserve">422.29 </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6.60</w:t>
            </w:r>
          </w:p>
        </w:tc>
      </w:tr>
      <w:tr>
        <w:tblPrEx>
          <w:tblCellMar>
            <w:top w:w="0" w:type="dxa"/>
            <w:left w:w="108" w:type="dxa"/>
            <w:bottom w:w="0" w:type="dxa"/>
            <w:right w:w="108" w:type="dxa"/>
          </w:tblCellMar>
        </w:tblPrEx>
        <w:trPr>
          <w:trHeight w:val="2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w:t>
            </w:r>
          </w:p>
        </w:tc>
        <w:tc>
          <w:tcPr>
            <w:tcW w:w="5344"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工矿用地</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1352.82</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 xml:space="preserve">21.15 </w:t>
            </w:r>
          </w:p>
        </w:tc>
      </w:tr>
      <w:tr>
        <w:tblPrEx>
          <w:tblCellMar>
            <w:top w:w="0" w:type="dxa"/>
            <w:left w:w="108" w:type="dxa"/>
            <w:bottom w:w="0" w:type="dxa"/>
            <w:right w:w="108" w:type="dxa"/>
          </w:tblCellMar>
        </w:tblPrEx>
        <w:trPr>
          <w:trHeight w:val="2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5</w:t>
            </w:r>
          </w:p>
        </w:tc>
        <w:tc>
          <w:tcPr>
            <w:tcW w:w="5344"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仓储用地</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121.74</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 xml:space="preserve">1.90 </w:t>
            </w:r>
          </w:p>
        </w:tc>
      </w:tr>
      <w:tr>
        <w:tblPrEx>
          <w:tblCellMar>
            <w:top w:w="0" w:type="dxa"/>
            <w:left w:w="108" w:type="dxa"/>
            <w:bottom w:w="0" w:type="dxa"/>
            <w:right w:w="108" w:type="dxa"/>
          </w:tblCellMar>
        </w:tblPrEx>
        <w:trPr>
          <w:trHeight w:val="2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w:t>
            </w:r>
          </w:p>
        </w:tc>
        <w:tc>
          <w:tcPr>
            <w:tcW w:w="5344"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交通运输用地</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1024.24</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16.01</w:t>
            </w:r>
          </w:p>
        </w:tc>
      </w:tr>
      <w:tr>
        <w:tblPrEx>
          <w:tblCellMar>
            <w:top w:w="0" w:type="dxa"/>
            <w:left w:w="108" w:type="dxa"/>
            <w:bottom w:w="0" w:type="dxa"/>
            <w:right w:w="108" w:type="dxa"/>
          </w:tblCellMar>
        </w:tblPrEx>
        <w:trPr>
          <w:trHeight w:val="2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w:t>
            </w:r>
          </w:p>
        </w:tc>
        <w:tc>
          <w:tcPr>
            <w:tcW w:w="5344"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公用设施用地</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65.95</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 xml:space="preserve">1.03 </w:t>
            </w:r>
          </w:p>
        </w:tc>
      </w:tr>
      <w:tr>
        <w:tblPrEx>
          <w:tblCellMar>
            <w:top w:w="0" w:type="dxa"/>
            <w:left w:w="108" w:type="dxa"/>
            <w:bottom w:w="0" w:type="dxa"/>
            <w:right w:w="108" w:type="dxa"/>
          </w:tblCellMar>
        </w:tblPrEx>
        <w:trPr>
          <w:trHeight w:val="2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8</w:t>
            </w:r>
          </w:p>
        </w:tc>
        <w:tc>
          <w:tcPr>
            <w:tcW w:w="5344"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绿地与开敞空间用地</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944.22</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14.77</w:t>
            </w:r>
          </w:p>
        </w:tc>
      </w:tr>
      <w:tr>
        <w:tblPrEx>
          <w:tblCellMar>
            <w:top w:w="0" w:type="dxa"/>
            <w:left w:w="108" w:type="dxa"/>
            <w:bottom w:w="0" w:type="dxa"/>
            <w:right w:w="108" w:type="dxa"/>
          </w:tblCellMar>
        </w:tblPrEx>
        <w:trPr>
          <w:trHeight w:val="279"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9</w:t>
            </w:r>
          </w:p>
        </w:tc>
        <w:tc>
          <w:tcPr>
            <w:tcW w:w="5344" w:type="dxa"/>
            <w:tcBorders>
              <w:top w:val="nil"/>
              <w:left w:val="nil"/>
              <w:bottom w:val="single" w:color="auto" w:sz="4" w:space="0"/>
              <w:right w:val="single" w:color="auto" w:sz="4" w:space="0"/>
            </w:tcBorders>
            <w:shd w:val="clear" w:color="auto" w:fill="auto"/>
            <w:noWrap/>
            <w:vAlign w:val="bottom"/>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留白用地</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485.48</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7.59</w:t>
            </w:r>
          </w:p>
        </w:tc>
      </w:tr>
      <w:tr>
        <w:tblPrEx>
          <w:tblCellMar>
            <w:top w:w="0" w:type="dxa"/>
            <w:left w:w="108" w:type="dxa"/>
            <w:bottom w:w="0" w:type="dxa"/>
            <w:right w:w="108" w:type="dxa"/>
          </w:tblCellMar>
        </w:tblPrEx>
        <w:trPr>
          <w:trHeight w:val="279" w:hRule="atLeast"/>
        </w:trPr>
        <w:tc>
          <w:tcPr>
            <w:tcW w:w="6478"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合计</w:t>
            </w:r>
          </w:p>
        </w:tc>
        <w:tc>
          <w:tcPr>
            <w:tcW w:w="3404"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6394.92</w:t>
            </w:r>
          </w:p>
        </w:tc>
        <w:tc>
          <w:tcPr>
            <w:tcW w:w="4062" w:type="dxa"/>
            <w:tcBorders>
              <w:top w:val="nil"/>
              <w:left w:val="nil"/>
              <w:bottom w:val="single" w:color="auto" w:sz="4" w:space="0"/>
              <w:right w:val="single" w:color="auto" w:sz="4" w:space="0"/>
            </w:tcBorders>
            <w:shd w:val="clear" w:color="auto" w:fill="auto"/>
            <w:noWrap/>
            <w:vAlign w:val="center"/>
          </w:tcPr>
          <w:p>
            <w:pPr>
              <w:widowControl/>
              <w:spacing w:before="0" w:after="0"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2"/>
                <w:highlight w:val="none"/>
                <w14:textFill>
                  <w14:solidFill>
                    <w14:schemeClr w14:val="tx1"/>
                  </w14:solidFill>
                </w14:textFill>
              </w:rPr>
              <w:t>100</w:t>
            </w:r>
          </w:p>
        </w:tc>
      </w:tr>
    </w:tbl>
    <w:p>
      <w:pPr>
        <w:spacing w:before="381" w:beforeLines="100" w:after="0"/>
        <w:outlineLvl w:val="0"/>
        <w:rPr>
          <w:rFonts w:ascii="仿宋" w:hAnsi="仿宋" w:eastAsia="仿宋"/>
          <w:b/>
          <w:bCs/>
          <w:color w:val="000000" w:themeColor="text1"/>
          <w:highlight w:val="none"/>
          <w14:textFill>
            <w14:solidFill>
              <w14:schemeClr w14:val="tx1"/>
            </w14:solidFill>
          </w14:textFill>
        </w:rPr>
      </w:pPr>
      <w:bookmarkStart w:id="139" w:name="_Toc3927"/>
      <w:r>
        <w:rPr>
          <w:rFonts w:hint="eastAsia" w:ascii="仿宋" w:hAnsi="仿宋" w:eastAsia="仿宋"/>
          <w:b/>
          <w:bCs/>
          <w:color w:val="000000" w:themeColor="text1"/>
          <w:highlight w:val="none"/>
          <w14:textFill>
            <w14:solidFill>
              <w14:schemeClr w14:val="tx1"/>
            </w14:solidFill>
          </w14:textFill>
        </w:rPr>
        <w:t>附表</w:t>
      </w:r>
      <w:r>
        <w:rPr>
          <w:rFonts w:ascii="仿宋" w:hAnsi="仿宋" w:eastAsia="仿宋"/>
          <w:b/>
          <w:bCs/>
          <w:color w:val="000000" w:themeColor="text1"/>
          <w:highlight w:val="none"/>
          <w14:textFill>
            <w14:solidFill>
              <w14:schemeClr w14:val="tx1"/>
            </w14:solidFill>
          </w14:textFill>
        </w:rPr>
        <w:t>14</w:t>
      </w:r>
      <w:r>
        <w:rPr>
          <w:rFonts w:hint="eastAsia" w:ascii="仿宋" w:hAnsi="仿宋" w:eastAsia="仿宋"/>
          <w:b/>
          <w:bCs/>
          <w:color w:val="000000" w:themeColor="text1"/>
          <w:highlight w:val="none"/>
          <w14:textFill>
            <w14:solidFill>
              <w14:schemeClr w14:val="tx1"/>
            </w14:solidFill>
          </w14:textFill>
        </w:rPr>
        <w:t>：县级以上重大建设项目汇总表</w:t>
      </w:r>
      <w:bookmarkEnd w:id="139"/>
    </w:p>
    <w:p>
      <w:pPr>
        <w:widowControl/>
        <w:spacing w:before="0" w:after="0"/>
        <w:ind w:right="198"/>
        <w:jc w:val="right"/>
        <w:rPr>
          <w:rFonts w:ascii="Times New Roman" w:hAnsi="Times New Roman" w:eastAsia="仿宋"/>
          <w:b/>
          <w:bCs/>
          <w:color w:val="000000" w:themeColor="text1"/>
          <w:kern w:val="0"/>
          <w:sz w:val="20"/>
          <w:szCs w:val="20"/>
          <w:highlight w:val="none"/>
          <w14:textFill>
            <w14:solidFill>
              <w14:schemeClr w14:val="tx1"/>
            </w14:solidFill>
          </w14:textFill>
        </w:rPr>
      </w:pPr>
      <w:r>
        <w:rPr>
          <w:rFonts w:hint="eastAsia" w:ascii="Times New Roman" w:hAnsi="Times New Roman" w:eastAsia="仿宋"/>
          <w:b/>
          <w:bCs/>
          <w:color w:val="000000" w:themeColor="text1"/>
          <w:kern w:val="0"/>
          <w:sz w:val="20"/>
          <w:szCs w:val="20"/>
          <w:highlight w:val="none"/>
          <w14:textFill>
            <w14:solidFill>
              <w14:schemeClr w14:val="tx1"/>
            </w14:solidFill>
          </w14:textFill>
        </w:rPr>
        <w:t>单位：公顷</w:t>
      </w:r>
    </w:p>
    <w:tbl>
      <w:tblPr>
        <w:tblStyle w:val="12"/>
        <w:tblW w:w="5000" w:type="pct"/>
        <w:tblInd w:w="0" w:type="dxa"/>
        <w:tblLayout w:type="fixed"/>
        <w:tblCellMar>
          <w:top w:w="0" w:type="dxa"/>
          <w:left w:w="108" w:type="dxa"/>
          <w:bottom w:w="0" w:type="dxa"/>
          <w:right w:w="108" w:type="dxa"/>
        </w:tblCellMar>
      </w:tblPr>
      <w:tblGrid>
        <w:gridCol w:w="675"/>
        <w:gridCol w:w="1483"/>
        <w:gridCol w:w="5037"/>
        <w:gridCol w:w="1156"/>
        <w:gridCol w:w="1684"/>
        <w:gridCol w:w="1131"/>
        <w:gridCol w:w="1842"/>
        <w:gridCol w:w="1166"/>
      </w:tblGrid>
      <w:tr>
        <w:tblPrEx>
          <w:tblCellMar>
            <w:top w:w="0" w:type="dxa"/>
            <w:left w:w="108" w:type="dxa"/>
            <w:bottom w:w="0" w:type="dxa"/>
            <w:right w:w="108" w:type="dxa"/>
          </w:tblCellMar>
        </w:tblPrEx>
        <w:trPr>
          <w:trHeight w:val="710" w:hRule="exact"/>
          <w:tblHeader/>
        </w:trPr>
        <w:tc>
          <w:tcPr>
            <w:tcW w:w="2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序号</w:t>
            </w: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项目类型</w:t>
            </w:r>
          </w:p>
        </w:tc>
        <w:tc>
          <w:tcPr>
            <w:tcW w:w="1777"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项目名称</w:t>
            </w:r>
          </w:p>
        </w:tc>
        <w:tc>
          <w:tcPr>
            <w:tcW w:w="408"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建设</w:t>
            </w:r>
          </w:p>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性质</w:t>
            </w:r>
          </w:p>
        </w:tc>
        <w:tc>
          <w:tcPr>
            <w:tcW w:w="594"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建设年限</w:t>
            </w:r>
          </w:p>
        </w:tc>
        <w:tc>
          <w:tcPr>
            <w:tcW w:w="399"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用地</w:t>
            </w:r>
          </w:p>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规模</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新增建设用地</w:t>
            </w:r>
          </w:p>
        </w:tc>
        <w:tc>
          <w:tcPr>
            <w:tcW w:w="411"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所在</w:t>
            </w:r>
          </w:p>
          <w:p>
            <w:pPr>
              <w:widowControl/>
              <w:adjustRightInd w:val="0"/>
              <w:snapToGrid w:val="0"/>
              <w:spacing w:before="0" w:after="0"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hint="eastAsia" w:ascii="仿宋" w:hAnsi="仿宋" w:eastAsia="仿宋"/>
                <w:b/>
                <w:bCs/>
                <w:color w:val="000000" w:themeColor="text1"/>
                <w:kern w:val="0"/>
                <w:sz w:val="24"/>
                <w:szCs w:val="24"/>
                <w:highlight w:val="none"/>
                <w14:textFill>
                  <w14:solidFill>
                    <w14:schemeClr w14:val="tx1"/>
                  </w14:solidFill>
                </w14:textFill>
              </w:rPr>
              <w:t>地区</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随州至信阳高铁</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2025-2030</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462.65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426.36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广水新煌循环资源有限公司铁路专用线工程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汉孝轨道交通延伸至广水规划研究</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2030</w:t>
            </w:r>
            <w:r>
              <w:rPr>
                <w:rFonts w:hint="eastAsia" w:ascii="仿宋" w:hAnsi="仿宋" w:eastAsia="仿宋"/>
                <w:color w:val="000000" w:themeColor="text1"/>
                <w:kern w:val="0"/>
                <w:sz w:val="24"/>
                <w:szCs w:val="24"/>
                <w:highlight w:val="none"/>
                <w14:textFill>
                  <w14:solidFill>
                    <w14:schemeClr w14:val="tx1"/>
                  </w14:solidFill>
                </w14:textFill>
              </w:rPr>
              <w:t>年后</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549.98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507.1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随州至信阳高速公路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2022-2026</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347.52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332.66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鄂北高速公路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2025</w:t>
            </w:r>
            <w:r>
              <w:rPr>
                <w:rFonts w:hint="eastAsia" w:ascii="仿宋" w:hAnsi="仿宋" w:eastAsia="仿宋"/>
                <w:color w:val="000000" w:themeColor="text1"/>
                <w:kern w:val="0"/>
                <w:sz w:val="24"/>
                <w:szCs w:val="24"/>
                <w:highlight w:val="none"/>
                <w14:textFill>
                  <w14:solidFill>
                    <w14:schemeClr w14:val="tx1"/>
                  </w14:solidFill>
                </w14:textFill>
              </w:rPr>
              <w:t>年后</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337.29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200.84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G107</w:t>
            </w:r>
            <w:r>
              <w:rPr>
                <w:rFonts w:hint="eastAsia" w:ascii="仿宋" w:hAnsi="仿宋" w:eastAsia="仿宋"/>
                <w:color w:val="000000" w:themeColor="text1"/>
                <w:kern w:val="0"/>
                <w:sz w:val="24"/>
                <w:szCs w:val="24"/>
                <w:highlight w:val="none"/>
                <w14:textFill>
                  <w14:solidFill>
                    <w14:schemeClr w14:val="tx1"/>
                  </w14:solidFill>
                </w14:textFill>
              </w:rPr>
              <w:t>国道广水市境段改扩建工程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2015-</w:t>
            </w:r>
            <w:r>
              <w:rPr>
                <w:rFonts w:hint="eastAsia" w:ascii="仿宋" w:hAnsi="仿宋" w:eastAsia="仿宋"/>
                <w:color w:val="000000" w:themeColor="text1"/>
                <w:kern w:val="0"/>
                <w:sz w:val="24"/>
                <w:szCs w:val="24"/>
                <w:highlight w:val="none"/>
                <w14:textFill>
                  <w14:solidFill>
                    <w14:schemeClr w14:val="tx1"/>
                  </w14:solidFill>
                </w14:textFill>
              </w:rPr>
              <w:t>2020</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160.17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29.29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G316</w:t>
            </w:r>
            <w:r>
              <w:rPr>
                <w:rFonts w:hint="eastAsia" w:ascii="仿宋" w:hAnsi="仿宋" w:eastAsia="仿宋"/>
                <w:color w:val="000000" w:themeColor="text1"/>
                <w:kern w:val="0"/>
                <w:sz w:val="24"/>
                <w:szCs w:val="24"/>
                <w:highlight w:val="none"/>
                <w14:textFill>
                  <w14:solidFill>
                    <w14:schemeClr w14:val="tx1"/>
                  </w14:solidFill>
                </w14:textFill>
              </w:rPr>
              <w:t>广水市平林至曾都区淅河段改扩建工程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196.26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162.65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G346</w:t>
            </w:r>
            <w:r>
              <w:rPr>
                <w:rFonts w:hint="eastAsia" w:ascii="仿宋" w:hAnsi="仿宋" w:eastAsia="仿宋"/>
                <w:color w:val="000000" w:themeColor="text1"/>
                <w:kern w:val="0"/>
                <w:sz w:val="24"/>
                <w:szCs w:val="24"/>
                <w:highlight w:val="none"/>
                <w14:textFill>
                  <w14:solidFill>
                    <w14:schemeClr w14:val="tx1"/>
                  </w14:solidFill>
                </w14:textFill>
              </w:rPr>
              <w:t>广水市十里至长岭段改扩建工程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2024-2027</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175.43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110.07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S210</w:t>
            </w:r>
            <w:r>
              <w:rPr>
                <w:rFonts w:hint="eastAsia" w:ascii="仿宋" w:hAnsi="仿宋" w:eastAsia="仿宋"/>
                <w:color w:val="000000" w:themeColor="text1"/>
                <w:kern w:val="0"/>
                <w:sz w:val="24"/>
                <w:szCs w:val="24"/>
                <w:highlight w:val="none"/>
                <w14:textFill>
                  <w14:solidFill>
                    <w14:schemeClr w14:val="tx1"/>
                  </w14:solidFill>
                </w14:textFill>
              </w:rPr>
              <w:t>广水市城郊绕城区段改扩建工程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80.01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42.83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S211</w:t>
            </w:r>
            <w:r>
              <w:rPr>
                <w:rFonts w:hint="eastAsia" w:ascii="仿宋" w:hAnsi="仿宋" w:eastAsia="仿宋"/>
                <w:color w:val="000000" w:themeColor="text1"/>
                <w:kern w:val="0"/>
                <w:sz w:val="24"/>
                <w:szCs w:val="24"/>
                <w:highlight w:val="none"/>
                <w14:textFill>
                  <w14:solidFill>
                    <w14:schemeClr w14:val="tx1"/>
                  </w14:solidFill>
                </w14:textFill>
              </w:rPr>
              <w:t>广水市李店至太平公路改扩建工程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2021</w:t>
            </w:r>
            <w:r>
              <w:rPr>
                <w:rFonts w:ascii="仿宋" w:hAnsi="仿宋" w:eastAsia="仿宋"/>
                <w:color w:val="000000" w:themeColor="text1"/>
                <w:kern w:val="0"/>
                <w:sz w:val="24"/>
                <w:szCs w:val="24"/>
                <w:highlight w:val="none"/>
                <w14:textFill>
                  <w14:solidFill>
                    <w14:schemeClr w14:val="tx1"/>
                  </w14:solidFill>
                </w14:textFill>
              </w:rPr>
              <w:t>-2023</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52.28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39.35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S320</w:t>
            </w:r>
            <w:r>
              <w:rPr>
                <w:rFonts w:hint="eastAsia" w:ascii="仿宋" w:hAnsi="仿宋" w:eastAsia="仿宋"/>
                <w:color w:val="000000" w:themeColor="text1"/>
                <w:kern w:val="0"/>
                <w:sz w:val="24"/>
                <w:szCs w:val="24"/>
                <w:highlight w:val="none"/>
                <w14:textFill>
                  <w14:solidFill>
                    <w14:schemeClr w14:val="tx1"/>
                  </w14:solidFill>
                </w14:textFill>
              </w:rPr>
              <w:t>广水市桃源至南兴段改建工程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2022-2024</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27.14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25.68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广水市徐家河生态综合治理项目防汛道路配套工程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256.41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246.74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S210</w:t>
            </w:r>
            <w:r>
              <w:rPr>
                <w:rFonts w:hint="eastAsia" w:ascii="仿宋" w:hAnsi="仿宋" w:eastAsia="仿宋"/>
                <w:color w:val="000000" w:themeColor="text1"/>
                <w:kern w:val="0"/>
                <w:sz w:val="24"/>
                <w:szCs w:val="24"/>
                <w:highlight w:val="none"/>
                <w14:textFill>
                  <w14:solidFill>
                    <w14:schemeClr w14:val="tx1"/>
                  </w14:solidFill>
                </w14:textFill>
              </w:rPr>
              <w:t>广水市陈巷镇段改扩建工程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43.66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S210</w:t>
            </w:r>
            <w:r>
              <w:rPr>
                <w:rFonts w:hint="eastAsia" w:ascii="仿宋" w:hAnsi="仿宋" w:eastAsia="仿宋"/>
                <w:color w:val="000000" w:themeColor="text1"/>
                <w:kern w:val="0"/>
                <w:sz w:val="24"/>
                <w:szCs w:val="24"/>
                <w:highlight w:val="none"/>
                <w14:textFill>
                  <w14:solidFill>
                    <w14:schemeClr w14:val="tx1"/>
                  </w14:solidFill>
                </w14:textFill>
              </w:rPr>
              <w:t>广水市三潭风景区段改扩建工程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79.66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55.23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S210</w:t>
            </w:r>
            <w:r>
              <w:rPr>
                <w:rFonts w:hint="eastAsia" w:ascii="仿宋" w:hAnsi="仿宋" w:eastAsia="仿宋"/>
                <w:color w:val="000000" w:themeColor="text1"/>
                <w:kern w:val="0"/>
                <w:sz w:val="24"/>
                <w:szCs w:val="24"/>
                <w:highlight w:val="none"/>
                <w14:textFill>
                  <w14:solidFill>
                    <w14:schemeClr w14:val="tx1"/>
                  </w14:solidFill>
                </w14:textFill>
              </w:rPr>
              <w:t>广水市蔡河镇段改扩建工程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129.77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89.83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S210</w:t>
            </w:r>
            <w:r>
              <w:rPr>
                <w:rFonts w:hint="eastAsia" w:ascii="仿宋" w:hAnsi="仿宋" w:eastAsia="仿宋"/>
                <w:color w:val="000000" w:themeColor="text1"/>
                <w:kern w:val="0"/>
                <w:sz w:val="24"/>
                <w:szCs w:val="24"/>
                <w:highlight w:val="none"/>
                <w14:textFill>
                  <w14:solidFill>
                    <w14:schemeClr w14:val="tx1"/>
                  </w14:solidFill>
                </w14:textFill>
              </w:rPr>
              <w:t>广水市骆店绕镇段改扩建工程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57.6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36.76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S425</w:t>
            </w:r>
            <w:r>
              <w:rPr>
                <w:rFonts w:hint="eastAsia" w:ascii="仿宋" w:hAnsi="仿宋" w:eastAsia="仿宋"/>
                <w:color w:val="000000" w:themeColor="text1"/>
                <w:kern w:val="0"/>
                <w:sz w:val="24"/>
                <w:szCs w:val="24"/>
                <w:highlight w:val="none"/>
                <w14:textFill>
                  <w14:solidFill>
                    <w14:schemeClr w14:val="tx1"/>
                  </w14:solidFill>
                </w14:textFill>
              </w:rPr>
              <w:t>延伸陡分线陡石崖至分水岭改扩建工程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106.27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S426</w:t>
            </w:r>
            <w:r>
              <w:rPr>
                <w:rFonts w:hint="eastAsia" w:ascii="仿宋" w:hAnsi="仿宋" w:eastAsia="仿宋"/>
                <w:color w:val="000000" w:themeColor="text1"/>
                <w:kern w:val="0"/>
                <w:sz w:val="24"/>
                <w:szCs w:val="24"/>
                <w:highlight w:val="none"/>
                <w14:textFill>
                  <w14:solidFill>
                    <w14:schemeClr w14:val="tx1"/>
                  </w14:solidFill>
                </w14:textFill>
              </w:rPr>
              <w:t>延伸余店经先觉庙至万店段改扩建工程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86.3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41.76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武汉城市圈环线太平互通连接线工程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9.83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8.46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随信高速马坪互通至</w:t>
            </w:r>
            <w:r>
              <w:rPr>
                <w:rFonts w:ascii="仿宋" w:hAnsi="仿宋" w:eastAsia="仿宋"/>
                <w:color w:val="000000" w:themeColor="text1"/>
                <w:kern w:val="0"/>
                <w:sz w:val="24"/>
                <w:szCs w:val="24"/>
                <w:highlight w:val="none"/>
                <w14:textFill>
                  <w14:solidFill>
                    <w14:schemeClr w14:val="tx1"/>
                  </w14:solidFill>
                </w14:textFill>
              </w:rPr>
              <w:t>S425</w:t>
            </w:r>
            <w:r>
              <w:rPr>
                <w:rFonts w:hint="eastAsia" w:ascii="仿宋" w:hAnsi="仿宋" w:eastAsia="仿宋"/>
                <w:color w:val="000000" w:themeColor="text1"/>
                <w:kern w:val="0"/>
                <w:sz w:val="24"/>
                <w:szCs w:val="24"/>
                <w:highlight w:val="none"/>
                <w14:textFill>
                  <w14:solidFill>
                    <w14:schemeClr w14:val="tx1"/>
                  </w14:solidFill>
                </w14:textFill>
              </w:rPr>
              <w:t>连接线新建工程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21.56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20.76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X014</w:t>
            </w:r>
            <w:r>
              <w:rPr>
                <w:rFonts w:hint="eastAsia" w:ascii="仿宋" w:hAnsi="仿宋" w:eastAsia="仿宋"/>
                <w:color w:val="000000" w:themeColor="text1"/>
                <w:kern w:val="0"/>
                <w:sz w:val="24"/>
                <w:szCs w:val="24"/>
                <w:highlight w:val="none"/>
                <w14:textFill>
                  <w14:solidFill>
                    <w14:schemeClr w14:val="tx1"/>
                  </w14:solidFill>
                </w14:textFill>
              </w:rPr>
              <w:t>马兴线关庙经兴隆至曾都淅河公路新建工程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148.26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103.08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131</w:t>
            </w:r>
            <w:r>
              <w:rPr>
                <w:rFonts w:hint="eastAsia" w:ascii="仿宋" w:hAnsi="仿宋" w:eastAsia="仿宋"/>
                <w:color w:val="000000" w:themeColor="text1"/>
                <w:kern w:val="0"/>
                <w:sz w:val="24"/>
                <w:szCs w:val="24"/>
                <w:highlight w:val="none"/>
                <w14:textFill>
                  <w14:solidFill>
                    <w14:schemeClr w14:val="tx1"/>
                  </w14:solidFill>
                </w14:textFill>
              </w:rPr>
              <w:t>旅到八里岔军用机场战备公路建设工程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6.78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广水市中国人民解放军</w:t>
            </w:r>
            <w:r>
              <w:rPr>
                <w:rFonts w:ascii="仿宋" w:hAnsi="仿宋" w:eastAsia="仿宋"/>
                <w:color w:val="000000" w:themeColor="text1"/>
                <w:kern w:val="0"/>
                <w:sz w:val="24"/>
                <w:szCs w:val="24"/>
                <w:highlight w:val="none"/>
                <w14:textFill>
                  <w14:solidFill>
                    <w14:schemeClr w14:val="tx1"/>
                  </w14:solidFill>
                </w14:textFill>
              </w:rPr>
              <w:t>95944</w:t>
            </w:r>
            <w:r>
              <w:rPr>
                <w:rFonts w:hint="eastAsia" w:ascii="仿宋" w:hAnsi="仿宋" w:eastAsia="仿宋"/>
                <w:color w:val="000000" w:themeColor="text1"/>
                <w:kern w:val="0"/>
                <w:sz w:val="24"/>
                <w:szCs w:val="24"/>
                <w:highlight w:val="none"/>
                <w14:textFill>
                  <w14:solidFill>
                    <w14:schemeClr w14:val="tx1"/>
                  </w14:solidFill>
                </w14:textFill>
              </w:rPr>
              <w:t>部队进出口道路改扩建项目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11.23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4.59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广水市杨平线杨寨至平林升级改造工程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319.1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229.02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广水市胡花线胡家湾至花山公路改扩建工程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68.47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52.98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广水市应宝线黑虎冲至宝林公路改扩建工程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48.78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39.36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广水市三潭至中华山旅游公路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445.83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412.14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S426</w:t>
            </w:r>
            <w:r>
              <w:rPr>
                <w:rFonts w:hint="eastAsia" w:ascii="仿宋" w:hAnsi="仿宋" w:eastAsia="仿宋"/>
                <w:color w:val="000000" w:themeColor="text1"/>
                <w:kern w:val="0"/>
                <w:sz w:val="24"/>
                <w:szCs w:val="24"/>
                <w:highlight w:val="none"/>
                <w14:textFill>
                  <w14:solidFill>
                    <w14:schemeClr w14:val="tx1"/>
                  </w14:solidFill>
                </w14:textFill>
              </w:rPr>
              <w:t>广水市城区段改建工程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6.49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5.73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S328</w:t>
            </w:r>
            <w:r>
              <w:rPr>
                <w:rFonts w:hint="eastAsia" w:ascii="仿宋" w:hAnsi="仿宋" w:eastAsia="仿宋"/>
                <w:color w:val="000000" w:themeColor="text1"/>
                <w:kern w:val="0"/>
                <w:sz w:val="24"/>
                <w:szCs w:val="24"/>
                <w:highlight w:val="none"/>
                <w14:textFill>
                  <w14:solidFill>
                    <w14:schemeClr w14:val="tx1"/>
                  </w14:solidFill>
                </w14:textFill>
              </w:rPr>
              <w:t>延伸十里经麻竹高速应山互通至城郊段新建工程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114.07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87.38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广办路网改造升级</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寿山循环旅游公路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随州至信阳高铁广水北站综合客运枢纽及连接线</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79.78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77.85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汉孝轨道交通延伸广水东站客运枢纽及连接线</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2030</w:t>
            </w:r>
            <w:r>
              <w:rPr>
                <w:rFonts w:hint="eastAsia" w:ascii="仿宋" w:hAnsi="仿宋" w:eastAsia="仿宋"/>
                <w:color w:val="000000" w:themeColor="text1"/>
                <w:kern w:val="0"/>
                <w:sz w:val="24"/>
                <w:szCs w:val="24"/>
                <w:highlight w:val="none"/>
                <w14:textFill>
                  <w14:solidFill>
                    <w14:schemeClr w14:val="tx1"/>
                  </w14:solidFill>
                </w14:textFill>
              </w:rPr>
              <w:t>年后</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50.45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43.15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156</w:t>
            </w:r>
            <w:r>
              <w:rPr>
                <w:rFonts w:hint="eastAsia" w:ascii="仿宋" w:hAnsi="仿宋" w:eastAsia="仿宋"/>
                <w:color w:val="000000" w:themeColor="text1"/>
                <w:kern w:val="0"/>
                <w:sz w:val="24"/>
                <w:szCs w:val="24"/>
                <w:highlight w:val="none"/>
                <w14:textFill>
                  <w14:solidFill>
                    <w14:schemeClr w14:val="tx1"/>
                  </w14:solidFill>
                </w14:textFill>
              </w:rPr>
              <w:t>处库外道路及中转站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0.94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武汉城市圈环线高速公路大随至汉十段太平收费站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战备公路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军民两用机场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2025</w:t>
            </w:r>
            <w:r>
              <w:rPr>
                <w:rFonts w:hint="eastAsia" w:ascii="仿宋" w:hAnsi="仿宋" w:eastAsia="仿宋"/>
                <w:color w:val="000000" w:themeColor="text1"/>
                <w:kern w:val="0"/>
                <w:sz w:val="24"/>
                <w:szCs w:val="24"/>
                <w:highlight w:val="none"/>
                <w14:textFill>
                  <w14:solidFill>
                    <w14:schemeClr w14:val="tx1"/>
                  </w14:solidFill>
                </w14:textFill>
              </w:rPr>
              <w:t>年后</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7.96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7.96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麻竹高速李店互通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随州至随县高速</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538.17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509.16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425</w:t>
            </w:r>
            <w:r>
              <w:rPr>
                <w:rFonts w:hint="eastAsia" w:ascii="仿宋" w:hAnsi="仿宋" w:eastAsia="仿宋"/>
                <w:color w:val="000000" w:themeColor="text1"/>
                <w:kern w:val="0"/>
                <w:sz w:val="24"/>
                <w:szCs w:val="24"/>
                <w:highlight w:val="none"/>
                <w14:textFill>
                  <w14:solidFill>
                    <w14:schemeClr w14:val="tx1"/>
                  </w14:solidFill>
                </w14:textFill>
              </w:rPr>
              <w:t>省道广水市泉口至余店段改建工程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34.23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328</w:t>
            </w:r>
            <w:r>
              <w:rPr>
                <w:rFonts w:hint="eastAsia" w:ascii="仿宋" w:hAnsi="仿宋" w:eastAsia="仿宋"/>
                <w:color w:val="000000" w:themeColor="text1"/>
                <w:kern w:val="0"/>
                <w:sz w:val="24"/>
                <w:szCs w:val="24"/>
                <w:highlight w:val="none"/>
                <w14:textFill>
                  <w14:solidFill>
                    <w14:schemeClr w14:val="tx1"/>
                  </w14:solidFill>
                </w14:textFill>
              </w:rPr>
              <w:t>省道广水市十里至蔡河段改建工程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16.02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328</w:t>
            </w:r>
            <w:r>
              <w:rPr>
                <w:rFonts w:hint="eastAsia" w:ascii="仿宋" w:hAnsi="仿宋" w:eastAsia="仿宋"/>
                <w:color w:val="000000" w:themeColor="text1"/>
                <w:kern w:val="0"/>
                <w:sz w:val="24"/>
                <w:szCs w:val="24"/>
                <w:highlight w:val="none"/>
                <w14:textFill>
                  <w14:solidFill>
                    <w14:schemeClr w14:val="tx1"/>
                  </w14:solidFill>
                </w14:textFill>
              </w:rPr>
              <w:t>省道空降兵郝店综合训练场搬迁安置区公路建设改建工程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27.13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武汉城市圈环线高速大随至汉十段项目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50.94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广水市三里至李店公路改建工程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9.94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广水市十马线跑马场至马坪段改建工程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部队训练道路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13.05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29.19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省二级客运站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汽车站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9.94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9.94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客运站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新建道路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15.09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29.19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随岳高速至随信高速连接线</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广水市黄杨线公路改扩建工程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9.94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广水市应刘线公路改扩建工程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广水市余店至徐店公路改扩建工程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广水市龙泉至长辛店公路工程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广水市骆店至长岭段公路改扩建工程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十里至观音新建工程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17.85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17.85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三潭</w:t>
            </w:r>
            <w:r>
              <w:rPr>
                <w:rFonts w:ascii="仿宋" w:hAnsi="仿宋" w:eastAsia="仿宋"/>
                <w:color w:val="000000" w:themeColor="text1"/>
                <w:kern w:val="0"/>
                <w:sz w:val="24"/>
                <w:szCs w:val="24"/>
                <w:highlight w:val="none"/>
                <w14:textFill>
                  <w14:solidFill>
                    <w14:schemeClr w14:val="tx1"/>
                  </w14:solidFill>
                </w14:textFill>
              </w:rPr>
              <w:t>-</w:t>
            </w:r>
            <w:r>
              <w:rPr>
                <w:rFonts w:hint="eastAsia" w:ascii="仿宋" w:hAnsi="仿宋" w:eastAsia="仿宋"/>
                <w:color w:val="000000" w:themeColor="text1"/>
                <w:kern w:val="0"/>
                <w:sz w:val="24"/>
                <w:szCs w:val="24"/>
                <w:highlight w:val="none"/>
                <w14:textFill>
                  <w14:solidFill>
                    <w14:schemeClr w14:val="tx1"/>
                  </w14:solidFill>
                </w14:textFill>
              </w:rPr>
              <w:t>武胜关旅游公路建设项目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随信高速经黄土关公路至</w:t>
            </w:r>
            <w:r>
              <w:rPr>
                <w:rFonts w:ascii="仿宋" w:hAnsi="仿宋" w:eastAsia="仿宋"/>
                <w:color w:val="000000" w:themeColor="text1"/>
                <w:kern w:val="0"/>
                <w:sz w:val="24"/>
                <w:szCs w:val="24"/>
                <w:highlight w:val="none"/>
                <w14:textFill>
                  <w14:solidFill>
                    <w14:schemeClr w14:val="tx1"/>
                  </w14:solidFill>
                </w14:textFill>
              </w:rPr>
              <w:t>S328</w:t>
            </w:r>
            <w:r>
              <w:rPr>
                <w:rFonts w:hint="eastAsia" w:ascii="仿宋" w:hAnsi="仿宋" w:eastAsia="仿宋"/>
                <w:color w:val="000000" w:themeColor="text1"/>
                <w:kern w:val="0"/>
                <w:sz w:val="24"/>
                <w:szCs w:val="24"/>
                <w:highlight w:val="none"/>
                <w14:textFill>
                  <w14:solidFill>
                    <w14:schemeClr w14:val="tx1"/>
                  </w14:solidFill>
                </w14:textFill>
              </w:rPr>
              <w:t>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平伏线以南界村至广水文旅小镇二级公路项目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w:t>
            </w:r>
            <w:r>
              <w:rPr>
                <w:rFonts w:ascii="仿宋" w:hAnsi="仿宋" w:eastAsia="仿宋"/>
                <w:color w:val="000000" w:themeColor="text1"/>
                <w:kern w:val="0"/>
                <w:sz w:val="24"/>
                <w:szCs w:val="24"/>
                <w:highlight w:val="none"/>
                <w14:textFill>
                  <w14:solidFill>
                    <w14:schemeClr w14:val="tx1"/>
                  </w14:solidFill>
                </w14:textFill>
              </w:rPr>
              <w:t>300</w:t>
            </w:r>
            <w:r>
              <w:rPr>
                <w:rFonts w:hint="eastAsia" w:ascii="仿宋" w:hAnsi="仿宋" w:eastAsia="仿宋"/>
                <w:color w:val="000000" w:themeColor="text1"/>
                <w:kern w:val="0"/>
                <w:sz w:val="24"/>
                <w:szCs w:val="24"/>
                <w:highlight w:val="none"/>
                <w14:textFill>
                  <w14:solidFill>
                    <w14:schemeClr w14:val="tx1"/>
                  </w14:solidFill>
                </w14:textFill>
              </w:rPr>
              <w:t>公里旅游大通道工程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应山至郝店军民融合公路扩建工程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扩建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160.65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160.65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太杨公路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八里岔村</w:t>
            </w:r>
            <w:r>
              <w:rPr>
                <w:rFonts w:ascii="仿宋" w:hAnsi="仿宋" w:eastAsia="仿宋"/>
                <w:color w:val="000000" w:themeColor="text1"/>
                <w:kern w:val="0"/>
                <w:sz w:val="24"/>
                <w:szCs w:val="24"/>
                <w:highlight w:val="none"/>
                <w14:textFill>
                  <w14:solidFill>
                    <w14:schemeClr w14:val="tx1"/>
                  </w14:solidFill>
                </w14:textFill>
              </w:rPr>
              <w:t>-</w:t>
            </w:r>
            <w:r>
              <w:rPr>
                <w:rFonts w:hint="eastAsia" w:ascii="仿宋" w:hAnsi="仿宋" w:eastAsia="仿宋"/>
                <w:color w:val="000000" w:themeColor="text1"/>
                <w:kern w:val="0"/>
                <w:sz w:val="24"/>
                <w:szCs w:val="24"/>
                <w:highlight w:val="none"/>
                <w14:textFill>
                  <w14:solidFill>
                    <w14:schemeClr w14:val="tx1"/>
                  </w14:solidFill>
                </w14:textFill>
              </w:rPr>
              <w:t>学府尚城二级公路项目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省二级客运站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0.47</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汽车站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9.94</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9.94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客运站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3.33</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徐家河水库旅游渡运码头</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应山北门综合客运枢纽</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6.67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6.67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武胜关综合客运枢纽</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4.47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4.47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余店广场客运站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南门货运中心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襄随信至合肥高铁</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孝感东至信阳东城铁路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交通类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随麻安铁路广水段</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花山抽水蓄能电站项目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2023-2026</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430.7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427.85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许家冲抽水蓄能项目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2030</w:t>
            </w:r>
            <w:r>
              <w:rPr>
                <w:rFonts w:hint="eastAsia" w:ascii="仿宋" w:hAnsi="仿宋" w:eastAsia="仿宋"/>
                <w:color w:val="000000" w:themeColor="text1"/>
                <w:kern w:val="0"/>
                <w:sz w:val="24"/>
                <w:szCs w:val="24"/>
                <w:highlight w:val="none"/>
                <w14:textFill>
                  <w14:solidFill>
                    <w14:schemeClr w14:val="tx1"/>
                  </w14:solidFill>
                </w14:textFill>
              </w:rPr>
              <w:t>年后</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234.22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234.22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广水市金鸡河抽水蓄能电站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2025</w:t>
            </w:r>
            <w:r>
              <w:rPr>
                <w:rFonts w:hint="eastAsia" w:ascii="仿宋" w:hAnsi="仿宋" w:eastAsia="仿宋"/>
                <w:color w:val="000000" w:themeColor="text1"/>
                <w:kern w:val="0"/>
                <w:sz w:val="24"/>
                <w:szCs w:val="24"/>
                <w:highlight w:val="none"/>
                <w14:textFill>
                  <w14:solidFill>
                    <w14:schemeClr w14:val="tx1"/>
                  </w14:solidFill>
                </w14:textFill>
              </w:rPr>
              <w:t>年后</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碾子湾水库抽水蓄能项目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310.33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308.89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黄岩水库抽水蓄能项目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黑洞湾水库抽水蓄能项目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广水市吴店镇塘畈村抽水蓄能电站项目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36.76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36.76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风光水储百万千瓦基地项目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2849.07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20.49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220kV</w:t>
            </w:r>
            <w:r>
              <w:rPr>
                <w:rFonts w:hint="eastAsia" w:ascii="仿宋" w:hAnsi="仿宋" w:eastAsia="仿宋"/>
                <w:color w:val="000000" w:themeColor="text1"/>
                <w:kern w:val="0"/>
                <w:sz w:val="24"/>
                <w:szCs w:val="24"/>
                <w:highlight w:val="none"/>
                <w14:textFill>
                  <w14:solidFill>
                    <w14:schemeClr w14:val="tx1"/>
                  </w14:solidFill>
                </w14:textFill>
              </w:rPr>
              <w:t>凤凰变电站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110kv</w:t>
            </w:r>
            <w:r>
              <w:rPr>
                <w:rFonts w:hint="eastAsia" w:ascii="仿宋" w:hAnsi="仿宋" w:eastAsia="仿宋"/>
                <w:color w:val="000000" w:themeColor="text1"/>
                <w:kern w:val="0"/>
                <w:sz w:val="24"/>
                <w:szCs w:val="24"/>
                <w:highlight w:val="none"/>
                <w14:textFill>
                  <w14:solidFill>
                    <w14:schemeClr w14:val="tx1"/>
                  </w14:solidFill>
                </w14:textFill>
              </w:rPr>
              <w:t>双河输变电工程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0.809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0.809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华润电力广水新能源基地项目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5.88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5.88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马寨村储能电站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2021-2026</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北环储能电站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2021-2029</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宝林储能电站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2021-2030</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国电广水乐城山风电场三期</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广水市清洁能源综合利用项目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气化乡镇建设项目</w:t>
            </w:r>
            <w:r>
              <w:rPr>
                <w:rFonts w:ascii="仿宋" w:hAnsi="仿宋" w:eastAsia="仿宋"/>
                <w:color w:val="000000" w:themeColor="text1"/>
                <w:kern w:val="0"/>
                <w:sz w:val="24"/>
                <w:szCs w:val="24"/>
                <w:highlight w:val="none"/>
                <w14:textFill>
                  <w14:solidFill>
                    <w14:schemeClr w14:val="tx1"/>
                  </w14:solidFill>
                </w14:textFill>
              </w:rPr>
              <w:t>——</w:t>
            </w:r>
            <w:r>
              <w:rPr>
                <w:rFonts w:hint="eastAsia" w:ascii="仿宋" w:hAnsi="仿宋" w:eastAsia="仿宋"/>
                <w:color w:val="000000" w:themeColor="text1"/>
                <w:kern w:val="0"/>
                <w:sz w:val="24"/>
                <w:szCs w:val="24"/>
                <w:highlight w:val="none"/>
                <w14:textFill>
                  <w14:solidFill>
                    <w14:schemeClr w14:val="tx1"/>
                  </w14:solidFill>
                </w14:textFill>
              </w:rPr>
              <w:t>广水市</w:t>
            </w:r>
            <w:r>
              <w:rPr>
                <w:rFonts w:ascii="仿宋" w:hAnsi="仿宋" w:eastAsia="仿宋"/>
                <w:color w:val="000000" w:themeColor="text1"/>
                <w:kern w:val="0"/>
                <w:sz w:val="24"/>
                <w:szCs w:val="24"/>
                <w:highlight w:val="none"/>
                <w14:textFill>
                  <w14:solidFill>
                    <w14:schemeClr w14:val="tx1"/>
                  </w14:solidFill>
                </w14:textFill>
              </w:rPr>
              <w:t>12</w:t>
            </w:r>
            <w:r>
              <w:rPr>
                <w:rFonts w:hint="eastAsia" w:ascii="仿宋" w:hAnsi="仿宋" w:eastAsia="仿宋"/>
                <w:color w:val="000000" w:themeColor="text1"/>
                <w:kern w:val="0"/>
                <w:sz w:val="24"/>
                <w:szCs w:val="24"/>
                <w:highlight w:val="none"/>
                <w14:textFill>
                  <w14:solidFill>
                    <w14:schemeClr w14:val="tx1"/>
                  </w14:solidFill>
                </w14:textFill>
              </w:rPr>
              <w:t>乡镇管道天然气（管网）项目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京能马坪</w:t>
            </w:r>
            <w:r>
              <w:rPr>
                <w:rFonts w:ascii="仿宋" w:hAnsi="仿宋" w:eastAsia="仿宋"/>
                <w:color w:val="000000" w:themeColor="text1"/>
                <w:kern w:val="0"/>
                <w:sz w:val="24"/>
                <w:szCs w:val="24"/>
                <w:highlight w:val="none"/>
                <w14:textFill>
                  <w14:solidFill>
                    <w14:schemeClr w14:val="tx1"/>
                  </w14:solidFill>
                </w14:textFill>
              </w:rPr>
              <w:t>50MW</w:t>
            </w:r>
            <w:r>
              <w:rPr>
                <w:rFonts w:hint="eastAsia" w:ascii="仿宋" w:hAnsi="仿宋" w:eastAsia="仿宋"/>
                <w:color w:val="000000" w:themeColor="text1"/>
                <w:kern w:val="0"/>
                <w:sz w:val="24"/>
                <w:szCs w:val="24"/>
                <w:highlight w:val="none"/>
                <w14:textFill>
                  <w14:solidFill>
                    <w14:schemeClr w14:val="tx1"/>
                  </w14:solidFill>
                </w14:textFill>
              </w:rPr>
              <w:t>集中式光伏项目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中广核广水余店风电场二期项目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华润广水风光一体项目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能源类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华润广水二妹山、花山和竹园风电场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府</w:t>
            </w:r>
            <w:r>
              <w:rPr>
                <w:rFonts w:hint="eastAsia" w:ascii="仿宋" w:hAnsi="仿宋" w:eastAsia="仿宋" w:cs="微软雅黑"/>
                <w:color w:val="000000" w:themeColor="text1"/>
                <w:kern w:val="0"/>
                <w:sz w:val="24"/>
                <w:szCs w:val="24"/>
                <w:highlight w:val="none"/>
                <w14:textFill>
                  <w14:solidFill>
                    <w14:schemeClr w14:val="tx1"/>
                  </w14:solidFill>
                </w14:textFill>
              </w:rPr>
              <w:t>澴</w:t>
            </w:r>
            <w:r>
              <w:rPr>
                <w:rFonts w:hint="eastAsia" w:ascii="仿宋" w:hAnsi="仿宋" w:eastAsia="仿宋" w:cs="仿宋_GB2312"/>
                <w:color w:val="000000" w:themeColor="text1"/>
                <w:kern w:val="0"/>
                <w:sz w:val="24"/>
                <w:szCs w:val="24"/>
                <w:highlight w:val="none"/>
                <w14:textFill>
                  <w14:solidFill>
                    <w14:schemeClr w14:val="tx1"/>
                  </w14:solidFill>
                </w14:textFill>
              </w:rPr>
              <w:t>河系统治理近期工程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2022-2023</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鄂北地区水资源配置二期工程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2022-2028</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12.89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金鸡河水库</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2022-2024</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96.62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黑花飞灌区续建配套与现代化改造工程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2025</w:t>
            </w:r>
            <w:r>
              <w:rPr>
                <w:rFonts w:hint="eastAsia" w:ascii="仿宋" w:hAnsi="仿宋" w:eastAsia="仿宋"/>
                <w:color w:val="000000" w:themeColor="text1"/>
                <w:kern w:val="0"/>
                <w:sz w:val="24"/>
                <w:szCs w:val="24"/>
                <w:highlight w:val="none"/>
                <w14:textFill>
                  <w14:solidFill>
                    <w14:schemeClr w14:val="tx1"/>
                  </w14:solidFill>
                </w14:textFill>
              </w:rPr>
              <w:t>年后</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909.69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徐家河灌区续建配套与现代化改造工程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2025</w:t>
            </w:r>
            <w:r>
              <w:rPr>
                <w:rFonts w:hint="eastAsia" w:ascii="仿宋" w:hAnsi="仿宋" w:eastAsia="仿宋"/>
                <w:color w:val="000000" w:themeColor="text1"/>
                <w:kern w:val="0"/>
                <w:sz w:val="24"/>
                <w:szCs w:val="24"/>
                <w:highlight w:val="none"/>
                <w14:textFill>
                  <w14:solidFill>
                    <w14:schemeClr w14:val="tx1"/>
                  </w14:solidFill>
                </w14:textFill>
              </w:rPr>
              <w:t>年后</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320.91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霞家河水库灌区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2025</w:t>
            </w:r>
            <w:r>
              <w:rPr>
                <w:rFonts w:hint="eastAsia" w:ascii="仿宋" w:hAnsi="仿宋" w:eastAsia="仿宋"/>
                <w:color w:val="000000" w:themeColor="text1"/>
                <w:kern w:val="0"/>
                <w:sz w:val="24"/>
                <w:szCs w:val="24"/>
                <w:highlight w:val="none"/>
                <w14:textFill>
                  <w14:solidFill>
                    <w14:schemeClr w14:val="tx1"/>
                  </w14:solidFill>
                </w14:textFill>
              </w:rPr>
              <w:t>年后</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130.53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湖北省重点区域饮水工程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天堡寨泵站支管线</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新建徐家河水库新河村泵站、管道及渠道工程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17.69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新建四家门楼至栎坡湾泵站及管道工程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100.63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新建四家门楼至刘家沟水库泵站及管、渠道工程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4.61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鄂北水资源管理站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11.23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安陆市增压泵站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黑洞湾与花山水库、深冲水库水系连通工程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太平青山水库、立新水库库库连通工程。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新建三跌泉水库等</w:t>
            </w:r>
            <w:r>
              <w:rPr>
                <w:rFonts w:ascii="仿宋" w:hAnsi="仿宋" w:eastAsia="仿宋"/>
                <w:color w:val="000000" w:themeColor="text1"/>
                <w:kern w:val="0"/>
                <w:sz w:val="24"/>
                <w:szCs w:val="24"/>
                <w:highlight w:val="none"/>
                <w14:textFill>
                  <w14:solidFill>
                    <w14:schemeClr w14:val="tx1"/>
                  </w14:solidFill>
                </w14:textFill>
              </w:rPr>
              <w:t>10</w:t>
            </w:r>
            <w:r>
              <w:rPr>
                <w:rFonts w:hint="eastAsia" w:ascii="仿宋" w:hAnsi="仿宋" w:eastAsia="仿宋"/>
                <w:color w:val="000000" w:themeColor="text1"/>
                <w:kern w:val="0"/>
                <w:sz w:val="24"/>
                <w:szCs w:val="24"/>
                <w:highlight w:val="none"/>
                <w14:textFill>
                  <w14:solidFill>
                    <w14:schemeClr w14:val="tx1"/>
                  </w14:solidFill>
                </w14:textFill>
              </w:rPr>
              <w:t>座小型水库</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霞家河等</w:t>
            </w:r>
            <w:r>
              <w:rPr>
                <w:rFonts w:ascii="仿宋" w:hAnsi="仿宋" w:eastAsia="仿宋"/>
                <w:color w:val="000000" w:themeColor="text1"/>
                <w:kern w:val="0"/>
                <w:sz w:val="24"/>
                <w:szCs w:val="24"/>
                <w:highlight w:val="none"/>
                <w14:textFill>
                  <w14:solidFill>
                    <w14:schemeClr w14:val="tx1"/>
                  </w14:solidFill>
                </w14:textFill>
              </w:rPr>
              <w:t>13</w:t>
            </w:r>
            <w:r>
              <w:rPr>
                <w:rFonts w:hint="eastAsia" w:ascii="仿宋" w:hAnsi="仿宋" w:eastAsia="仿宋"/>
                <w:color w:val="000000" w:themeColor="text1"/>
                <w:kern w:val="0"/>
                <w:sz w:val="24"/>
                <w:szCs w:val="24"/>
                <w:highlight w:val="none"/>
                <w14:textFill>
                  <w14:solidFill>
                    <w14:schemeClr w14:val="tx1"/>
                  </w14:solidFill>
                </w14:textFill>
              </w:rPr>
              <w:t>处中型灌区现代化改造</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82</w:t>
            </w:r>
            <w:r>
              <w:rPr>
                <w:rFonts w:hint="eastAsia" w:ascii="仿宋" w:hAnsi="仿宋" w:eastAsia="仿宋"/>
                <w:color w:val="000000" w:themeColor="text1"/>
                <w:kern w:val="0"/>
                <w:sz w:val="24"/>
                <w:szCs w:val="24"/>
                <w:highlight w:val="none"/>
                <w14:textFill>
                  <w14:solidFill>
                    <w14:schemeClr w14:val="tx1"/>
                  </w14:solidFill>
                </w14:textFill>
              </w:rPr>
              <w:t>处</w:t>
            </w:r>
            <w:r>
              <w:rPr>
                <w:rFonts w:ascii="仿宋" w:hAnsi="仿宋" w:eastAsia="仿宋"/>
                <w:color w:val="000000" w:themeColor="text1"/>
                <w:kern w:val="0"/>
                <w:sz w:val="24"/>
                <w:szCs w:val="24"/>
                <w:highlight w:val="none"/>
                <w14:textFill>
                  <w14:solidFill>
                    <w14:schemeClr w14:val="tx1"/>
                  </w14:solidFill>
                </w14:textFill>
              </w:rPr>
              <w:t>55kw</w:t>
            </w:r>
            <w:r>
              <w:rPr>
                <w:rFonts w:hint="eastAsia" w:ascii="仿宋" w:hAnsi="仿宋" w:eastAsia="仿宋"/>
                <w:color w:val="000000" w:themeColor="text1"/>
                <w:kern w:val="0"/>
                <w:sz w:val="24"/>
                <w:szCs w:val="24"/>
                <w:highlight w:val="none"/>
                <w14:textFill>
                  <w14:solidFill>
                    <w14:schemeClr w14:val="tx1"/>
                  </w14:solidFill>
                </w14:textFill>
              </w:rPr>
              <w:t>泵站更新改造</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改建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水利类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广水市西部旱包子区域抗旱水源配置工程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市政类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广水市城市断头路、瓶颈路道路畅通工程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91.03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82.61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市政类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应山河、护城河行洪排涝生态修复综合综治工程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97.3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88.92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市政类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广水市化工园区配套基础设施建设项目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2022-2024</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142.36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136.65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市政类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r>
              <w:rPr>
                <w:rFonts w:ascii="仿宋" w:hAnsi="仿宋" w:eastAsia="仿宋"/>
                <w:color w:val="000000" w:themeColor="text1"/>
                <w:kern w:val="0"/>
                <w:sz w:val="24"/>
                <w:szCs w:val="24"/>
                <w:highlight w:val="none"/>
                <w14:textFill>
                  <w14:solidFill>
                    <w14:schemeClr w14:val="tx1"/>
                  </w14:solidFill>
                </w14:textFill>
              </w:rPr>
              <w:t>“</w:t>
            </w:r>
            <w:r>
              <w:rPr>
                <w:rFonts w:hint="eastAsia" w:ascii="仿宋" w:hAnsi="仿宋" w:eastAsia="仿宋"/>
                <w:color w:val="000000" w:themeColor="text1"/>
                <w:kern w:val="0"/>
                <w:sz w:val="24"/>
                <w:szCs w:val="24"/>
                <w:highlight w:val="none"/>
                <w14:textFill>
                  <w14:solidFill>
                    <w14:schemeClr w14:val="tx1"/>
                  </w14:solidFill>
                </w14:textFill>
              </w:rPr>
              <w:t>风之谷</w:t>
            </w:r>
            <w:r>
              <w:rPr>
                <w:rFonts w:ascii="仿宋" w:hAnsi="仿宋" w:eastAsia="仿宋"/>
                <w:color w:val="000000" w:themeColor="text1"/>
                <w:kern w:val="0"/>
                <w:sz w:val="24"/>
                <w:szCs w:val="24"/>
                <w:highlight w:val="none"/>
                <w14:textFill>
                  <w14:solidFill>
                    <w14:schemeClr w14:val="tx1"/>
                  </w14:solidFill>
                </w14:textFill>
              </w:rPr>
              <w:t>”</w:t>
            </w:r>
            <w:r>
              <w:rPr>
                <w:rFonts w:hint="eastAsia" w:ascii="仿宋" w:hAnsi="仿宋" w:eastAsia="仿宋"/>
                <w:color w:val="000000" w:themeColor="text1"/>
                <w:kern w:val="0"/>
                <w:sz w:val="24"/>
                <w:szCs w:val="24"/>
                <w:highlight w:val="none"/>
                <w14:textFill>
                  <w14:solidFill>
                    <w14:schemeClr w14:val="tx1"/>
                  </w14:solidFill>
                </w14:textFill>
              </w:rPr>
              <w:t>创业创新产业园基础设施建设项目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2022-2023</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96.08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87.19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市政类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徐家河高质量融合发展示范区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2022-2023</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1449.06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1101.27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广水地铁装备产业基地项目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89.39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89.39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苗木花卉产业用地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乡村振兴产业用地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22.53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22.53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三星村产业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三星村油茶基地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搬迁产业用地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农产品加工</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千户冲产业园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7.08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7.08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油茶基地接待中心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城郊工业园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10.94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10.94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返乡创业示范园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17.71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17.71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农副产品加工园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9.12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9.12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双剑扩能</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9.88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9.88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精细化工园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402.24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396.83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工业园东扩</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646.57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616.36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朝阳路延伸线公路两侧</w:t>
            </w:r>
            <w:r>
              <w:rPr>
                <w:rFonts w:ascii="仿宋" w:hAnsi="仿宋" w:eastAsia="仿宋"/>
                <w:color w:val="000000" w:themeColor="text1"/>
                <w:kern w:val="0"/>
                <w:sz w:val="24"/>
                <w:szCs w:val="24"/>
                <w:highlight w:val="none"/>
                <w14:textFill>
                  <w14:solidFill>
                    <w14:schemeClr w14:val="tx1"/>
                  </w14:solidFill>
                </w14:textFill>
              </w:rPr>
              <w:t>(</w:t>
            </w:r>
            <w:r>
              <w:rPr>
                <w:rFonts w:hint="eastAsia" w:ascii="仿宋" w:hAnsi="仿宋" w:eastAsia="仿宋"/>
                <w:color w:val="000000" w:themeColor="text1"/>
                <w:kern w:val="0"/>
                <w:sz w:val="24"/>
                <w:szCs w:val="24"/>
                <w:highlight w:val="none"/>
                <w14:textFill>
                  <w14:solidFill>
                    <w14:schemeClr w14:val="tx1"/>
                  </w14:solidFill>
                </w14:textFill>
              </w:rPr>
              <w:t>军民融合）</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273.54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254.7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新型建材产业园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46.67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46.67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中国高端风机制造基地项目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6.67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6.67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广水市工业综合物流园项目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鄂北杨寨综合物流园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w:t>
            </w:r>
            <w:r>
              <w:rPr>
                <w:rFonts w:hint="eastAsia" w:ascii="仿宋" w:hAnsi="仿宋" w:eastAsia="仿宋"/>
                <w:color w:val="000000" w:themeColor="text1"/>
                <w:kern w:val="0"/>
                <w:sz w:val="24"/>
                <w:szCs w:val="24"/>
                <w:highlight w:val="none"/>
                <w14:textFill>
                  <w14:solidFill>
                    <w14:schemeClr w14:val="tx1"/>
                  </w14:solidFill>
                </w14:textFill>
              </w:rPr>
              <w:t>万吨冷链物流基地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66.67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66.67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鄂北物流分拨中心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广水物流仓储配送中心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农贸产品综合交易市场建设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物流产业园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36.25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36.25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r>
              <w:rPr>
                <w:rFonts w:hint="eastAsia" w:ascii="仿宋" w:hAnsi="仿宋" w:eastAsia="仿宋"/>
                <w:color w:val="000000" w:themeColor="text1"/>
                <w:kern w:val="0"/>
                <w:sz w:val="24"/>
                <w:szCs w:val="24"/>
                <w:highlight w:val="none"/>
                <w:lang w:eastAsia="zh-CN"/>
                <w14:textFill>
                  <w14:solidFill>
                    <w14:schemeClr w14:val="tx1"/>
                  </w14:solidFill>
                </w14:textFill>
              </w:rPr>
              <w:t>一、二、三产业</w:t>
            </w:r>
            <w:r>
              <w:rPr>
                <w:rFonts w:hint="eastAsia" w:ascii="仿宋" w:hAnsi="仿宋" w:eastAsia="仿宋"/>
                <w:color w:val="000000" w:themeColor="text1"/>
                <w:kern w:val="0"/>
                <w:sz w:val="24"/>
                <w:szCs w:val="24"/>
                <w:highlight w:val="none"/>
                <w14:textFill>
                  <w14:solidFill>
                    <w14:schemeClr w14:val="tx1"/>
                  </w14:solidFill>
                </w14:textFill>
              </w:rPr>
              <w:t>融合国家示范园建设项目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电子商务创业园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广水市军民融合创新示范基地项目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虾稻共作，稻田综合种养改扩建项目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优质稻米产业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特色蔬菜产业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香菇等食用菌产业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茶叶产业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广水胭脂红鲜桃及猕猴桃等特色水果产业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155</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中药材产业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156</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大蒜产业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157</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甘薯马铃薯产业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158</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大蒜食品产业园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159</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甘薯马铃薯食品产业园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160</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南美对虾养殖产业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161</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百万亩油茶产业基地建设项目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162</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广水市多功能建设产业园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163</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军民融合发展示范区项目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164</w:t>
            </w:r>
          </w:p>
        </w:tc>
        <w:tc>
          <w:tcPr>
            <w:tcW w:w="52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产业类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广水市循环经济产业园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广水市城乡公益性安葬设施建设项目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176.36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171.54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广水市养老服务机构建设项目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21.47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17.21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广水市李店镇农村福利院</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广水市吴店镇农村福利院</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广水市应急抢险救援训练基地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4.16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广水市全域医疗健康升级项目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2022-2024</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23.73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17.47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湖北微笑职业技术培训基地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精神康护福利院和区域性失能供养</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7.34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7.34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区域性失能半失能特困人员供养服务中心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广水市加油站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10.16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10.16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福利中心护理提升项目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救助管理和未成年人救助保护中心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救助管理和未成年人救助保护中心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骆店污水处理厂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垃圾中转站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农贸市场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变电站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长岭天然气站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方店加油站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供电所</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公安业务用地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公共服务设施</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疫情防控中心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加油站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教育拓展中心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10.49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10.49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粮仓</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七里冲变电站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社会福利用地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12.78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12.78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升压站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太平派出所</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污水处理厂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4.45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4.45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园区加油站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屠宰场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医疗废物、危险废物处置设施建设项目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广水市公共配送中心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广水市广水街道办事处农贸市场建设项目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广水市烈士陵园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广水市应急管理局应急指挥中心建设项目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广水市应急物资储备中心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农村人居环境整治农村污水治理</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农村人居环境整治公共基础设施及配套建设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农村厕所革命</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广水市农村垃圾收集分类项目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马都司污水处理厂二期工程建设项目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应山污水处理厂扩能项目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广水市化工园工业废水处置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5G</w:t>
            </w:r>
            <w:r>
              <w:rPr>
                <w:rFonts w:hint="eastAsia" w:ascii="仿宋" w:hAnsi="仿宋" w:eastAsia="仿宋"/>
                <w:color w:val="000000" w:themeColor="text1"/>
                <w:kern w:val="0"/>
                <w:sz w:val="24"/>
                <w:szCs w:val="24"/>
                <w:highlight w:val="none"/>
                <w14:textFill>
                  <w14:solidFill>
                    <w14:schemeClr w14:val="tx1"/>
                  </w14:solidFill>
                </w14:textFill>
              </w:rPr>
              <w:t>基础设施和能源拓展基础设施建设项目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广水市马都司奥林匹克体育公园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公共服务类</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广水市动物卫生监督所办公场所及设备建设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农业类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中粮家佳康广水肉食品全产业链项目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2022-2023</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360.6</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353.96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农业类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广水市农产品批储加工产业链项目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353.52</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320.03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农业类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徐家河高质量融合发展示范区（农业）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18526.22</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广水市吴店镇革命旧址群红色旅游综合工程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2022-2023</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22.54</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广水市黄土关乡村振兴产业发展项目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2021-2023</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29.3</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27.37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月光海高质量融合发展示范区建设项目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3798.37</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224.91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中华山三潭创</w:t>
            </w:r>
            <w:r>
              <w:rPr>
                <w:rFonts w:ascii="仿宋" w:hAnsi="仿宋" w:eastAsia="仿宋"/>
                <w:color w:val="000000" w:themeColor="text1"/>
                <w:kern w:val="0"/>
                <w:sz w:val="24"/>
                <w:szCs w:val="24"/>
                <w:highlight w:val="none"/>
                <w14:textFill>
                  <w14:solidFill>
                    <w14:schemeClr w14:val="tx1"/>
                  </w14:solidFill>
                </w14:textFill>
              </w:rPr>
              <w:t>5A</w:t>
            </w:r>
            <w:r>
              <w:rPr>
                <w:rFonts w:hint="eastAsia" w:ascii="仿宋" w:hAnsi="仿宋" w:eastAsia="仿宋"/>
                <w:color w:val="000000" w:themeColor="text1"/>
                <w:kern w:val="0"/>
                <w:sz w:val="24"/>
                <w:szCs w:val="24"/>
                <w:highlight w:val="none"/>
                <w14:textFill>
                  <w14:solidFill>
                    <w14:schemeClr w14:val="tx1"/>
                  </w14:solidFill>
                </w14:textFill>
              </w:rPr>
              <w:t>风景区建设项目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911.52</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807.2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寿山景区建设项目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319.01</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291.38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广水市全域旅游高质量发展项目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203.17</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192.54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广水市全域旅游基础补短板建设项目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9.98</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8.28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广水市奥林匹克广场建设项目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20.05</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19.62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两馆一场项目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12.74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12.74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乡村振兴生态旅游建设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2021-2026</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展览馆</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2021-2027</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吴家桥观光路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2021-2028</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彭家湾广场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2021-2029</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文化广场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2021-2030</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6.42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6.42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长辛村旅游</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2021-2031</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应台中学文化广场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2021-2032</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茶旅小镇</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2021-2033</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24.58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24.58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生态公园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9.61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9.61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湿地公园活动场地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2021-2036</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游客接待中心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2021-2037</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5.87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5.87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游客停车场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2021-2038</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军事特色小镇</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2021-2039</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53.01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53.01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239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广水市多肉艺术小镇</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2021-2040</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353.7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332.62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应山老城记忆</w:t>
            </w:r>
            <w:r>
              <w:rPr>
                <w:rFonts w:ascii="仿宋" w:hAnsi="仿宋" w:eastAsia="仿宋"/>
                <w:color w:val="000000" w:themeColor="text1"/>
                <w:kern w:val="0"/>
                <w:sz w:val="24"/>
                <w:szCs w:val="24"/>
                <w:highlight w:val="none"/>
                <w14:textFill>
                  <w14:solidFill>
                    <w14:schemeClr w14:val="tx1"/>
                  </w14:solidFill>
                </w14:textFill>
              </w:rPr>
              <w:t>-</w:t>
            </w:r>
            <w:r>
              <w:rPr>
                <w:rFonts w:hint="eastAsia" w:ascii="仿宋" w:hAnsi="仿宋" w:eastAsia="仿宋"/>
                <w:color w:val="000000" w:themeColor="text1"/>
                <w:kern w:val="0"/>
                <w:sz w:val="24"/>
                <w:szCs w:val="24"/>
                <w:highlight w:val="none"/>
                <w14:textFill>
                  <w14:solidFill>
                    <w14:schemeClr w14:val="tx1"/>
                  </w14:solidFill>
                </w14:textFill>
              </w:rPr>
              <w:t>印台文旅商业综合体建设项目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100.63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100.63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广水市公共文化服务能力提升工程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湖北广水徐家河国家级湿地公园建设项目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11.23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11.23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广播电视文化旅游监测中心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武胜关生态文化旅游试验区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三土门村桐柏区党委、行政公署、军区成立旧址群</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广水市徐家河旅游度假区整体开发</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芦花湾湖北省旅游名村</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桃源村</w:t>
            </w:r>
            <w:r>
              <w:rPr>
                <w:rFonts w:ascii="仿宋" w:hAnsi="仿宋" w:eastAsia="仿宋"/>
                <w:color w:val="000000" w:themeColor="text1"/>
                <w:kern w:val="0"/>
                <w:sz w:val="24"/>
                <w:szCs w:val="24"/>
                <w:highlight w:val="none"/>
                <w14:textFill>
                  <w14:solidFill>
                    <w14:schemeClr w14:val="tx1"/>
                  </w14:solidFill>
                </w14:textFill>
              </w:rPr>
              <w:t>3A</w:t>
            </w:r>
            <w:r>
              <w:rPr>
                <w:rFonts w:hint="eastAsia" w:ascii="仿宋" w:hAnsi="仿宋" w:eastAsia="仿宋"/>
                <w:color w:val="000000" w:themeColor="text1"/>
                <w:kern w:val="0"/>
                <w:sz w:val="24"/>
                <w:szCs w:val="24"/>
                <w:highlight w:val="none"/>
                <w14:textFill>
                  <w14:solidFill>
                    <w14:schemeClr w14:val="tx1"/>
                  </w14:solidFill>
                </w14:textFill>
              </w:rPr>
              <w:t>景区建设项目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249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广水市梦里花溪二、三、四期建设项目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广水群岛（徐家河）旅游区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蔡河</w:t>
            </w:r>
            <w:r>
              <w:rPr>
                <w:rFonts w:ascii="仿宋" w:hAnsi="仿宋" w:eastAsia="仿宋"/>
                <w:color w:val="000000" w:themeColor="text1"/>
                <w:kern w:val="0"/>
                <w:sz w:val="24"/>
                <w:szCs w:val="24"/>
                <w:highlight w:val="none"/>
                <w14:textFill>
                  <w14:solidFill>
                    <w14:schemeClr w14:val="tx1"/>
                  </w14:solidFill>
                </w14:textFill>
              </w:rPr>
              <w:t>50</w:t>
            </w:r>
            <w:r>
              <w:rPr>
                <w:rFonts w:hint="eastAsia" w:ascii="仿宋" w:hAnsi="仿宋" w:eastAsia="仿宋"/>
                <w:color w:val="000000" w:themeColor="text1"/>
                <w:kern w:val="0"/>
                <w:sz w:val="24"/>
                <w:szCs w:val="24"/>
                <w:highlight w:val="none"/>
                <w14:textFill>
                  <w14:solidFill>
                    <w14:schemeClr w14:val="tx1"/>
                  </w14:solidFill>
                </w14:textFill>
              </w:rPr>
              <w:t>里生态文化长廊</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广水市印台山生态文化乐园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广水运动休闲康养小镇</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文旅类</w:t>
            </w:r>
          </w:p>
        </w:tc>
        <w:tc>
          <w:tcPr>
            <w:tcW w:w="177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广水市迷彩飞客小镇</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广水新煌循环资源再生利用项目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43.53</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42.57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湿地科研中心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22.44</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碳汇实验室</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1050.37</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郝店训练场扩建项目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2023-2025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3162.02</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空降兵搬迁项目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2022-2035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264.53</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221.84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广水市军民融合军事搬迁安置区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2022-2025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145.9</w:t>
            </w:r>
          </w:p>
        </w:tc>
        <w:tc>
          <w:tcPr>
            <w:tcW w:w="650"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130.01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九年一贯制义务教育学校</w:t>
            </w:r>
            <w:r>
              <w:rPr>
                <w:rFonts w:ascii="仿宋" w:hAnsi="仿宋" w:eastAsia="仿宋"/>
                <w:color w:val="000000" w:themeColor="text1"/>
                <w:kern w:val="0"/>
                <w:sz w:val="24"/>
                <w:szCs w:val="24"/>
                <w:highlight w:val="none"/>
                <w14:textFill>
                  <w14:solidFill>
                    <w14:schemeClr w14:val="tx1"/>
                  </w14:solidFill>
                </w14:textFill>
              </w:rPr>
              <w:t>1</w:t>
            </w:r>
            <w:r>
              <w:rPr>
                <w:rFonts w:hint="eastAsia" w:ascii="仿宋" w:hAnsi="仿宋" w:eastAsia="仿宋"/>
                <w:color w:val="000000" w:themeColor="text1"/>
                <w:kern w:val="0"/>
                <w:sz w:val="24"/>
                <w:szCs w:val="24"/>
                <w:highlight w:val="none"/>
                <w14:textFill>
                  <w14:solidFill>
                    <w14:schemeClr w14:val="tx1"/>
                  </w14:solidFill>
                </w14:textFill>
              </w:rPr>
              <w:t>所及附属幼儿园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5.67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5.67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新建普通高中</w:t>
            </w:r>
            <w:r>
              <w:rPr>
                <w:rFonts w:ascii="仿宋" w:hAnsi="仿宋" w:eastAsia="仿宋"/>
                <w:color w:val="000000" w:themeColor="text1"/>
                <w:kern w:val="0"/>
                <w:sz w:val="24"/>
                <w:szCs w:val="24"/>
                <w:highlight w:val="none"/>
                <w14:textFill>
                  <w14:solidFill>
                    <w14:schemeClr w14:val="tx1"/>
                  </w14:solidFill>
                </w14:textFill>
              </w:rPr>
              <w:t>1</w:t>
            </w:r>
            <w:r>
              <w:rPr>
                <w:rFonts w:hint="eastAsia" w:ascii="仿宋" w:hAnsi="仿宋" w:eastAsia="仿宋"/>
                <w:color w:val="000000" w:themeColor="text1"/>
                <w:kern w:val="0"/>
                <w:sz w:val="24"/>
                <w:szCs w:val="24"/>
                <w:highlight w:val="none"/>
                <w14:textFill>
                  <w14:solidFill>
                    <w14:schemeClr w14:val="tx1"/>
                  </w14:solidFill>
                </w14:textFill>
              </w:rPr>
              <w:t>所</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10.00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城郊办事处新建小学（配建幼儿园）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4.67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4.67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应山办事处新建小学（配建幼儿园）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4.67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4.67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十里清水桥新建九年一贯制学校（配建幼儿园）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8.00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各镇办学校基础设施建设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35.50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城区镇区改扩建幼儿园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吴店中学</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杨寨储备中心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重点扶贫项目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武胜关二手车</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广水市祠堂建设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13.14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13.14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部队军事用地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219.87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219.87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乡村振兴发展用地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26.86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26.86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村镇企业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研学基地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9.63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9.63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创客空间</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娘子山</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279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安置区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高岗山生态建设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油榨桥村停车场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八里岔村生态建设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1.81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服务区建设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电商大楼</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石桥村南、北站建设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军事训练停车场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杨河村水泥砖厂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韩家堰村生态开发</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搬迁安置区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10.51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包装厂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家河新型建材</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城投公司</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村民活动中心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党群服务中心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地产项目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东日停车场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儿童游乐场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发展备用地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229.06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229.06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富友商业用地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7.36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7.36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商服用地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54.79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54.79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工业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538.99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538.99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碎石场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公园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19.93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19.93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广办工业用地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规划居住用地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6.22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6.22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木材行</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4.44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4.44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烟草局</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规划用地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10.85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10.85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309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恒荣物流</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湖北瑞生</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花田故事</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8.02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8.02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华丽面业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华润门窗</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6.05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6.05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居住用地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36.62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36.62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康养中心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冷饮加工厂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李家大院活动中心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0.78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利民液化气</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粮油加工厂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铝合金生产</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梅庙游客服务中心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民宿用地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澎家湾环库路</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平林天然气站</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七里冲山庄</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肉联厂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生态农庄</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生态园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水上乐园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太平电力</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党员群众服务中心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檀树生态农庄</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天然气厂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物流仓储预留用地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0.92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0.92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小学扩建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1.96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小学幼儿园扩建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0.65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徐家河国家湿地公园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9.28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9.28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学校</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药厂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0.27</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0.27</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友谊大道</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3.10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幼儿园</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预留工业用地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104.34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104.34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袁总项目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0.13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镇级规划</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政府新区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1.19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制塑厂</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住宅用地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综合楼</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349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足球场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足球工业备用地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怡邦电子工业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0.25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中学扩建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0.45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政府预留用地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8.76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8.76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预留居住用地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15.81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15.81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医养中心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2.19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杨平路两侧预留用地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1.32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文化旅游用地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0.81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停车场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1.74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359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十里宝林</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4.02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4.02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十里宝林</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10.43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10.43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生态农业</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平</w:t>
            </w:r>
            <w:r>
              <w:rPr>
                <w:rFonts w:hint="eastAsia" w:ascii="仿宋" w:hAnsi="仿宋" w:eastAsia="仿宋" w:cs="微软雅黑"/>
                <w:color w:val="000000" w:themeColor="text1"/>
                <w:kern w:val="0"/>
                <w:sz w:val="24"/>
                <w:szCs w:val="24"/>
                <w:highlight w:val="none"/>
                <w14:textFill>
                  <w14:solidFill>
                    <w14:schemeClr w14:val="tx1"/>
                  </w14:solidFill>
                </w14:textFill>
              </w:rPr>
              <w:t>洑</w:t>
            </w:r>
            <w:r>
              <w:rPr>
                <w:rFonts w:hint="eastAsia" w:ascii="仿宋" w:hAnsi="仿宋" w:eastAsia="仿宋" w:cs="仿宋_GB2312"/>
                <w:color w:val="000000" w:themeColor="text1"/>
                <w:kern w:val="0"/>
                <w:sz w:val="24"/>
                <w:szCs w:val="24"/>
                <w:highlight w:val="none"/>
                <w14:textFill>
                  <w14:solidFill>
                    <w14:schemeClr w14:val="tx1"/>
                  </w14:solidFill>
                </w14:textFill>
              </w:rPr>
              <w:t>路两侧发展用地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5.33</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5.33</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农家乐</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2.89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嘉和特色农业有限公司</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14.18</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14.18</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恒润科技</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7.59</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7.59</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河道两侧预留发展用地</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2.55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367</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广水市单亲母亲农民养殖合作社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8.71</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8.71</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368</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集中开采区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2021-2027</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333.26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333.26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369</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丰宝工业园区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2021-2028</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3.25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370</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跑马场</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2021-2031</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1.20</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1.20</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371</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广办坨子桥</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2021-2032</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2.96</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2.96</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372</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融媒体中心整体建设项目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0.5</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373</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高中改扩建及职教中心建设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374</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农贸产品综合交易市场建设</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4</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375</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应广城区日间照料中心</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1.62</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1.62</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23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376</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其他</w:t>
            </w:r>
          </w:p>
        </w:tc>
        <w:tc>
          <w:tcPr>
            <w:tcW w:w="177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left"/>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中国绿色能源示范市建设项目</w:t>
            </w:r>
          </w:p>
        </w:tc>
        <w:tc>
          <w:tcPr>
            <w:tcW w:w="40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新建</w:t>
            </w:r>
          </w:p>
        </w:tc>
        <w:tc>
          <w:tcPr>
            <w:tcW w:w="59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2021-2025</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ascii="仿宋" w:hAnsi="仿宋" w:eastAsia="仿宋"/>
                <w:color w:val="000000" w:themeColor="text1"/>
                <w:kern w:val="0"/>
                <w:sz w:val="24"/>
                <w:szCs w:val="24"/>
                <w:highlight w:val="none"/>
                <w14:textFill>
                  <w14:solidFill>
                    <w14:schemeClr w14:val="tx1"/>
                  </w14:solidFill>
                </w14:textFill>
              </w:rPr>
              <w:t>/</w:t>
            </w:r>
          </w:p>
        </w:tc>
        <w:tc>
          <w:tcPr>
            <w:tcW w:w="411"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kern w:val="0"/>
                <w:sz w:val="24"/>
                <w:szCs w:val="24"/>
                <w:highlight w:val="none"/>
                <w14:textFill>
                  <w14:solidFill>
                    <w14:schemeClr w14:val="tx1"/>
                  </w14:solidFill>
                </w14:textFill>
              </w:rPr>
              <w:t>广水市</w:t>
            </w:r>
          </w:p>
        </w:tc>
      </w:tr>
      <w:tr>
        <w:tblPrEx>
          <w:tblCellMar>
            <w:top w:w="0" w:type="dxa"/>
            <w:left w:w="108" w:type="dxa"/>
            <w:bottom w:w="0" w:type="dxa"/>
            <w:right w:w="108" w:type="dxa"/>
          </w:tblCellMar>
        </w:tblPrEx>
        <w:trPr>
          <w:trHeight w:val="454" w:hRule="exact"/>
        </w:trPr>
        <w:tc>
          <w:tcPr>
            <w:tcW w:w="354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总计</w:t>
            </w:r>
          </w:p>
        </w:tc>
        <w:tc>
          <w:tcPr>
            <w:tcW w:w="39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ascii="仿宋" w:hAnsi="仿宋" w:eastAsia="仿宋"/>
                <w:b/>
                <w:bCs/>
                <w:color w:val="000000" w:themeColor="text1"/>
                <w:kern w:val="0"/>
                <w:sz w:val="24"/>
                <w:szCs w:val="24"/>
                <w:highlight w:val="none"/>
                <w14:textFill>
                  <w14:solidFill>
                    <w14:schemeClr w14:val="tx1"/>
                  </w14:solidFill>
                </w14:textFill>
              </w:rPr>
              <w:t>47229.95</w:t>
            </w:r>
          </w:p>
        </w:tc>
        <w:tc>
          <w:tcPr>
            <w:tcW w:w="65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仿宋" w:hAnsi="仿宋" w:eastAsia="仿宋"/>
                <w:b/>
                <w:bCs/>
                <w:color w:val="000000" w:themeColor="text1"/>
                <w:kern w:val="0"/>
                <w:sz w:val="24"/>
                <w:szCs w:val="24"/>
                <w:highlight w:val="none"/>
                <w14:textFill>
                  <w14:solidFill>
                    <w14:schemeClr w14:val="tx1"/>
                  </w14:solidFill>
                </w14:textFill>
              </w:rPr>
            </w:pPr>
            <w:r>
              <w:rPr>
                <w:rFonts w:ascii="仿宋" w:hAnsi="仿宋" w:eastAsia="仿宋"/>
                <w:b/>
                <w:bCs/>
                <w:color w:val="000000" w:themeColor="text1"/>
                <w:kern w:val="0"/>
                <w:sz w:val="24"/>
                <w:szCs w:val="24"/>
                <w:highlight w:val="none"/>
                <w14:textFill>
                  <w14:solidFill>
                    <w14:schemeClr w14:val="tx1"/>
                  </w14:solidFill>
                </w14:textFill>
              </w:rPr>
              <w:t>15040.70</w:t>
            </w:r>
          </w:p>
        </w:tc>
        <w:tc>
          <w:tcPr>
            <w:tcW w:w="411"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jc w:val="center"/>
              <w:rPr>
                <w:rFonts w:ascii="仿宋" w:hAnsi="仿宋" w:eastAsia="仿宋" w:cs="宋体"/>
                <w:b/>
                <w:bCs/>
                <w:color w:val="000000" w:themeColor="text1"/>
                <w:kern w:val="0"/>
                <w:sz w:val="24"/>
                <w:szCs w:val="24"/>
                <w:highlight w:val="none"/>
                <w14:textFill>
                  <w14:solidFill>
                    <w14:schemeClr w14:val="tx1"/>
                  </w14:solidFill>
                </w14:textFill>
              </w:rPr>
            </w:pPr>
            <w:r>
              <w:rPr>
                <w:rFonts w:hint="eastAsia" w:ascii="仿宋" w:hAnsi="仿宋" w:eastAsia="仿宋" w:cs="宋体"/>
                <w:b/>
                <w:bCs/>
                <w:color w:val="000000" w:themeColor="text1"/>
                <w:kern w:val="0"/>
                <w:sz w:val="24"/>
                <w:szCs w:val="24"/>
                <w:highlight w:val="none"/>
                <w14:textFill>
                  <w14:solidFill>
                    <w14:schemeClr w14:val="tx1"/>
                  </w14:solidFill>
                </w14:textFill>
              </w:rPr>
              <w:t>——</w:t>
            </w:r>
          </w:p>
        </w:tc>
      </w:tr>
    </w:tbl>
    <w:p>
      <w:pPr>
        <w:rPr>
          <w:rFonts w:ascii="Times New Roman" w:hAnsi="Times New Roman" w:eastAsia="仿宋"/>
          <w:color w:val="000000" w:themeColor="text1"/>
          <w:sz w:val="20"/>
          <w:szCs w:val="20"/>
          <w:highlight w:val="none"/>
          <w14:textFill>
            <w14:solidFill>
              <w14:schemeClr w14:val="tx1"/>
            </w14:solidFill>
          </w14:textFill>
        </w:rPr>
      </w:pPr>
    </w:p>
    <w:p>
      <w:pPr>
        <w:rPr>
          <w:color w:val="000000" w:themeColor="text1"/>
          <w:highlight w:val="none"/>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81" w:charSpace="0"/>
        </w:sectPr>
      </w:pPr>
    </w:p>
    <w:p>
      <w:pPr>
        <w:tabs>
          <w:tab w:val="left" w:pos="1008"/>
        </w:tabs>
        <w:rPr>
          <w:color w:val="000000" w:themeColor="text1"/>
          <w:szCs w:val="28"/>
          <w:highlight w:val="none"/>
          <w14:textFill>
            <w14:solidFill>
              <w14:schemeClr w14:val="tx1"/>
            </w14:solidFill>
          </w14:textFill>
        </w:rPr>
      </w:pPr>
    </w:p>
    <w:sectPr>
      <w:pgSz w:w="11906" w:h="16838"/>
      <w:pgMar w:top="1440" w:right="1800" w:bottom="1440" w:left="1800" w:header="851" w:footer="992" w:gutter="0"/>
      <w:pgNumType w:fmt="decimal"/>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E4D67"/>
    <w:multiLevelType w:val="singleLevel"/>
    <w:tmpl w:val="83AE4D67"/>
    <w:lvl w:ilvl="0" w:tentative="0">
      <w:start w:val="1"/>
      <w:numFmt w:val="decimalEnclosedCircleChinese"/>
      <w:suff w:val="nothing"/>
      <w:lvlText w:val="%1　"/>
      <w:lvlJc w:val="left"/>
      <w:pPr>
        <w:ind w:left="0" w:firstLine="400"/>
      </w:pPr>
      <w:rPr>
        <w:rFonts w:hint="eastAsia"/>
      </w:rPr>
    </w:lvl>
  </w:abstractNum>
  <w:abstractNum w:abstractNumId="1">
    <w:nsid w:val="8C44845E"/>
    <w:multiLevelType w:val="singleLevel"/>
    <w:tmpl w:val="8C44845E"/>
    <w:lvl w:ilvl="0" w:tentative="0">
      <w:start w:val="1"/>
      <w:numFmt w:val="decimalEnclosedCircleChinese"/>
      <w:suff w:val="nothing"/>
      <w:lvlText w:val="%1　"/>
      <w:lvlJc w:val="left"/>
      <w:pPr>
        <w:ind w:left="0" w:firstLine="400"/>
      </w:pPr>
      <w:rPr>
        <w:rFonts w:hint="eastAsia"/>
      </w:rPr>
    </w:lvl>
  </w:abstractNum>
  <w:abstractNum w:abstractNumId="2">
    <w:nsid w:val="BC7AF346"/>
    <w:multiLevelType w:val="singleLevel"/>
    <w:tmpl w:val="BC7AF346"/>
    <w:lvl w:ilvl="0" w:tentative="0">
      <w:start w:val="1"/>
      <w:numFmt w:val="decimalEnclosedCircleChinese"/>
      <w:suff w:val="nothing"/>
      <w:lvlText w:val="%1　"/>
      <w:lvlJc w:val="left"/>
      <w:pPr>
        <w:ind w:left="160" w:firstLine="400"/>
      </w:pPr>
      <w:rPr>
        <w:rFonts w:hint="eastAsia"/>
      </w:rPr>
    </w:lvl>
  </w:abstractNum>
  <w:abstractNum w:abstractNumId="3">
    <w:nsid w:val="BF1C848E"/>
    <w:multiLevelType w:val="singleLevel"/>
    <w:tmpl w:val="BF1C848E"/>
    <w:lvl w:ilvl="0" w:tentative="0">
      <w:start w:val="1"/>
      <w:numFmt w:val="decimalEnclosedCircleChinese"/>
      <w:suff w:val="nothing"/>
      <w:lvlText w:val="%1　"/>
      <w:lvlJc w:val="left"/>
      <w:pPr>
        <w:ind w:left="0" w:firstLine="400"/>
      </w:pPr>
      <w:rPr>
        <w:rFonts w:hint="eastAsia"/>
      </w:rPr>
    </w:lvl>
  </w:abstractNum>
  <w:abstractNum w:abstractNumId="4">
    <w:nsid w:val="C1521292"/>
    <w:multiLevelType w:val="singleLevel"/>
    <w:tmpl w:val="C1521292"/>
    <w:lvl w:ilvl="0" w:tentative="0">
      <w:start w:val="1"/>
      <w:numFmt w:val="decimalEnclosedCircleChinese"/>
      <w:suff w:val="nothing"/>
      <w:lvlText w:val="%1　"/>
      <w:lvlJc w:val="left"/>
      <w:pPr>
        <w:ind w:left="0" w:firstLine="400"/>
      </w:pPr>
      <w:rPr>
        <w:rFonts w:hint="eastAsia"/>
      </w:rPr>
    </w:lvl>
  </w:abstractNum>
  <w:abstractNum w:abstractNumId="5">
    <w:nsid w:val="C33EA71B"/>
    <w:multiLevelType w:val="singleLevel"/>
    <w:tmpl w:val="C33EA71B"/>
    <w:lvl w:ilvl="0" w:tentative="0">
      <w:start w:val="1"/>
      <w:numFmt w:val="decimal"/>
      <w:lvlText w:val="(%1)"/>
      <w:lvlJc w:val="left"/>
      <w:pPr>
        <w:ind w:left="425" w:hanging="425"/>
      </w:pPr>
      <w:rPr>
        <w:rFonts w:hint="default"/>
      </w:rPr>
    </w:lvl>
  </w:abstractNum>
  <w:abstractNum w:abstractNumId="6">
    <w:nsid w:val="C5B06C1C"/>
    <w:multiLevelType w:val="singleLevel"/>
    <w:tmpl w:val="C5B06C1C"/>
    <w:lvl w:ilvl="0" w:tentative="0">
      <w:start w:val="1"/>
      <w:numFmt w:val="decimalEnclosedCircleChinese"/>
      <w:suff w:val="nothing"/>
      <w:lvlText w:val="%1　"/>
      <w:lvlJc w:val="left"/>
      <w:pPr>
        <w:ind w:left="0" w:firstLine="400"/>
      </w:pPr>
      <w:rPr>
        <w:rFonts w:hint="eastAsia"/>
      </w:rPr>
    </w:lvl>
  </w:abstractNum>
  <w:abstractNum w:abstractNumId="7">
    <w:nsid w:val="D695F000"/>
    <w:multiLevelType w:val="singleLevel"/>
    <w:tmpl w:val="D695F000"/>
    <w:lvl w:ilvl="0" w:tentative="0">
      <w:start w:val="1"/>
      <w:numFmt w:val="decimalEnclosedCircleChinese"/>
      <w:suff w:val="nothing"/>
      <w:lvlText w:val="%1　"/>
      <w:lvlJc w:val="left"/>
      <w:pPr>
        <w:ind w:left="0" w:firstLine="400"/>
      </w:pPr>
      <w:rPr>
        <w:rFonts w:hint="eastAsia"/>
      </w:rPr>
    </w:lvl>
  </w:abstractNum>
  <w:abstractNum w:abstractNumId="8">
    <w:nsid w:val="F6937E39"/>
    <w:multiLevelType w:val="singleLevel"/>
    <w:tmpl w:val="F6937E39"/>
    <w:lvl w:ilvl="0" w:tentative="0">
      <w:start w:val="1"/>
      <w:numFmt w:val="bullet"/>
      <w:lvlText w:val=""/>
      <w:lvlJc w:val="left"/>
      <w:pPr>
        <w:ind w:left="420" w:hanging="420"/>
      </w:pPr>
      <w:rPr>
        <w:rFonts w:hint="default" w:ascii="Wingdings" w:hAnsi="Wingdings"/>
      </w:rPr>
    </w:lvl>
  </w:abstractNum>
  <w:abstractNum w:abstractNumId="9">
    <w:nsid w:val="FB4F91A7"/>
    <w:multiLevelType w:val="singleLevel"/>
    <w:tmpl w:val="FB4F91A7"/>
    <w:lvl w:ilvl="0" w:tentative="0">
      <w:start w:val="1"/>
      <w:numFmt w:val="decimalEnclosedCircleChinese"/>
      <w:suff w:val="nothing"/>
      <w:lvlText w:val="%1　"/>
      <w:lvlJc w:val="left"/>
      <w:pPr>
        <w:ind w:left="0" w:firstLine="400"/>
      </w:pPr>
      <w:rPr>
        <w:rFonts w:hint="eastAsia"/>
      </w:rPr>
    </w:lvl>
  </w:abstractNum>
  <w:abstractNum w:abstractNumId="10">
    <w:nsid w:val="03F15686"/>
    <w:multiLevelType w:val="multilevel"/>
    <w:tmpl w:val="03F1568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6FEC295"/>
    <w:multiLevelType w:val="singleLevel"/>
    <w:tmpl w:val="06FEC295"/>
    <w:lvl w:ilvl="0" w:tentative="0">
      <w:start w:val="2"/>
      <w:numFmt w:val="decimal"/>
      <w:suff w:val="space"/>
      <w:lvlText w:val="第%1节"/>
      <w:lvlJc w:val="left"/>
    </w:lvl>
  </w:abstractNum>
  <w:abstractNum w:abstractNumId="12">
    <w:nsid w:val="1084E4DD"/>
    <w:multiLevelType w:val="singleLevel"/>
    <w:tmpl w:val="1084E4DD"/>
    <w:lvl w:ilvl="0" w:tentative="0">
      <w:start w:val="1"/>
      <w:numFmt w:val="decimalEnclosedCircleChinese"/>
      <w:suff w:val="nothing"/>
      <w:lvlText w:val="%1　"/>
      <w:lvlJc w:val="left"/>
      <w:pPr>
        <w:ind w:left="0" w:firstLine="400"/>
      </w:pPr>
      <w:rPr>
        <w:rFonts w:hint="eastAsia"/>
      </w:rPr>
    </w:lvl>
  </w:abstractNum>
  <w:abstractNum w:abstractNumId="13">
    <w:nsid w:val="206D6EA8"/>
    <w:multiLevelType w:val="singleLevel"/>
    <w:tmpl w:val="206D6EA8"/>
    <w:lvl w:ilvl="0" w:tentative="0">
      <w:start w:val="1"/>
      <w:numFmt w:val="decimalEnclosedCircleChinese"/>
      <w:suff w:val="nothing"/>
      <w:lvlText w:val="%1　"/>
      <w:lvlJc w:val="left"/>
      <w:pPr>
        <w:ind w:left="0" w:firstLine="400"/>
      </w:pPr>
      <w:rPr>
        <w:rFonts w:hint="eastAsia"/>
      </w:rPr>
    </w:lvl>
  </w:abstractNum>
  <w:abstractNum w:abstractNumId="14">
    <w:nsid w:val="331CF17F"/>
    <w:multiLevelType w:val="singleLevel"/>
    <w:tmpl w:val="331CF17F"/>
    <w:lvl w:ilvl="0" w:tentative="0">
      <w:start w:val="1"/>
      <w:numFmt w:val="decimalEnclosedCircleChinese"/>
      <w:suff w:val="nothing"/>
      <w:lvlText w:val="%1　"/>
      <w:lvlJc w:val="left"/>
      <w:pPr>
        <w:ind w:left="0" w:firstLine="400"/>
      </w:pPr>
      <w:rPr>
        <w:rFonts w:hint="eastAsia"/>
      </w:rPr>
    </w:lvl>
  </w:abstractNum>
  <w:abstractNum w:abstractNumId="15">
    <w:nsid w:val="51A48851"/>
    <w:multiLevelType w:val="singleLevel"/>
    <w:tmpl w:val="51A48851"/>
    <w:lvl w:ilvl="0" w:tentative="0">
      <w:start w:val="1"/>
      <w:numFmt w:val="decimalEnclosedCircleChinese"/>
      <w:suff w:val="nothing"/>
      <w:lvlText w:val="%1　"/>
      <w:lvlJc w:val="left"/>
      <w:pPr>
        <w:ind w:left="0" w:firstLine="400"/>
      </w:pPr>
      <w:rPr>
        <w:rFonts w:hint="eastAsia"/>
      </w:rPr>
    </w:lvl>
  </w:abstractNum>
  <w:abstractNum w:abstractNumId="16">
    <w:nsid w:val="51DECCB1"/>
    <w:multiLevelType w:val="singleLevel"/>
    <w:tmpl w:val="51DECCB1"/>
    <w:lvl w:ilvl="0" w:tentative="0">
      <w:start w:val="1"/>
      <w:numFmt w:val="decimalEnclosedCircleChinese"/>
      <w:suff w:val="nothing"/>
      <w:lvlText w:val="%1　"/>
      <w:lvlJc w:val="left"/>
      <w:pPr>
        <w:ind w:left="0" w:firstLine="400"/>
      </w:pPr>
      <w:rPr>
        <w:rFonts w:hint="eastAsia"/>
      </w:rPr>
    </w:lvl>
  </w:abstractNum>
  <w:abstractNum w:abstractNumId="17">
    <w:nsid w:val="5697CEF0"/>
    <w:multiLevelType w:val="singleLevel"/>
    <w:tmpl w:val="5697CEF0"/>
    <w:lvl w:ilvl="0" w:tentative="0">
      <w:start w:val="1"/>
      <w:numFmt w:val="decimalEnclosedCircleChinese"/>
      <w:suff w:val="nothing"/>
      <w:lvlText w:val="%1　"/>
      <w:lvlJc w:val="left"/>
      <w:pPr>
        <w:ind w:left="0" w:firstLine="400"/>
      </w:pPr>
      <w:rPr>
        <w:rFonts w:hint="eastAsia"/>
      </w:rPr>
    </w:lvl>
  </w:abstractNum>
  <w:abstractNum w:abstractNumId="18">
    <w:nsid w:val="6501B1CB"/>
    <w:multiLevelType w:val="singleLevel"/>
    <w:tmpl w:val="6501B1CB"/>
    <w:lvl w:ilvl="0" w:tentative="0">
      <w:start w:val="1"/>
      <w:numFmt w:val="decimalEnclosedCircleChinese"/>
      <w:suff w:val="nothing"/>
      <w:lvlText w:val="%1　"/>
      <w:lvlJc w:val="left"/>
      <w:pPr>
        <w:ind w:left="160" w:firstLine="400"/>
      </w:pPr>
      <w:rPr>
        <w:rFonts w:hint="eastAsia"/>
      </w:rPr>
    </w:lvl>
  </w:abstractNum>
  <w:abstractNum w:abstractNumId="19">
    <w:nsid w:val="78565000"/>
    <w:multiLevelType w:val="singleLevel"/>
    <w:tmpl w:val="78565000"/>
    <w:lvl w:ilvl="0" w:tentative="0">
      <w:start w:val="1"/>
      <w:numFmt w:val="decimalEnclosedCircleChinese"/>
      <w:suff w:val="nothing"/>
      <w:lvlText w:val="%1　"/>
      <w:lvlJc w:val="left"/>
      <w:pPr>
        <w:ind w:left="0" w:firstLine="400"/>
      </w:pPr>
      <w:rPr>
        <w:rFonts w:hint="eastAsia"/>
      </w:rPr>
    </w:lvl>
  </w:abstractNum>
  <w:abstractNum w:abstractNumId="20">
    <w:nsid w:val="7C747580"/>
    <w:multiLevelType w:val="singleLevel"/>
    <w:tmpl w:val="7C747580"/>
    <w:lvl w:ilvl="0" w:tentative="0">
      <w:start w:val="1"/>
      <w:numFmt w:val="decimalEnclosedCircleChinese"/>
      <w:suff w:val="nothing"/>
      <w:lvlText w:val="%1　"/>
      <w:lvlJc w:val="left"/>
      <w:pPr>
        <w:ind w:left="0" w:firstLine="400"/>
      </w:pPr>
      <w:rPr>
        <w:rFonts w:hint="eastAsia"/>
      </w:rPr>
    </w:lvl>
  </w:abstractNum>
  <w:abstractNum w:abstractNumId="21">
    <w:nsid w:val="7FED3F19"/>
    <w:multiLevelType w:val="singleLevel"/>
    <w:tmpl w:val="7FED3F19"/>
    <w:lvl w:ilvl="0" w:tentative="0">
      <w:start w:val="1"/>
      <w:numFmt w:val="decimalEnclosedCircleChinese"/>
      <w:suff w:val="nothing"/>
      <w:lvlText w:val="%1　"/>
      <w:lvlJc w:val="left"/>
      <w:pPr>
        <w:ind w:left="0" w:firstLine="400"/>
      </w:pPr>
      <w:rPr>
        <w:rFonts w:hint="eastAsia"/>
      </w:rPr>
    </w:lvl>
  </w:abstractNum>
  <w:num w:numId="1">
    <w:abstractNumId w:val="11"/>
  </w:num>
  <w:num w:numId="2">
    <w:abstractNumId w:val="5"/>
  </w:num>
  <w:num w:numId="3">
    <w:abstractNumId w:val="10"/>
  </w:num>
  <w:num w:numId="4">
    <w:abstractNumId w:val="19"/>
  </w:num>
  <w:num w:numId="5">
    <w:abstractNumId w:val="13"/>
  </w:num>
  <w:num w:numId="6">
    <w:abstractNumId w:val="6"/>
  </w:num>
  <w:num w:numId="7">
    <w:abstractNumId w:val="15"/>
  </w:num>
  <w:num w:numId="8">
    <w:abstractNumId w:val="1"/>
  </w:num>
  <w:num w:numId="9">
    <w:abstractNumId w:val="0"/>
  </w:num>
  <w:num w:numId="10">
    <w:abstractNumId w:val="2"/>
  </w:num>
  <w:num w:numId="11">
    <w:abstractNumId w:val="18"/>
  </w:num>
  <w:num w:numId="12">
    <w:abstractNumId w:val="12"/>
  </w:num>
  <w:num w:numId="13">
    <w:abstractNumId w:val="14"/>
  </w:num>
  <w:num w:numId="14">
    <w:abstractNumId w:val="8"/>
  </w:num>
  <w:num w:numId="15">
    <w:abstractNumId w:val="3"/>
  </w:num>
  <w:num w:numId="16">
    <w:abstractNumId w:val="9"/>
  </w:num>
  <w:num w:numId="17">
    <w:abstractNumId w:val="4"/>
  </w:num>
  <w:num w:numId="18">
    <w:abstractNumId w:val="20"/>
  </w:num>
  <w:num w:numId="19">
    <w:abstractNumId w:val="21"/>
  </w:num>
  <w:num w:numId="20">
    <w:abstractNumId w:val="17"/>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3MzdiNjNjMWRjZTcwZGM2N2U5ODU1ODY2ZmRhMDgifQ=="/>
  </w:docVars>
  <w:rsids>
    <w:rsidRoot w:val="00653E41"/>
    <w:rsid w:val="00001551"/>
    <w:rsid w:val="00006020"/>
    <w:rsid w:val="00007ACB"/>
    <w:rsid w:val="000100E0"/>
    <w:rsid w:val="00014DD1"/>
    <w:rsid w:val="00016BA7"/>
    <w:rsid w:val="00020475"/>
    <w:rsid w:val="0002119F"/>
    <w:rsid w:val="00023D9A"/>
    <w:rsid w:val="00023DBD"/>
    <w:rsid w:val="000300C6"/>
    <w:rsid w:val="00045799"/>
    <w:rsid w:val="00045BEC"/>
    <w:rsid w:val="00057E72"/>
    <w:rsid w:val="00066F89"/>
    <w:rsid w:val="00074BAF"/>
    <w:rsid w:val="0007653E"/>
    <w:rsid w:val="00082C32"/>
    <w:rsid w:val="00082F8B"/>
    <w:rsid w:val="000861F0"/>
    <w:rsid w:val="000A1E0A"/>
    <w:rsid w:val="000B0BDE"/>
    <w:rsid w:val="000B1681"/>
    <w:rsid w:val="000B17ED"/>
    <w:rsid w:val="000B21EA"/>
    <w:rsid w:val="000B4090"/>
    <w:rsid w:val="000E03AB"/>
    <w:rsid w:val="000E64C9"/>
    <w:rsid w:val="000F50F7"/>
    <w:rsid w:val="0010079F"/>
    <w:rsid w:val="0010178A"/>
    <w:rsid w:val="00103285"/>
    <w:rsid w:val="00113276"/>
    <w:rsid w:val="00116B71"/>
    <w:rsid w:val="001228A1"/>
    <w:rsid w:val="001306AA"/>
    <w:rsid w:val="00130E00"/>
    <w:rsid w:val="00134CB7"/>
    <w:rsid w:val="0013603A"/>
    <w:rsid w:val="00144A9B"/>
    <w:rsid w:val="0014681D"/>
    <w:rsid w:val="00151782"/>
    <w:rsid w:val="00156E58"/>
    <w:rsid w:val="00164521"/>
    <w:rsid w:val="00174D69"/>
    <w:rsid w:val="00181BB2"/>
    <w:rsid w:val="00191E4F"/>
    <w:rsid w:val="001A2BDC"/>
    <w:rsid w:val="001A61FC"/>
    <w:rsid w:val="001A7CDE"/>
    <w:rsid w:val="001B2600"/>
    <w:rsid w:val="001B6CA9"/>
    <w:rsid w:val="001C2EB9"/>
    <w:rsid w:val="001C3429"/>
    <w:rsid w:val="001C6317"/>
    <w:rsid w:val="001D4287"/>
    <w:rsid w:val="001D5F13"/>
    <w:rsid w:val="001E2411"/>
    <w:rsid w:val="001E6EB1"/>
    <w:rsid w:val="001F0705"/>
    <w:rsid w:val="001F25CD"/>
    <w:rsid w:val="001F34FA"/>
    <w:rsid w:val="001F4D47"/>
    <w:rsid w:val="001F637F"/>
    <w:rsid w:val="00213655"/>
    <w:rsid w:val="00221142"/>
    <w:rsid w:val="002314B6"/>
    <w:rsid w:val="002320DC"/>
    <w:rsid w:val="00236216"/>
    <w:rsid w:val="002428D5"/>
    <w:rsid w:val="0024482F"/>
    <w:rsid w:val="00246D97"/>
    <w:rsid w:val="00255A51"/>
    <w:rsid w:val="00260A95"/>
    <w:rsid w:val="00264EAA"/>
    <w:rsid w:val="0026703F"/>
    <w:rsid w:val="002706FB"/>
    <w:rsid w:val="0027142A"/>
    <w:rsid w:val="00272FCB"/>
    <w:rsid w:val="002767E6"/>
    <w:rsid w:val="00280DB7"/>
    <w:rsid w:val="00282166"/>
    <w:rsid w:val="00283016"/>
    <w:rsid w:val="00291AF8"/>
    <w:rsid w:val="00293270"/>
    <w:rsid w:val="002A2ACD"/>
    <w:rsid w:val="002A608C"/>
    <w:rsid w:val="002B12E6"/>
    <w:rsid w:val="002B1EA7"/>
    <w:rsid w:val="002B22E2"/>
    <w:rsid w:val="002B65E5"/>
    <w:rsid w:val="002C1B85"/>
    <w:rsid w:val="002C2DA1"/>
    <w:rsid w:val="002D6C74"/>
    <w:rsid w:val="002E4C9B"/>
    <w:rsid w:val="002E4E27"/>
    <w:rsid w:val="002E7857"/>
    <w:rsid w:val="002F310C"/>
    <w:rsid w:val="002F506C"/>
    <w:rsid w:val="002F764F"/>
    <w:rsid w:val="00311ADD"/>
    <w:rsid w:val="003152EA"/>
    <w:rsid w:val="00320EF4"/>
    <w:rsid w:val="00321EE4"/>
    <w:rsid w:val="003252E9"/>
    <w:rsid w:val="003275FC"/>
    <w:rsid w:val="00331255"/>
    <w:rsid w:val="00337F18"/>
    <w:rsid w:val="003424E9"/>
    <w:rsid w:val="003478F0"/>
    <w:rsid w:val="003506A7"/>
    <w:rsid w:val="00352C36"/>
    <w:rsid w:val="0035403D"/>
    <w:rsid w:val="00366A00"/>
    <w:rsid w:val="00366C67"/>
    <w:rsid w:val="00374ACC"/>
    <w:rsid w:val="00382402"/>
    <w:rsid w:val="00390CEC"/>
    <w:rsid w:val="00393C33"/>
    <w:rsid w:val="00396865"/>
    <w:rsid w:val="003A49FE"/>
    <w:rsid w:val="003A543B"/>
    <w:rsid w:val="003B7EB2"/>
    <w:rsid w:val="003C2DCA"/>
    <w:rsid w:val="003C3EAC"/>
    <w:rsid w:val="003D2F7A"/>
    <w:rsid w:val="003D6456"/>
    <w:rsid w:val="003E1EB1"/>
    <w:rsid w:val="003E456D"/>
    <w:rsid w:val="003E46B6"/>
    <w:rsid w:val="003F0088"/>
    <w:rsid w:val="003F0B57"/>
    <w:rsid w:val="00400311"/>
    <w:rsid w:val="00404BD0"/>
    <w:rsid w:val="004143D2"/>
    <w:rsid w:val="00416B72"/>
    <w:rsid w:val="004214A8"/>
    <w:rsid w:val="00422D87"/>
    <w:rsid w:val="00434951"/>
    <w:rsid w:val="00437D16"/>
    <w:rsid w:val="0045001B"/>
    <w:rsid w:val="00450D85"/>
    <w:rsid w:val="00451CE4"/>
    <w:rsid w:val="00461612"/>
    <w:rsid w:val="00463DB3"/>
    <w:rsid w:val="00464756"/>
    <w:rsid w:val="00470F68"/>
    <w:rsid w:val="004726AF"/>
    <w:rsid w:val="00473A4B"/>
    <w:rsid w:val="004753FC"/>
    <w:rsid w:val="00475E55"/>
    <w:rsid w:val="00482D56"/>
    <w:rsid w:val="00493298"/>
    <w:rsid w:val="00495DFB"/>
    <w:rsid w:val="0049784A"/>
    <w:rsid w:val="004A3B3E"/>
    <w:rsid w:val="004A44A3"/>
    <w:rsid w:val="004A7D5F"/>
    <w:rsid w:val="004B4067"/>
    <w:rsid w:val="004B492F"/>
    <w:rsid w:val="004C0D4F"/>
    <w:rsid w:val="004C5941"/>
    <w:rsid w:val="004C59EA"/>
    <w:rsid w:val="004C71FB"/>
    <w:rsid w:val="004D7D76"/>
    <w:rsid w:val="004E1664"/>
    <w:rsid w:val="004F6AD7"/>
    <w:rsid w:val="0050444D"/>
    <w:rsid w:val="00513D2A"/>
    <w:rsid w:val="00515B0F"/>
    <w:rsid w:val="005209F3"/>
    <w:rsid w:val="0052397A"/>
    <w:rsid w:val="005254EB"/>
    <w:rsid w:val="005254FB"/>
    <w:rsid w:val="005457FC"/>
    <w:rsid w:val="00546EC9"/>
    <w:rsid w:val="0055198D"/>
    <w:rsid w:val="00561F70"/>
    <w:rsid w:val="005647C8"/>
    <w:rsid w:val="00567BA1"/>
    <w:rsid w:val="00577EB5"/>
    <w:rsid w:val="0058327D"/>
    <w:rsid w:val="00592875"/>
    <w:rsid w:val="00595D80"/>
    <w:rsid w:val="005A68FD"/>
    <w:rsid w:val="005B49D3"/>
    <w:rsid w:val="005C3A8A"/>
    <w:rsid w:val="005C4BBC"/>
    <w:rsid w:val="005C696C"/>
    <w:rsid w:val="005D1180"/>
    <w:rsid w:val="005D1E16"/>
    <w:rsid w:val="005D2B7E"/>
    <w:rsid w:val="005D6EE6"/>
    <w:rsid w:val="005E00EF"/>
    <w:rsid w:val="005E0FEC"/>
    <w:rsid w:val="005E2393"/>
    <w:rsid w:val="005E51B4"/>
    <w:rsid w:val="005F18A3"/>
    <w:rsid w:val="00601564"/>
    <w:rsid w:val="00601C0C"/>
    <w:rsid w:val="00605402"/>
    <w:rsid w:val="00605441"/>
    <w:rsid w:val="006105A9"/>
    <w:rsid w:val="006179CE"/>
    <w:rsid w:val="00625AA7"/>
    <w:rsid w:val="00640CCC"/>
    <w:rsid w:val="00650D64"/>
    <w:rsid w:val="00653278"/>
    <w:rsid w:val="00653E41"/>
    <w:rsid w:val="006542ED"/>
    <w:rsid w:val="00657338"/>
    <w:rsid w:val="00662DA9"/>
    <w:rsid w:val="00662E9B"/>
    <w:rsid w:val="00674C6D"/>
    <w:rsid w:val="00674E72"/>
    <w:rsid w:val="00674EFB"/>
    <w:rsid w:val="00680411"/>
    <w:rsid w:val="00692A71"/>
    <w:rsid w:val="006940F2"/>
    <w:rsid w:val="00695893"/>
    <w:rsid w:val="006A0859"/>
    <w:rsid w:val="006A1DC6"/>
    <w:rsid w:val="006B1CCE"/>
    <w:rsid w:val="006B3443"/>
    <w:rsid w:val="006B39A2"/>
    <w:rsid w:val="006B6291"/>
    <w:rsid w:val="006C3386"/>
    <w:rsid w:val="006C43AF"/>
    <w:rsid w:val="006C6C3D"/>
    <w:rsid w:val="006D1D86"/>
    <w:rsid w:val="006D4425"/>
    <w:rsid w:val="006E03E5"/>
    <w:rsid w:val="006E3149"/>
    <w:rsid w:val="006E6C67"/>
    <w:rsid w:val="006F2686"/>
    <w:rsid w:val="006F29AD"/>
    <w:rsid w:val="006F7C40"/>
    <w:rsid w:val="006F7DE4"/>
    <w:rsid w:val="0070759E"/>
    <w:rsid w:val="00716638"/>
    <w:rsid w:val="00717694"/>
    <w:rsid w:val="0072146C"/>
    <w:rsid w:val="007309F5"/>
    <w:rsid w:val="00735509"/>
    <w:rsid w:val="00735DCA"/>
    <w:rsid w:val="00746328"/>
    <w:rsid w:val="00747BEB"/>
    <w:rsid w:val="00750CC3"/>
    <w:rsid w:val="00755FB6"/>
    <w:rsid w:val="0076037B"/>
    <w:rsid w:val="00762374"/>
    <w:rsid w:val="00762B19"/>
    <w:rsid w:val="00770DFF"/>
    <w:rsid w:val="00773A9C"/>
    <w:rsid w:val="007746D8"/>
    <w:rsid w:val="00777864"/>
    <w:rsid w:val="00777976"/>
    <w:rsid w:val="007828BD"/>
    <w:rsid w:val="00782A6C"/>
    <w:rsid w:val="00785C6D"/>
    <w:rsid w:val="00790A09"/>
    <w:rsid w:val="00792467"/>
    <w:rsid w:val="00795227"/>
    <w:rsid w:val="007A5A79"/>
    <w:rsid w:val="007A7F23"/>
    <w:rsid w:val="007B0975"/>
    <w:rsid w:val="007B737F"/>
    <w:rsid w:val="007C3A8E"/>
    <w:rsid w:val="007C5DE6"/>
    <w:rsid w:val="007C7B3C"/>
    <w:rsid w:val="007E09B5"/>
    <w:rsid w:val="007E3B98"/>
    <w:rsid w:val="007E7732"/>
    <w:rsid w:val="007F1491"/>
    <w:rsid w:val="00807846"/>
    <w:rsid w:val="008122E8"/>
    <w:rsid w:val="00812931"/>
    <w:rsid w:val="00816CA0"/>
    <w:rsid w:val="00820CC9"/>
    <w:rsid w:val="008233CC"/>
    <w:rsid w:val="00824685"/>
    <w:rsid w:val="00830E44"/>
    <w:rsid w:val="00836329"/>
    <w:rsid w:val="00844EF0"/>
    <w:rsid w:val="00846DC1"/>
    <w:rsid w:val="00850AD3"/>
    <w:rsid w:val="008520A2"/>
    <w:rsid w:val="0085635D"/>
    <w:rsid w:val="0086291A"/>
    <w:rsid w:val="00863D31"/>
    <w:rsid w:val="008669CE"/>
    <w:rsid w:val="00870958"/>
    <w:rsid w:val="00877A53"/>
    <w:rsid w:val="008802D2"/>
    <w:rsid w:val="0088282A"/>
    <w:rsid w:val="00885717"/>
    <w:rsid w:val="008A0576"/>
    <w:rsid w:val="008A1956"/>
    <w:rsid w:val="008A2B01"/>
    <w:rsid w:val="008B13E3"/>
    <w:rsid w:val="008B3882"/>
    <w:rsid w:val="008B6C18"/>
    <w:rsid w:val="008C2AD5"/>
    <w:rsid w:val="008C5FA8"/>
    <w:rsid w:val="008C69A6"/>
    <w:rsid w:val="008D30B5"/>
    <w:rsid w:val="008D3E68"/>
    <w:rsid w:val="008E3E14"/>
    <w:rsid w:val="008E68F4"/>
    <w:rsid w:val="008E701D"/>
    <w:rsid w:val="008F0F25"/>
    <w:rsid w:val="008F10C1"/>
    <w:rsid w:val="008F610F"/>
    <w:rsid w:val="00903C67"/>
    <w:rsid w:val="00903CA2"/>
    <w:rsid w:val="0090702F"/>
    <w:rsid w:val="00916867"/>
    <w:rsid w:val="009214C2"/>
    <w:rsid w:val="009232D6"/>
    <w:rsid w:val="00930760"/>
    <w:rsid w:val="00930C26"/>
    <w:rsid w:val="00937DC2"/>
    <w:rsid w:val="0094315F"/>
    <w:rsid w:val="009442C7"/>
    <w:rsid w:val="00946200"/>
    <w:rsid w:val="0095467E"/>
    <w:rsid w:val="00955267"/>
    <w:rsid w:val="0095570B"/>
    <w:rsid w:val="0096164B"/>
    <w:rsid w:val="0096259B"/>
    <w:rsid w:val="0096579C"/>
    <w:rsid w:val="00981E29"/>
    <w:rsid w:val="009846A9"/>
    <w:rsid w:val="009848DC"/>
    <w:rsid w:val="00987FB6"/>
    <w:rsid w:val="0099382A"/>
    <w:rsid w:val="00994047"/>
    <w:rsid w:val="00995B89"/>
    <w:rsid w:val="009979AB"/>
    <w:rsid w:val="009A2AA8"/>
    <w:rsid w:val="009B3758"/>
    <w:rsid w:val="009C29AC"/>
    <w:rsid w:val="009C2F4E"/>
    <w:rsid w:val="009C5E53"/>
    <w:rsid w:val="009D58E9"/>
    <w:rsid w:val="009D6B10"/>
    <w:rsid w:val="009D7BD0"/>
    <w:rsid w:val="009E31A6"/>
    <w:rsid w:val="009E6A08"/>
    <w:rsid w:val="009F1E98"/>
    <w:rsid w:val="009F6344"/>
    <w:rsid w:val="00A00395"/>
    <w:rsid w:val="00A01512"/>
    <w:rsid w:val="00A029A4"/>
    <w:rsid w:val="00A0669E"/>
    <w:rsid w:val="00A13DCB"/>
    <w:rsid w:val="00A211F2"/>
    <w:rsid w:val="00A27C8C"/>
    <w:rsid w:val="00A30DB7"/>
    <w:rsid w:val="00A410E6"/>
    <w:rsid w:val="00A42519"/>
    <w:rsid w:val="00A4347F"/>
    <w:rsid w:val="00A461EE"/>
    <w:rsid w:val="00A47AF5"/>
    <w:rsid w:val="00A47D5B"/>
    <w:rsid w:val="00A50CD1"/>
    <w:rsid w:val="00A51A13"/>
    <w:rsid w:val="00A561BB"/>
    <w:rsid w:val="00A6165A"/>
    <w:rsid w:val="00A659D4"/>
    <w:rsid w:val="00A65D6D"/>
    <w:rsid w:val="00A772B6"/>
    <w:rsid w:val="00A8027F"/>
    <w:rsid w:val="00A80823"/>
    <w:rsid w:val="00A81761"/>
    <w:rsid w:val="00A87A27"/>
    <w:rsid w:val="00AA163D"/>
    <w:rsid w:val="00AA39A8"/>
    <w:rsid w:val="00AB3AC0"/>
    <w:rsid w:val="00AB5495"/>
    <w:rsid w:val="00AB693D"/>
    <w:rsid w:val="00AC065D"/>
    <w:rsid w:val="00AC166D"/>
    <w:rsid w:val="00AC1DF6"/>
    <w:rsid w:val="00AC31C9"/>
    <w:rsid w:val="00AE0445"/>
    <w:rsid w:val="00AE0708"/>
    <w:rsid w:val="00AE2F88"/>
    <w:rsid w:val="00AE3614"/>
    <w:rsid w:val="00AE7516"/>
    <w:rsid w:val="00AF1E6A"/>
    <w:rsid w:val="00AF6CFB"/>
    <w:rsid w:val="00B00128"/>
    <w:rsid w:val="00B00D43"/>
    <w:rsid w:val="00B01E47"/>
    <w:rsid w:val="00B02A7D"/>
    <w:rsid w:val="00B0452B"/>
    <w:rsid w:val="00B050A1"/>
    <w:rsid w:val="00B129CE"/>
    <w:rsid w:val="00B167FD"/>
    <w:rsid w:val="00B1768F"/>
    <w:rsid w:val="00B20EEC"/>
    <w:rsid w:val="00B219E8"/>
    <w:rsid w:val="00B22704"/>
    <w:rsid w:val="00B25BE9"/>
    <w:rsid w:val="00B538EA"/>
    <w:rsid w:val="00B53D5C"/>
    <w:rsid w:val="00B565B1"/>
    <w:rsid w:val="00B609D3"/>
    <w:rsid w:val="00B64FE9"/>
    <w:rsid w:val="00B7019C"/>
    <w:rsid w:val="00B95123"/>
    <w:rsid w:val="00BA46C8"/>
    <w:rsid w:val="00BA7BCD"/>
    <w:rsid w:val="00BB01EA"/>
    <w:rsid w:val="00BB2C8A"/>
    <w:rsid w:val="00BB2E4F"/>
    <w:rsid w:val="00BB702F"/>
    <w:rsid w:val="00BB7CC5"/>
    <w:rsid w:val="00BC0B91"/>
    <w:rsid w:val="00BD03BA"/>
    <w:rsid w:val="00BD0CCE"/>
    <w:rsid w:val="00BD3106"/>
    <w:rsid w:val="00BD5715"/>
    <w:rsid w:val="00BE238E"/>
    <w:rsid w:val="00C00127"/>
    <w:rsid w:val="00C03C19"/>
    <w:rsid w:val="00C12749"/>
    <w:rsid w:val="00C1353F"/>
    <w:rsid w:val="00C15368"/>
    <w:rsid w:val="00C23C41"/>
    <w:rsid w:val="00C278F0"/>
    <w:rsid w:val="00C27BA1"/>
    <w:rsid w:val="00C31D50"/>
    <w:rsid w:val="00C32235"/>
    <w:rsid w:val="00C32464"/>
    <w:rsid w:val="00C33684"/>
    <w:rsid w:val="00C3384A"/>
    <w:rsid w:val="00C36689"/>
    <w:rsid w:val="00C42DA9"/>
    <w:rsid w:val="00C43A7A"/>
    <w:rsid w:val="00C46E5F"/>
    <w:rsid w:val="00C4731D"/>
    <w:rsid w:val="00C5024F"/>
    <w:rsid w:val="00C50CF8"/>
    <w:rsid w:val="00C514C4"/>
    <w:rsid w:val="00C52D4F"/>
    <w:rsid w:val="00C630AB"/>
    <w:rsid w:val="00C6512F"/>
    <w:rsid w:val="00C70A42"/>
    <w:rsid w:val="00C714A3"/>
    <w:rsid w:val="00C73609"/>
    <w:rsid w:val="00C768F4"/>
    <w:rsid w:val="00C8453A"/>
    <w:rsid w:val="00C8495F"/>
    <w:rsid w:val="00C8648C"/>
    <w:rsid w:val="00C868B7"/>
    <w:rsid w:val="00C91112"/>
    <w:rsid w:val="00C92E92"/>
    <w:rsid w:val="00C94235"/>
    <w:rsid w:val="00CA298A"/>
    <w:rsid w:val="00CD1713"/>
    <w:rsid w:val="00CD5201"/>
    <w:rsid w:val="00CD6D4C"/>
    <w:rsid w:val="00CE2B00"/>
    <w:rsid w:val="00CE5DA8"/>
    <w:rsid w:val="00CF39FB"/>
    <w:rsid w:val="00D10352"/>
    <w:rsid w:val="00D36D0E"/>
    <w:rsid w:val="00D60BE6"/>
    <w:rsid w:val="00D64EA9"/>
    <w:rsid w:val="00D8549C"/>
    <w:rsid w:val="00D86650"/>
    <w:rsid w:val="00D86BFD"/>
    <w:rsid w:val="00D924C4"/>
    <w:rsid w:val="00D979BC"/>
    <w:rsid w:val="00DA5546"/>
    <w:rsid w:val="00DA7132"/>
    <w:rsid w:val="00DB0613"/>
    <w:rsid w:val="00DB0C33"/>
    <w:rsid w:val="00DB7138"/>
    <w:rsid w:val="00DC6D10"/>
    <w:rsid w:val="00DD5160"/>
    <w:rsid w:val="00DE1284"/>
    <w:rsid w:val="00DE7DEE"/>
    <w:rsid w:val="00E02554"/>
    <w:rsid w:val="00E05FD2"/>
    <w:rsid w:val="00E06F3D"/>
    <w:rsid w:val="00E130EA"/>
    <w:rsid w:val="00E20ED4"/>
    <w:rsid w:val="00E21089"/>
    <w:rsid w:val="00E2707A"/>
    <w:rsid w:val="00E312FA"/>
    <w:rsid w:val="00E321F3"/>
    <w:rsid w:val="00E3274C"/>
    <w:rsid w:val="00E35E84"/>
    <w:rsid w:val="00E44D9A"/>
    <w:rsid w:val="00E46306"/>
    <w:rsid w:val="00E524A3"/>
    <w:rsid w:val="00E526F9"/>
    <w:rsid w:val="00E55F0F"/>
    <w:rsid w:val="00E66452"/>
    <w:rsid w:val="00E73A3F"/>
    <w:rsid w:val="00E8084E"/>
    <w:rsid w:val="00E81084"/>
    <w:rsid w:val="00E8129D"/>
    <w:rsid w:val="00E81BA4"/>
    <w:rsid w:val="00E83711"/>
    <w:rsid w:val="00E901E9"/>
    <w:rsid w:val="00E97417"/>
    <w:rsid w:val="00EB1460"/>
    <w:rsid w:val="00EB21A2"/>
    <w:rsid w:val="00EB6131"/>
    <w:rsid w:val="00EB7AC0"/>
    <w:rsid w:val="00EC072F"/>
    <w:rsid w:val="00EC254C"/>
    <w:rsid w:val="00EC4EDA"/>
    <w:rsid w:val="00EC4F71"/>
    <w:rsid w:val="00EC6425"/>
    <w:rsid w:val="00EC6DEA"/>
    <w:rsid w:val="00EE38F7"/>
    <w:rsid w:val="00EE73FE"/>
    <w:rsid w:val="00EF11C0"/>
    <w:rsid w:val="00EF2E40"/>
    <w:rsid w:val="00EF3B8E"/>
    <w:rsid w:val="00F04E2D"/>
    <w:rsid w:val="00F053B3"/>
    <w:rsid w:val="00F07D97"/>
    <w:rsid w:val="00F1226B"/>
    <w:rsid w:val="00F171FB"/>
    <w:rsid w:val="00F1751C"/>
    <w:rsid w:val="00F21D5D"/>
    <w:rsid w:val="00F27C0C"/>
    <w:rsid w:val="00F324CA"/>
    <w:rsid w:val="00F35B45"/>
    <w:rsid w:val="00F426D7"/>
    <w:rsid w:val="00F45145"/>
    <w:rsid w:val="00F52299"/>
    <w:rsid w:val="00F52B5A"/>
    <w:rsid w:val="00F57192"/>
    <w:rsid w:val="00F71576"/>
    <w:rsid w:val="00F73CBB"/>
    <w:rsid w:val="00F763B5"/>
    <w:rsid w:val="00F82448"/>
    <w:rsid w:val="00F91CA8"/>
    <w:rsid w:val="00FB02DC"/>
    <w:rsid w:val="00FB18E0"/>
    <w:rsid w:val="00FB2585"/>
    <w:rsid w:val="00FB2B6E"/>
    <w:rsid w:val="00FB5918"/>
    <w:rsid w:val="00FB7E00"/>
    <w:rsid w:val="00FC11A2"/>
    <w:rsid w:val="00FC1926"/>
    <w:rsid w:val="00FC431B"/>
    <w:rsid w:val="00FC5E7A"/>
    <w:rsid w:val="00FC6705"/>
    <w:rsid w:val="00FD0F93"/>
    <w:rsid w:val="00FD641C"/>
    <w:rsid w:val="00FE5567"/>
    <w:rsid w:val="00FF2E11"/>
    <w:rsid w:val="00FF4734"/>
    <w:rsid w:val="02453F05"/>
    <w:rsid w:val="094260F0"/>
    <w:rsid w:val="0C1A61D7"/>
    <w:rsid w:val="10923754"/>
    <w:rsid w:val="19CE4EFA"/>
    <w:rsid w:val="1A860EAF"/>
    <w:rsid w:val="1BA85E79"/>
    <w:rsid w:val="1BC81072"/>
    <w:rsid w:val="1D953080"/>
    <w:rsid w:val="20D31430"/>
    <w:rsid w:val="24E24B8B"/>
    <w:rsid w:val="27DA35B7"/>
    <w:rsid w:val="27E66A6E"/>
    <w:rsid w:val="2A8C40CE"/>
    <w:rsid w:val="2F4112CD"/>
    <w:rsid w:val="304A6972"/>
    <w:rsid w:val="31D25C2B"/>
    <w:rsid w:val="35E04DE3"/>
    <w:rsid w:val="3C290B98"/>
    <w:rsid w:val="3E452A6F"/>
    <w:rsid w:val="401176CF"/>
    <w:rsid w:val="48F37B15"/>
    <w:rsid w:val="49561266"/>
    <w:rsid w:val="4CA9712B"/>
    <w:rsid w:val="4D3C7046"/>
    <w:rsid w:val="4EB13370"/>
    <w:rsid w:val="4F152BB7"/>
    <w:rsid w:val="53617874"/>
    <w:rsid w:val="58B317CE"/>
    <w:rsid w:val="5D987D91"/>
    <w:rsid w:val="5E873E9A"/>
    <w:rsid w:val="627A0900"/>
    <w:rsid w:val="66230982"/>
    <w:rsid w:val="687806CE"/>
    <w:rsid w:val="6899741D"/>
    <w:rsid w:val="6A711A84"/>
    <w:rsid w:val="712753EE"/>
    <w:rsid w:val="74503971"/>
    <w:rsid w:val="767224B9"/>
    <w:rsid w:val="78216E13"/>
    <w:rsid w:val="7EC31904"/>
    <w:rsid w:val="7FB5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360" w:lineRule="auto"/>
      <w:jc w:val="both"/>
    </w:pPr>
    <w:rPr>
      <w:rFonts w:asciiTheme="minorHAnsi" w:hAnsiTheme="minorHAnsi" w:eastAsiaTheme="minorEastAsia" w:cstheme="minorBidi"/>
      <w:kern w:val="2"/>
      <w:sz w:val="28"/>
      <w:szCs w:val="22"/>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32"/>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4"/>
    <w:basedOn w:val="1"/>
    <w:next w:val="1"/>
    <w:link w:val="28"/>
    <w:semiHidden/>
    <w:unhideWhenUsed/>
    <w:qFormat/>
    <w:uiPriority w:val="9"/>
    <w:pPr>
      <w:keepNext/>
      <w:keepLines/>
      <w:spacing w:before="280" w:after="290" w:line="376" w:lineRule="auto"/>
      <w:outlineLvl w:val="3"/>
    </w:pPr>
    <w:rPr>
      <w:rFonts w:ascii="Calibri Light" w:hAnsi="Calibri Light" w:eastAsia="宋体" w:cs="Times New Roman"/>
      <w:b/>
      <w:bCs/>
      <w:kern w:val="0"/>
      <w:szCs w:val="28"/>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Date"/>
    <w:basedOn w:val="1"/>
    <w:next w:val="1"/>
    <w:link w:val="22"/>
    <w:semiHidden/>
    <w:unhideWhenUsed/>
    <w:qFormat/>
    <w:uiPriority w:val="99"/>
    <w:pPr>
      <w:ind w:left="100" w:leftChars="2500"/>
    </w:p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unhideWhenUsed/>
    <w:qFormat/>
    <w:uiPriority w:val="99"/>
    <w:rPr>
      <w:color w:val="954F72"/>
      <w:u w:val="single"/>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customStyle="1" w:styleId="17">
    <w:name w:val="页眉 字符"/>
    <w:basedOn w:val="14"/>
    <w:link w:val="8"/>
    <w:qFormat/>
    <w:uiPriority w:val="0"/>
    <w:rPr>
      <w:sz w:val="18"/>
      <w:szCs w:val="18"/>
    </w:rPr>
  </w:style>
  <w:style w:type="character" w:customStyle="1" w:styleId="18">
    <w:name w:val="页脚 字符"/>
    <w:basedOn w:val="14"/>
    <w:link w:val="7"/>
    <w:qFormat/>
    <w:uiPriority w:val="99"/>
    <w:rPr>
      <w:sz w:val="18"/>
      <w:szCs w:val="18"/>
    </w:rPr>
  </w:style>
  <w:style w:type="character" w:customStyle="1" w:styleId="19">
    <w:name w:val="标题 2 字符"/>
    <w:basedOn w:val="14"/>
    <w:link w:val="4"/>
    <w:qFormat/>
    <w:uiPriority w:val="9"/>
    <w:rPr>
      <w:rFonts w:asciiTheme="majorHAnsi" w:hAnsiTheme="majorHAnsi" w:eastAsiaTheme="majorEastAsia" w:cstheme="majorBidi"/>
      <w:b/>
      <w:bCs/>
      <w:sz w:val="28"/>
      <w:szCs w:val="32"/>
    </w:rPr>
  </w:style>
  <w:style w:type="character" w:customStyle="1" w:styleId="20">
    <w:name w:val="标题 1 字符"/>
    <w:basedOn w:val="14"/>
    <w:link w:val="3"/>
    <w:qFormat/>
    <w:uiPriority w:val="9"/>
    <w:rPr>
      <w:b/>
      <w:bCs/>
      <w:kern w:val="44"/>
      <w:sz w:val="32"/>
      <w:szCs w:val="44"/>
    </w:rPr>
  </w:style>
  <w:style w:type="paragraph" w:styleId="21">
    <w:name w:val="List Paragraph"/>
    <w:basedOn w:val="1"/>
    <w:qFormat/>
    <w:uiPriority w:val="34"/>
    <w:pPr>
      <w:ind w:firstLine="420" w:firstLineChars="200"/>
    </w:pPr>
  </w:style>
  <w:style w:type="character" w:customStyle="1" w:styleId="22">
    <w:name w:val="日期 字符"/>
    <w:basedOn w:val="14"/>
    <w:link w:val="6"/>
    <w:semiHidden/>
    <w:qFormat/>
    <w:uiPriority w:val="99"/>
    <w:rPr>
      <w:sz w:val="28"/>
    </w:rPr>
  </w:style>
  <w:style w:type="paragraph" w:customStyle="1" w:styleId="2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24">
    <w:name w:val="样式 样式 首行缩进:  2 字符 + 仿宋_GB2312 首行缩进:  2 字符"/>
    <w:basedOn w:val="1"/>
    <w:qFormat/>
    <w:uiPriority w:val="0"/>
    <w:pPr>
      <w:ind w:firstLine="480" w:firstLineChars="200"/>
    </w:pPr>
    <w:rPr>
      <w:rFonts w:ascii="仿宋_GB2312" w:hAnsi="Times New Roman" w:eastAsia="仿宋_GB2312" w:cs="宋体"/>
      <w:kern w:val="21"/>
      <w:szCs w:val="20"/>
    </w:rPr>
  </w:style>
  <w:style w:type="table" w:customStyle="1" w:styleId="25">
    <w:name w:val="网格型2"/>
    <w:basedOn w:val="12"/>
    <w:qFormat/>
    <w:uiPriority w:val="39"/>
    <w:rPr>
      <w:rFonts w:ascii="等线" w:hAnsi="等线" w:eastAsia="等线"/>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标题 41"/>
    <w:basedOn w:val="1"/>
    <w:next w:val="1"/>
    <w:semiHidden/>
    <w:unhideWhenUsed/>
    <w:qFormat/>
    <w:uiPriority w:val="9"/>
    <w:pPr>
      <w:keepNext/>
      <w:keepLines/>
      <w:spacing w:before="280" w:after="290" w:line="376" w:lineRule="auto"/>
      <w:outlineLvl w:val="3"/>
    </w:pPr>
    <w:rPr>
      <w:rFonts w:ascii="Calibri Light" w:hAnsi="Calibri Light" w:eastAsia="宋体" w:cs="Times New Roman"/>
      <w:b/>
      <w:bCs/>
      <w:szCs w:val="28"/>
    </w:rPr>
  </w:style>
  <w:style w:type="paragraph" w:customStyle="1" w:styleId="27">
    <w:name w:val="TOC 标题2"/>
    <w:basedOn w:val="3"/>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4B5"/>
      <w:kern w:val="0"/>
      <w:szCs w:val="32"/>
    </w:rPr>
  </w:style>
  <w:style w:type="character" w:customStyle="1" w:styleId="28">
    <w:name w:val="标题 4 字符"/>
    <w:basedOn w:val="14"/>
    <w:link w:val="5"/>
    <w:semiHidden/>
    <w:qFormat/>
    <w:uiPriority w:val="9"/>
    <w:rPr>
      <w:rFonts w:ascii="Calibri Light" w:hAnsi="Calibri Light" w:eastAsia="宋体" w:cs="Times New Roman"/>
      <w:b/>
      <w:bCs/>
      <w:sz w:val="28"/>
      <w:szCs w:val="28"/>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30">
    <w:name w:val="网格型1"/>
    <w:basedOn w:val="12"/>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1">
    <w:name w:val="标题 4 字符1"/>
    <w:basedOn w:val="14"/>
    <w:semiHidden/>
    <w:qFormat/>
    <w:uiPriority w:val="9"/>
    <w:rPr>
      <w:rFonts w:asciiTheme="majorHAnsi" w:hAnsiTheme="majorHAnsi" w:eastAsiaTheme="majorEastAsia" w:cstheme="majorBidi"/>
      <w:b/>
      <w:bCs/>
      <w:kern w:val="2"/>
      <w:sz w:val="28"/>
      <w:szCs w:val="28"/>
    </w:rPr>
  </w:style>
  <w:style w:type="paragraph" w:customStyle="1" w:styleId="32">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33">
    <w:name w:val="msonormal"/>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34">
    <w:name w:val="font5"/>
    <w:basedOn w:val="1"/>
    <w:qFormat/>
    <w:uiPriority w:val="0"/>
    <w:pPr>
      <w:widowControl/>
      <w:spacing w:before="100" w:beforeAutospacing="1" w:after="100" w:afterAutospacing="1" w:line="240" w:lineRule="auto"/>
      <w:jc w:val="left"/>
    </w:pPr>
    <w:rPr>
      <w:rFonts w:ascii="等线" w:hAnsi="等线" w:eastAsia="等线" w:cs="宋体"/>
      <w:kern w:val="0"/>
      <w:sz w:val="18"/>
      <w:szCs w:val="18"/>
    </w:rPr>
  </w:style>
  <w:style w:type="paragraph" w:customStyle="1" w:styleId="35">
    <w:name w:val="font6"/>
    <w:basedOn w:val="1"/>
    <w:qFormat/>
    <w:uiPriority w:val="0"/>
    <w:pPr>
      <w:widowControl/>
      <w:spacing w:before="100" w:beforeAutospacing="1" w:after="100" w:afterAutospacing="1" w:line="240" w:lineRule="auto"/>
      <w:jc w:val="left"/>
    </w:pPr>
    <w:rPr>
      <w:rFonts w:ascii="等线" w:hAnsi="等线" w:eastAsia="等线" w:cs="宋体"/>
      <w:kern w:val="0"/>
      <w:sz w:val="18"/>
      <w:szCs w:val="18"/>
    </w:rPr>
  </w:style>
  <w:style w:type="paragraph" w:customStyle="1" w:styleId="36">
    <w:name w:val="xl67"/>
    <w:basedOn w:val="1"/>
    <w:qFormat/>
    <w:uiPriority w:val="0"/>
    <w:pPr>
      <w:widowControl/>
      <w:spacing w:before="100" w:beforeAutospacing="1" w:after="100" w:afterAutospacing="1" w:line="240" w:lineRule="auto"/>
      <w:jc w:val="left"/>
      <w:textAlignment w:val="center"/>
    </w:pPr>
    <w:rPr>
      <w:rFonts w:ascii="宋体" w:hAnsi="宋体" w:eastAsia="宋体" w:cs="宋体"/>
      <w:kern w:val="0"/>
      <w:sz w:val="24"/>
      <w:szCs w:val="24"/>
    </w:rPr>
  </w:style>
  <w:style w:type="paragraph" w:customStyle="1" w:styleId="37">
    <w:name w:val="xl68"/>
    <w:basedOn w:val="1"/>
    <w:qFormat/>
    <w:uiPriority w:val="0"/>
    <w:pPr>
      <w:widowControl/>
      <w:pBdr>
        <w:left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3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3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4"/>
      <w:szCs w:val="24"/>
    </w:rPr>
  </w:style>
  <w:style w:type="paragraph" w:customStyle="1" w:styleId="4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4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18"/>
      <w:szCs w:val="18"/>
    </w:rPr>
  </w:style>
  <w:style w:type="paragraph" w:customStyle="1" w:styleId="4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44">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45">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4"/>
      <w:szCs w:val="24"/>
    </w:rPr>
  </w:style>
  <w:style w:type="paragraph" w:customStyle="1" w:styleId="46">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4"/>
      <w:szCs w:val="24"/>
    </w:rPr>
  </w:style>
  <w:style w:type="paragraph" w:customStyle="1" w:styleId="47">
    <w:name w:val="xl78"/>
    <w:basedOn w:val="1"/>
    <w:qFormat/>
    <w:uiPriority w:val="0"/>
    <w:pPr>
      <w:widowControl/>
      <w:pBdr>
        <w:left w:val="single" w:color="auto" w:sz="4" w:space="0"/>
        <w:right w:val="single" w:color="auto" w:sz="4" w:space="0"/>
      </w:pBdr>
      <w:spacing w:before="100" w:beforeAutospacing="1" w:after="100" w:afterAutospacing="1" w:line="240" w:lineRule="auto"/>
      <w:jc w:val="left"/>
      <w:textAlignment w:val="center"/>
    </w:pPr>
    <w:rPr>
      <w:rFonts w:ascii="宋体" w:hAnsi="宋体" w:eastAsia="宋体" w:cs="宋体"/>
      <w:kern w:val="0"/>
      <w:sz w:val="24"/>
      <w:szCs w:val="24"/>
    </w:rPr>
  </w:style>
  <w:style w:type="paragraph" w:customStyle="1" w:styleId="48">
    <w:name w:val="xl79"/>
    <w:basedOn w:val="1"/>
    <w:qFormat/>
    <w:uiPriority w:val="0"/>
    <w:pPr>
      <w:widowControl/>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49">
    <w:name w:val="xl80"/>
    <w:basedOn w:val="1"/>
    <w:qFormat/>
    <w:uiPriority w:val="0"/>
    <w:pPr>
      <w:widowControl/>
      <w:spacing w:before="100" w:beforeAutospacing="1" w:after="100" w:afterAutospacing="1" w:line="240" w:lineRule="auto"/>
      <w:jc w:val="left"/>
      <w:textAlignment w:val="center"/>
    </w:pPr>
    <w:rPr>
      <w:rFonts w:ascii="宋体" w:hAnsi="宋体" w:eastAsia="宋体" w:cs="宋体"/>
      <w:kern w:val="0"/>
      <w:sz w:val="24"/>
      <w:szCs w:val="24"/>
    </w:rPr>
  </w:style>
  <w:style w:type="paragraph" w:customStyle="1" w:styleId="50">
    <w:name w:val="xl81"/>
    <w:basedOn w:val="1"/>
    <w:qFormat/>
    <w:uiPriority w:val="0"/>
    <w:pPr>
      <w:widowControl/>
      <w:shd w:val="clear" w:color="000000" w:fill="FFFF00"/>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5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52">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5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54">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55">
    <w:name w:val="xl86"/>
    <w:basedOn w:val="1"/>
    <w:qFormat/>
    <w:uiPriority w:val="0"/>
    <w:pPr>
      <w:widowControl/>
      <w:pBdr>
        <w:top w:val="single" w:color="auto" w:sz="4" w:space="0"/>
        <w:lef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56">
    <w:name w:val="xl87"/>
    <w:basedOn w:val="1"/>
    <w:qFormat/>
    <w:uiPriority w:val="0"/>
    <w:pPr>
      <w:widowControl/>
      <w:pBdr>
        <w:top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57">
    <w:name w:val="xl88"/>
    <w:basedOn w:val="1"/>
    <w:qFormat/>
    <w:uiPriority w:val="0"/>
    <w:pPr>
      <w:widowControl/>
      <w:pBdr>
        <w:lef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58">
    <w:name w:val="xl89"/>
    <w:basedOn w:val="1"/>
    <w:qFormat/>
    <w:uiPriority w:val="0"/>
    <w:pPr>
      <w:widowControl/>
      <w:pBdr>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b/>
      <w:bCs/>
      <w:color w:val="FF0000"/>
      <w:kern w:val="0"/>
      <w:sz w:val="24"/>
      <w:szCs w:val="24"/>
    </w:rPr>
  </w:style>
  <w:style w:type="paragraph" w:customStyle="1" w:styleId="60">
    <w:name w:val="xl91"/>
    <w:basedOn w:val="1"/>
    <w:qFormat/>
    <w:uiPriority w:val="0"/>
    <w:pPr>
      <w:widowControl/>
      <w:pBdr>
        <w:top w:val="single" w:color="auto" w:sz="4" w:space="0"/>
        <w:bottom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61">
    <w:name w:val="font7"/>
    <w:basedOn w:val="1"/>
    <w:qFormat/>
    <w:uiPriority w:val="0"/>
    <w:pPr>
      <w:widowControl/>
      <w:spacing w:before="100" w:beforeAutospacing="1" w:after="100" w:afterAutospacing="1" w:line="240" w:lineRule="auto"/>
      <w:jc w:val="left"/>
    </w:pPr>
    <w:rPr>
      <w:rFonts w:ascii="Calibri" w:hAnsi="Calibri" w:eastAsia="宋体" w:cs="Calibri"/>
      <w:color w:val="000000"/>
      <w:kern w:val="0"/>
      <w:sz w:val="21"/>
      <w:szCs w:val="21"/>
    </w:rPr>
  </w:style>
  <w:style w:type="paragraph" w:customStyle="1" w:styleId="62">
    <w:name w:val="font8"/>
    <w:basedOn w:val="1"/>
    <w:qFormat/>
    <w:uiPriority w:val="0"/>
    <w:pPr>
      <w:widowControl/>
      <w:spacing w:before="100" w:beforeAutospacing="1" w:after="100" w:afterAutospacing="1" w:line="240" w:lineRule="auto"/>
      <w:jc w:val="left"/>
    </w:pPr>
    <w:rPr>
      <w:rFonts w:ascii="宋体" w:hAnsi="宋体" w:eastAsia="宋体" w:cs="宋体"/>
      <w:kern w:val="0"/>
      <w:sz w:val="21"/>
      <w:szCs w:val="21"/>
    </w:rPr>
  </w:style>
  <w:style w:type="paragraph" w:customStyle="1" w:styleId="6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1"/>
      <w:szCs w:val="21"/>
    </w:rPr>
  </w:style>
  <w:style w:type="paragraph" w:customStyle="1" w:styleId="64">
    <w:name w:val="xl63"/>
    <w:basedOn w:val="1"/>
    <w:qFormat/>
    <w:uiPriority w:val="0"/>
    <w:pPr>
      <w:widowControl/>
      <w:spacing w:before="100" w:beforeAutospacing="1" w:after="100" w:afterAutospacing="1" w:line="240" w:lineRule="auto"/>
      <w:jc w:val="center"/>
    </w:pPr>
    <w:rPr>
      <w:rFonts w:ascii="宋体" w:hAnsi="宋体" w:eastAsia="宋体" w:cs="宋体"/>
      <w:kern w:val="0"/>
      <w:sz w:val="24"/>
      <w:szCs w:val="24"/>
    </w:rPr>
  </w:style>
  <w:style w:type="paragraph" w:customStyle="1" w:styleId="6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b/>
      <w:bCs/>
      <w:kern w:val="0"/>
      <w:sz w:val="21"/>
      <w:szCs w:val="21"/>
    </w:rPr>
  </w:style>
  <w:style w:type="paragraph" w:customStyle="1" w:styleId="6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67">
    <w:name w:val="font9"/>
    <w:basedOn w:val="1"/>
    <w:qFormat/>
    <w:uiPriority w:val="0"/>
    <w:pPr>
      <w:widowControl/>
      <w:spacing w:before="100" w:beforeAutospacing="1" w:after="100" w:afterAutospacing="1" w:line="240" w:lineRule="auto"/>
      <w:jc w:val="left"/>
    </w:pPr>
    <w:rPr>
      <w:rFonts w:ascii="仿宋_GB2312" w:hAnsi="宋体" w:eastAsia="仿宋_GB2312" w:cs="宋体"/>
      <w:color w:val="000000"/>
      <w:kern w:val="0"/>
      <w:sz w:val="24"/>
      <w:szCs w:val="24"/>
    </w:rPr>
  </w:style>
  <w:style w:type="paragraph" w:customStyle="1" w:styleId="68">
    <w:name w:val="font10"/>
    <w:basedOn w:val="1"/>
    <w:qFormat/>
    <w:uiPriority w:val="0"/>
    <w:pPr>
      <w:widowControl/>
      <w:spacing w:before="100" w:beforeAutospacing="1" w:after="100" w:afterAutospacing="1" w:line="240" w:lineRule="auto"/>
      <w:jc w:val="left"/>
    </w:pPr>
    <w:rPr>
      <w:rFonts w:ascii="仿宋_GB2312" w:hAnsi="宋体" w:eastAsia="仿宋_GB2312" w:cs="宋体"/>
      <w:kern w:val="0"/>
      <w:sz w:val="24"/>
      <w:szCs w:val="24"/>
    </w:rPr>
  </w:style>
  <w:style w:type="paragraph" w:customStyle="1" w:styleId="69">
    <w:name w:val="font11"/>
    <w:basedOn w:val="1"/>
    <w:qFormat/>
    <w:uiPriority w:val="0"/>
    <w:pPr>
      <w:widowControl/>
      <w:spacing w:before="100" w:beforeAutospacing="1" w:after="100" w:afterAutospacing="1" w:line="240" w:lineRule="auto"/>
      <w:jc w:val="left"/>
    </w:pPr>
    <w:rPr>
      <w:rFonts w:ascii="Times New Roman" w:hAnsi="Times New Roman" w:eastAsia="宋体" w:cs="Times New Roman"/>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4BB4A-2738-40FA-898E-27E46B7AACF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175</Pages>
  <Words>69235</Words>
  <Characters>79482</Characters>
  <Lines>649</Lines>
  <Paragraphs>182</Paragraphs>
  <TotalTime>15</TotalTime>
  <ScaleCrop>false</ScaleCrop>
  <LinksUpToDate>false</LinksUpToDate>
  <CharactersWithSpaces>80072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2021-05-26T03:19:00Z</dcterms:created>
  <dc:creator>Administrator</dc:creator>
  <cp:lastModifiedBy>微信用户</cp:lastModifiedBy>
  <cp:lastPrinted>2021-06-07T07:15:00Z</cp:lastPrinted>
  <dcterms:modified xsi:type="dcterms:W3CDTF">2023-11-22T02:55:48Z</dcterms:modified>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5E832E523EC5472A8075ADE708854A2C_13</vt:lpwstr>
  </property>
</Properties>
</file>