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广水市</w:t>
      </w:r>
      <w:r>
        <w:rPr>
          <w:rFonts w:hint="eastAsia" w:ascii="方正小标宋简体" w:hAnsi="方正小标宋简体" w:eastAsia="方正小标宋简体" w:cs="方正小标宋简体"/>
          <w:sz w:val="44"/>
          <w:szCs w:val="44"/>
          <w:lang w:val="en-US" w:eastAsia="zh-CN"/>
        </w:rPr>
        <w:t>公共资源交易监督管理局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2023年招投标领域“双随机、一公开”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44"/>
          <w:szCs w:val="44"/>
          <w:lang w:val="en-US" w:eastAsia="zh-CN"/>
        </w:rPr>
        <w:t>抽查工作计划</w:t>
      </w:r>
    </w:p>
    <w:p>
      <w:pPr>
        <w:ind w:firstLine="480" w:firstLineChars="200"/>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为进一步优化营商环境，着力解决工程建设招投标领域存在的突出问题，深入推进“双随机、一公开”监管，进一步健全完善事中事后监管机制。结合我局实际，现制定202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年度“双随机一公开”抽查计划如下:</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抽查时间及对象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（一）抽查时间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2022年9月1日至2023年8月31日。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（二）抽查对象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2022年9月1日至2023年6月30日以来依法必须进行招标的项目。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二、抽查内容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1.招标人及代理机构。</w:t>
      </w:r>
      <w:r>
        <w:rPr>
          <w:rFonts w:hint="eastAsia" w:ascii="仿宋_GB2312" w:hAnsi="仿宋_GB2312" w:eastAsia="仿宋_GB2312" w:cs="仿宋_GB2312"/>
          <w:sz w:val="32"/>
          <w:szCs w:val="32"/>
          <w:lang w:eastAsia="zh-CN"/>
        </w:rPr>
        <w:t>重点查找应招未招、规避招标，擅自改变招标方式，串通投标，在招投标活动中设置注册资本金，设立分支机构、特定行政区域、行业奖项等不合理条件限制和排斥潜在投标人或者投标人投标，不按照招标文件和中标人的投标文件订立合同或者与中标人订立背离合同实质性内容协议等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2.投标人。</w:t>
      </w:r>
      <w:r>
        <w:rPr>
          <w:rFonts w:hint="eastAsia" w:ascii="仿宋_GB2312" w:hAnsi="仿宋_GB2312" w:eastAsia="仿宋_GB2312" w:cs="仿宋_GB2312"/>
          <w:sz w:val="32"/>
          <w:szCs w:val="32"/>
          <w:lang w:eastAsia="zh-CN"/>
        </w:rPr>
        <w:t>重点查找串通投标、弄虚作假、以不正当手段谋取中标等问题。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3.评标专家。</w:t>
      </w:r>
      <w:r>
        <w:rPr>
          <w:rFonts w:hint="eastAsia" w:ascii="仿宋_GB2312" w:hAnsi="仿宋_GB2312" w:eastAsia="仿宋_GB2312" w:cs="仿宋_GB2312"/>
          <w:sz w:val="32"/>
          <w:szCs w:val="32"/>
          <w:lang w:eastAsia="zh-CN"/>
        </w:rPr>
        <w:t>重点查找不能客观公正地履行职责、收受投标人的财物或者其他好处等问题。</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三、抽查具体计划及方式方法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（一）抽查方式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采用“双随机一公开”平台进行抽查，从录入的检查对象库中随机抽取检查对象，从本单位执法人员库中随机</w:t>
      </w:r>
      <w:r>
        <w:rPr>
          <w:rFonts w:hint="eastAsia" w:ascii="仿宋_GB2312" w:hAnsi="仿宋_GB2312" w:eastAsia="仿宋_GB2312" w:cs="仿宋_GB2312"/>
          <w:sz w:val="32"/>
          <w:szCs w:val="32"/>
          <w:lang w:val="en-US" w:eastAsia="zh-CN"/>
        </w:rPr>
        <w:t>选派检查人员。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（二）抽查比例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平台</w:t>
      </w:r>
      <w:r>
        <w:rPr>
          <w:rFonts w:hint="default" w:ascii="仿宋_GB2312" w:hAnsi="仿宋_GB2312" w:eastAsia="仿宋_GB2312" w:cs="仿宋_GB2312"/>
          <w:sz w:val="32"/>
          <w:szCs w:val="32"/>
          <w:lang w:val="en-US" w:eastAsia="zh-CN"/>
        </w:rPr>
        <w:t>工程项目随机抽查项目数不少于交易总数的5%</w:t>
      </w:r>
      <w:r>
        <w:rPr>
          <w:rFonts w:hint="eastAsia" w:ascii="仿宋_GB2312" w:hAnsi="仿宋_GB2312" w:eastAsia="仿宋_GB2312" w:cs="仿宋_GB2312"/>
          <w:sz w:val="32"/>
          <w:szCs w:val="32"/>
          <w:lang w:val="en-US" w:eastAsia="zh-CN"/>
        </w:rPr>
        <w:t>或</w:t>
      </w:r>
      <w:r>
        <w:rPr>
          <w:rFonts w:hint="default" w:ascii="仿宋_GB2312" w:hAnsi="仿宋_GB2312" w:eastAsia="仿宋_GB2312" w:cs="仿宋_GB2312"/>
          <w:sz w:val="32"/>
          <w:szCs w:val="32"/>
          <w:lang w:val="en-US" w:eastAsia="zh-CN"/>
        </w:rPr>
        <w:t>抽查总数不少于</w:t>
      </w: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0个项目</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（三）工作要求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高度重视、统筹安排，合理调配业务力量，确保组织抽查工作时，不影响单位日常工作开展。要随机选取检查对象、随机选派检查人员，规范组织抽查工作，及时公布抽查结果。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（四）抽查结果运用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抽查工作结束后，检查人员对发现的问题列出整改清单，限期整改，同时做好跟踪监督。对发现的违法违规行为，依法依规严肃处理。属于其他部门管辖的问题，及时移交相关部门查处;涉嫌犯罪的，依法移送司法机关。</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附件：广水市公共资源交易监督管理局2023年度招投标领域双随机抽查工作计划表。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0" w:firstLineChars="15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广水市公共资源交易监督管理局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0" w:firstLineChars="1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2023年6月9日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广水市公共资源交易监督管理局</w:t>
      </w:r>
    </w:p>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val="en-US" w:eastAsia="zh-CN"/>
        </w:rPr>
        <w:t>2023年</w:t>
      </w:r>
      <w:r>
        <w:rPr>
          <w:rFonts w:hint="eastAsia" w:ascii="方正小标宋简体" w:hAnsi="方正小标宋简体" w:eastAsia="方正小标宋简体" w:cs="方正小标宋简体"/>
          <w:sz w:val="36"/>
          <w:szCs w:val="36"/>
          <w:lang w:eastAsia="zh-CN"/>
        </w:rPr>
        <w:t>“双随机，一公开”抽查事项清单</w:t>
      </w:r>
    </w:p>
    <w:tbl>
      <w:tblPr>
        <w:tblStyle w:val="4"/>
        <w:tblpPr w:leftFromText="180" w:rightFromText="180" w:vertAnchor="text" w:horzAnchor="page" w:tblpX="1056" w:tblpY="540"/>
        <w:tblOverlap w:val="never"/>
        <w:tblW w:w="15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6"/>
        <w:gridCol w:w="1844"/>
        <w:gridCol w:w="1740"/>
        <w:gridCol w:w="2070"/>
        <w:gridCol w:w="2086"/>
        <w:gridCol w:w="1140"/>
        <w:gridCol w:w="1710"/>
        <w:gridCol w:w="1335"/>
        <w:gridCol w:w="899"/>
        <w:gridCol w:w="1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626" w:type="dxa"/>
            <w:vAlign w:val="center"/>
          </w:tcPr>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序</w:t>
            </w:r>
          </w:p>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号</w:t>
            </w:r>
          </w:p>
        </w:tc>
        <w:tc>
          <w:tcPr>
            <w:tcW w:w="1844" w:type="dxa"/>
            <w:vAlign w:val="center"/>
          </w:tcPr>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抽查领域</w:t>
            </w:r>
          </w:p>
        </w:tc>
        <w:tc>
          <w:tcPr>
            <w:tcW w:w="1740" w:type="dxa"/>
            <w:vAlign w:val="center"/>
          </w:tcPr>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抽查事项</w:t>
            </w:r>
          </w:p>
        </w:tc>
        <w:tc>
          <w:tcPr>
            <w:tcW w:w="2070" w:type="dxa"/>
            <w:vAlign w:val="center"/>
          </w:tcPr>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vertAlign w:val="baseline"/>
                <w:lang w:val="en-US" w:eastAsia="zh-CN"/>
              </w:rPr>
              <w:t>检查对象</w:t>
            </w:r>
          </w:p>
        </w:tc>
        <w:tc>
          <w:tcPr>
            <w:tcW w:w="2086" w:type="dxa"/>
            <w:vAlign w:val="center"/>
          </w:tcPr>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检查事项</w:t>
            </w:r>
          </w:p>
        </w:tc>
        <w:tc>
          <w:tcPr>
            <w:tcW w:w="1140" w:type="dxa"/>
            <w:vAlign w:val="center"/>
          </w:tcPr>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抽查</w:t>
            </w:r>
          </w:p>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比例</w:t>
            </w:r>
          </w:p>
        </w:tc>
        <w:tc>
          <w:tcPr>
            <w:tcW w:w="1710" w:type="dxa"/>
            <w:vAlign w:val="center"/>
          </w:tcPr>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发起部门</w:t>
            </w:r>
          </w:p>
        </w:tc>
        <w:tc>
          <w:tcPr>
            <w:tcW w:w="1335" w:type="dxa"/>
            <w:vAlign w:val="center"/>
          </w:tcPr>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配合部门</w:t>
            </w:r>
          </w:p>
        </w:tc>
        <w:tc>
          <w:tcPr>
            <w:tcW w:w="899" w:type="dxa"/>
            <w:vAlign w:val="center"/>
          </w:tcPr>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实施</w:t>
            </w:r>
          </w:p>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时间</w:t>
            </w:r>
          </w:p>
        </w:tc>
        <w:tc>
          <w:tcPr>
            <w:tcW w:w="1768" w:type="dxa"/>
            <w:vAlign w:val="center"/>
          </w:tcPr>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vertAlign w:val="baseline"/>
                <w:lang w:val="en-US" w:eastAsia="zh-CN"/>
              </w:rPr>
              <w:t>实施层级及牵头处/科室、单位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6" w:hRule="atLeast"/>
          <w:jc w:val="center"/>
        </w:trPr>
        <w:tc>
          <w:tcPr>
            <w:tcW w:w="626"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844" w:type="dxa"/>
            <w:vAlign w:val="center"/>
          </w:tcPr>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vertAlign w:val="baseline"/>
                <w:lang w:val="en-US" w:eastAsia="zh-CN"/>
              </w:rPr>
              <w:t>依法必须招标工程建设项目招投标抽查</w:t>
            </w:r>
          </w:p>
        </w:tc>
        <w:tc>
          <w:tcPr>
            <w:tcW w:w="1740" w:type="dxa"/>
            <w:vAlign w:val="center"/>
          </w:tcPr>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vertAlign w:val="baseline"/>
                <w:lang w:val="en-US" w:eastAsia="zh-CN"/>
              </w:rPr>
              <w:t>34.依法必须招标工程建设项目招投标抽查</w:t>
            </w:r>
          </w:p>
        </w:tc>
        <w:tc>
          <w:tcPr>
            <w:tcW w:w="2070" w:type="dxa"/>
            <w:vAlign w:val="center"/>
          </w:tcPr>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vertAlign w:val="baseline"/>
                <w:lang w:val="en-US" w:eastAsia="zh-CN"/>
              </w:rPr>
              <w:t>2022年9月—2023年8月省级公共资源交易平台工程建设招投标项目</w:t>
            </w:r>
          </w:p>
        </w:tc>
        <w:tc>
          <w:tcPr>
            <w:tcW w:w="2086" w:type="dxa"/>
            <w:vAlign w:val="center"/>
          </w:tcPr>
          <w:p>
            <w:pPr>
              <w:numPr>
                <w:ilvl w:val="0"/>
                <w:numId w:val="2"/>
              </w:num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招标人违法违规行为</w:t>
            </w:r>
          </w:p>
          <w:p>
            <w:pPr>
              <w:numPr>
                <w:ilvl w:val="0"/>
                <w:numId w:val="2"/>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投标人违法违规行为</w:t>
            </w:r>
          </w:p>
          <w:p>
            <w:pPr>
              <w:numPr>
                <w:ilvl w:val="0"/>
                <w:numId w:val="2"/>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评标专家违法违规行为</w:t>
            </w:r>
          </w:p>
          <w:p>
            <w:pPr>
              <w:numPr>
                <w:ilvl w:val="0"/>
                <w:numId w:val="2"/>
              </w:num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招标代理机构违法违规行为</w:t>
            </w:r>
          </w:p>
        </w:tc>
        <w:tc>
          <w:tcPr>
            <w:tcW w:w="1140" w:type="dxa"/>
            <w:vAlign w:val="center"/>
          </w:tcPr>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vertAlign w:val="baseline"/>
                <w:lang w:val="en-US" w:eastAsia="zh-CN"/>
              </w:rPr>
              <w:t>5%或者不少于40个抽查对象</w:t>
            </w:r>
          </w:p>
        </w:tc>
        <w:tc>
          <w:tcPr>
            <w:tcW w:w="1710" w:type="dxa"/>
            <w:vAlign w:val="center"/>
          </w:tcPr>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vertAlign w:val="baseline"/>
                <w:lang w:val="en-US" w:eastAsia="zh-CN"/>
              </w:rPr>
              <w:t>广水市公共资源交易监督管理局</w:t>
            </w:r>
            <w:bookmarkStart w:id="0" w:name="_GoBack"/>
            <w:bookmarkEnd w:id="0"/>
          </w:p>
        </w:tc>
        <w:tc>
          <w:tcPr>
            <w:tcW w:w="1335" w:type="dxa"/>
            <w:vAlign w:val="center"/>
          </w:tcPr>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vertAlign w:val="baseline"/>
                <w:lang w:val="en-US" w:eastAsia="zh-CN"/>
              </w:rPr>
              <w:t>住建、交通、水利、农业农村等部门</w:t>
            </w:r>
          </w:p>
        </w:tc>
        <w:tc>
          <w:tcPr>
            <w:tcW w:w="899" w:type="dxa"/>
            <w:vAlign w:val="center"/>
          </w:tcPr>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全年</w:t>
            </w:r>
          </w:p>
        </w:tc>
        <w:tc>
          <w:tcPr>
            <w:tcW w:w="1768" w:type="dxa"/>
            <w:vAlign w:val="center"/>
          </w:tcPr>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vertAlign w:val="baseline"/>
                <w:lang w:val="en-US" w:eastAsia="zh-CN"/>
              </w:rPr>
              <w:t>省、市、县三级共同执行；</w:t>
            </w:r>
            <w:r>
              <w:rPr>
                <w:rFonts w:hint="eastAsia" w:ascii="仿宋_GB2312" w:hAnsi="仿宋_GB2312" w:eastAsia="仿宋_GB2312" w:cs="仿宋_GB2312"/>
                <w:color w:val="auto"/>
                <w:vertAlign w:val="baseline"/>
                <w:lang w:val="en-US" w:eastAsia="zh-CN"/>
              </w:rPr>
              <w:t>广水市政务服务和大数据管理局</w:t>
            </w:r>
            <w:r>
              <w:rPr>
                <w:rFonts w:hint="eastAsia" w:ascii="仿宋_GB2312" w:hAnsi="仿宋_GB2312" w:eastAsia="仿宋_GB2312" w:cs="仿宋_GB2312"/>
                <w:vertAlign w:val="baseline"/>
                <w:lang w:val="en-US" w:eastAsia="zh-CN"/>
              </w:rPr>
              <w:t>公共资源交易监督管理股</w:t>
            </w:r>
          </w:p>
        </w:tc>
      </w:tr>
    </w:tbl>
    <w:p>
      <w:pPr>
        <w:jc w:val="both"/>
        <w:rPr>
          <w:rFonts w:hint="eastAsia" w:ascii="方正小标宋简体" w:hAnsi="方正小标宋简体" w:eastAsia="方正小标宋简体" w:cs="方正小标宋简体"/>
          <w:sz w:val="36"/>
          <w:szCs w:val="36"/>
          <w:lang w:eastAsia="zh-CN"/>
        </w:rPr>
      </w:pPr>
    </w:p>
    <w:p>
      <w:pPr>
        <w:numPr>
          <w:ilvl w:val="0"/>
          <w:numId w:val="0"/>
        </w:numPr>
        <w:rPr>
          <w:rFonts w:hint="default" w:ascii="仿宋_GB2312" w:hAnsi="仿宋_GB2312" w:eastAsia="仿宋_GB2312" w:cs="仿宋_GB2312"/>
          <w:sz w:val="28"/>
          <w:szCs w:val="28"/>
          <w:lang w:val="en-US" w:eastAsia="zh-CN"/>
        </w:rPr>
      </w:pPr>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4AC4F2"/>
    <w:multiLevelType w:val="singleLevel"/>
    <w:tmpl w:val="B14AC4F2"/>
    <w:lvl w:ilvl="0" w:tentative="0">
      <w:start w:val="1"/>
      <w:numFmt w:val="decimal"/>
      <w:lvlText w:val="%1."/>
      <w:lvlJc w:val="left"/>
      <w:pPr>
        <w:tabs>
          <w:tab w:val="left" w:pos="312"/>
        </w:tabs>
      </w:pPr>
    </w:lvl>
  </w:abstractNum>
  <w:abstractNum w:abstractNumId="1">
    <w:nsid w:val="08FB7017"/>
    <w:multiLevelType w:val="singleLevel"/>
    <w:tmpl w:val="08FB701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3MzdiNjNjMWRjZTcwZGM2N2U5ODU1ODY2ZmRhMDgifQ=="/>
  </w:docVars>
  <w:rsids>
    <w:rsidRoot w:val="00000000"/>
    <w:rsid w:val="09112F32"/>
    <w:rsid w:val="0AE41AD0"/>
    <w:rsid w:val="151651B3"/>
    <w:rsid w:val="151B7077"/>
    <w:rsid w:val="242C7811"/>
    <w:rsid w:val="26FB0CC0"/>
    <w:rsid w:val="28DA0DC8"/>
    <w:rsid w:val="2A0C7270"/>
    <w:rsid w:val="2B836930"/>
    <w:rsid w:val="35FD2538"/>
    <w:rsid w:val="360526CD"/>
    <w:rsid w:val="3CD073D4"/>
    <w:rsid w:val="3D0016D2"/>
    <w:rsid w:val="3DDA66D7"/>
    <w:rsid w:val="3F2C3818"/>
    <w:rsid w:val="481D53FB"/>
    <w:rsid w:val="492D51BD"/>
    <w:rsid w:val="4C56375A"/>
    <w:rsid w:val="4FD20487"/>
    <w:rsid w:val="519F3763"/>
    <w:rsid w:val="5E14355E"/>
    <w:rsid w:val="5E28331B"/>
    <w:rsid w:val="616C14D0"/>
    <w:rsid w:val="6CC20EE5"/>
    <w:rsid w:val="6F57749D"/>
    <w:rsid w:val="73F622F7"/>
    <w:rsid w:val="7F516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987</Words>
  <Characters>1037</Characters>
  <Lines>0</Lines>
  <Paragraphs>0</Paragraphs>
  <TotalTime>0</TotalTime>
  <ScaleCrop>false</ScaleCrop>
  <LinksUpToDate>false</LinksUpToDate>
  <CharactersWithSpaces>1063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2022-10-26T01:52:00Z</dcterms:created>
  <dc:creator>Administrator</dc:creator>
  <cp:lastModifiedBy>微信用户</cp:lastModifiedBy>
  <cp:lastPrinted>2023-11-01T10:28:00Z</cp:lastPrinted>
  <dcterms:modified xsi:type="dcterms:W3CDTF">2023-11-02T00:44:04Z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4383CD010D1C41A6A8B935501149DD80_13</vt:lpwstr>
  </property>
</Properties>
</file>