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spacing w:line="141" w:lineRule="exact"/>
      </w:pPr>
    </w:p>
    <w:p>
      <w:pPr>
        <w:sectPr>
          <w:footerReference r:id="rId5" w:type="default"/>
          <w:pgSz w:w="11907" w:h="16839"/>
          <w:pgMar w:top="1431" w:right="1475" w:bottom="1537" w:left="1491" w:header="0" w:footer="1256" w:gutter="0"/>
          <w:cols w:equalWidth="0" w:num="1">
            <w:col w:w="8940"/>
          </w:cols>
        </w:sectPr>
      </w:pPr>
    </w:p>
    <w:p>
      <w:pPr>
        <w:spacing w:before="237" w:line="198" w:lineRule="auto"/>
        <w:ind w:left="547" w:right="487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color w:val="FF0000"/>
          <w:spacing w:val="-25"/>
          <w:sz w:val="79"/>
          <w:szCs w:val="79"/>
        </w:rPr>
        <w:t>湖</w:t>
      </w:r>
      <w:r>
        <w:rPr>
          <w:rFonts w:ascii="微软雅黑" w:hAnsi="微软雅黑" w:eastAsia="微软雅黑" w:cs="微软雅黑"/>
          <w:color w:val="FF0000"/>
          <w:spacing w:val="-17"/>
          <w:sz w:val="79"/>
          <w:szCs w:val="79"/>
        </w:rPr>
        <w:t xml:space="preserve"> 北 省 民 政 厅</w:t>
      </w:r>
      <w:r>
        <w:rPr>
          <w:rFonts w:ascii="微软雅黑" w:hAnsi="微软雅黑" w:eastAsia="微软雅黑" w:cs="微软雅黑"/>
          <w:color w:val="FF0000"/>
          <w:sz w:val="79"/>
          <w:szCs w:val="79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5"/>
          <w:sz w:val="79"/>
          <w:szCs w:val="79"/>
        </w:rPr>
        <w:t>湖</w:t>
      </w:r>
      <w:r>
        <w:rPr>
          <w:rFonts w:ascii="微软雅黑" w:hAnsi="微软雅黑" w:eastAsia="微软雅黑" w:cs="微软雅黑"/>
          <w:color w:val="FF0000"/>
          <w:spacing w:val="-17"/>
          <w:sz w:val="79"/>
          <w:szCs w:val="79"/>
        </w:rPr>
        <w:t xml:space="preserve"> 北 省 财 政 厅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33" w:line="162" w:lineRule="auto"/>
        <w:ind w:left="28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鄂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民政发〔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〕</w:t>
      </w:r>
      <w:r>
        <w:rPr>
          <w:rFonts w:ascii="仿宋" w:hAnsi="仿宋" w:eastAsia="仿宋" w:cs="仿宋"/>
          <w:spacing w:val="-10"/>
          <w:sz w:val="31"/>
          <w:szCs w:val="31"/>
        </w:rPr>
        <w:t>13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9" w:line="182" w:lineRule="auto"/>
        <w:rPr>
          <w:rFonts w:ascii="微软雅黑" w:hAnsi="微软雅黑" w:eastAsia="微软雅黑" w:cs="微软雅黑"/>
          <w:sz w:val="124"/>
          <w:szCs w:val="124"/>
        </w:rPr>
      </w:pPr>
      <w:r>
        <w:rPr>
          <w:rFonts w:ascii="微软雅黑" w:hAnsi="微软雅黑" w:eastAsia="微软雅黑" w:cs="微软雅黑"/>
          <w:color w:val="FF0000"/>
          <w:spacing w:val="-114"/>
          <w:w w:val="91"/>
          <w:sz w:val="124"/>
          <w:szCs w:val="124"/>
        </w:rPr>
        <w:t>文件</w:t>
      </w:r>
    </w:p>
    <w:p>
      <w:pPr>
        <w:sectPr>
          <w:type w:val="continuous"/>
          <w:pgSz w:w="11907" w:h="16839"/>
          <w:pgMar w:top="1431" w:right="1475" w:bottom="1537" w:left="1491" w:header="0" w:footer="1256" w:gutter="0"/>
          <w:cols w:equalWidth="0" w:num="2">
            <w:col w:w="6749" w:space="100"/>
            <w:col w:w="2092"/>
          </w:cols>
        </w:sectPr>
      </w:pPr>
    </w:p>
    <w:p>
      <w:pPr>
        <w:rPr>
          <w:rFonts w:ascii="Arial"/>
          <w:sz w:val="21"/>
        </w:rPr>
      </w:pPr>
    </w:p>
    <w:p>
      <w:pPr>
        <w:spacing w:line="30" w:lineRule="exact"/>
        <w:ind w:firstLine="39"/>
        <w:textAlignment w:val="center"/>
      </w:pPr>
      <w:r>
        <w:pict>
          <v:shape id="_x0000_s1026" o:spid="_x0000_s1026" style="height:1.5pt;width:442.25pt;" filled="f" stroked="t" coordsize="8845,30" path="m0,15l8844,15e">
            <v:fill on="f" focussize="0,0"/>
            <v:stroke weight="1.5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81" w:line="181" w:lineRule="auto"/>
        <w:ind w:left="1736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3"/>
          <w:sz w:val="42"/>
          <w:szCs w:val="42"/>
        </w:rPr>
        <w:t>湖北省民政厅   湖北省财政</w:t>
      </w:r>
      <w:r>
        <w:rPr>
          <w:rFonts w:ascii="微软雅黑" w:hAnsi="微软雅黑" w:eastAsia="微软雅黑" w:cs="微软雅黑"/>
          <w:spacing w:val="2"/>
          <w:sz w:val="42"/>
          <w:szCs w:val="42"/>
        </w:rPr>
        <w:t>厅</w:t>
      </w:r>
    </w:p>
    <w:p>
      <w:pPr>
        <w:spacing w:before="92" w:line="212" w:lineRule="auto"/>
        <w:ind w:left="54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"/>
          <w:sz w:val="42"/>
          <w:szCs w:val="42"/>
        </w:rPr>
        <w:t>关于进一步</w:t>
      </w:r>
      <w:r>
        <w:rPr>
          <w:rFonts w:ascii="微软雅黑" w:hAnsi="微软雅黑" w:eastAsia="微软雅黑" w:cs="微软雅黑"/>
          <w:sz w:val="42"/>
          <w:szCs w:val="42"/>
        </w:rPr>
        <w:t>加强和改进临时救助工作的实施意见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3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市、州、直管市及神农架林区民政局、财政局：</w:t>
      </w:r>
    </w:p>
    <w:p>
      <w:pPr>
        <w:spacing w:before="119" w:line="262" w:lineRule="auto"/>
        <w:ind w:left="3" w:firstLine="6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临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救助是社会救助体系的重要组成部分，  是保障困难群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众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基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本生活权益的托底性制度安排。近年来，  全省各级民政、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财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政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部门认真贯彻落实省委、省政府的决策部署，  按照《省人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民政府关于全面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施临时救助制度的通知》(鄂政发﹝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2015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﹞ </w:t>
      </w:r>
      <w:r>
        <w:rPr>
          <w:rFonts w:ascii="仿宋" w:hAnsi="仿宋" w:eastAsia="仿宋" w:cs="仿宋"/>
          <w:spacing w:val="3"/>
          <w:sz w:val="31"/>
          <w:szCs w:val="31"/>
        </w:rPr>
        <w:t>28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要求，  全面推进临时救助制度实施，  较好地化解了城乡居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民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发性、紧迫性、临时性基本生活困难，  在兜住民生底线、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>开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展救急解难等方面发挥了重要作用。但一些地区还不同程度</w:t>
      </w:r>
    </w:p>
    <w:p>
      <w:pPr>
        <w:spacing w:line="16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5"/>
          <w:sz w:val="31"/>
          <w:szCs w:val="31"/>
        </w:rPr>
        <w:t>存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在救助时效性不强、救助水平偏低、救助对象不精准、救助</w:t>
      </w:r>
    </w:p>
    <w:p>
      <w:pPr>
        <w:sectPr>
          <w:type w:val="continuous"/>
          <w:pgSz w:w="11907" w:h="16839"/>
          <w:pgMar w:top="1431" w:right="1475" w:bottom="1537" w:left="1491" w:header="0" w:footer="1256" w:gutter="0"/>
          <w:cols w:equalWidth="0" w:num="1">
            <w:col w:w="8940"/>
          </w:cols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3" w:line="261" w:lineRule="auto"/>
        <w:ind w:left="17" w:right="161" w:hanging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</w:rPr>
        <w:t>程序不规范、制度效能发挥不充分、工作保障不到位等问题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一步加强和改进临时救助工作，  发挥临时救助托底线、救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急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难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功能作用，  根据《民政部、财政部关于进一步加强和改进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临时救助工作的意见》(民发﹝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2018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﹞ </w:t>
      </w:r>
      <w:r>
        <w:rPr>
          <w:rFonts w:ascii="仿宋" w:hAnsi="仿宋" w:eastAsia="仿宋" w:cs="仿宋"/>
          <w:sz w:val="31"/>
          <w:szCs w:val="31"/>
        </w:rPr>
        <w:t xml:space="preserve">23 </w:t>
      </w:r>
      <w:r>
        <w:rPr>
          <w:rFonts w:ascii="微软雅黑" w:hAnsi="微软雅黑" w:eastAsia="微软雅黑" w:cs="微软雅黑"/>
          <w:sz w:val="31"/>
          <w:szCs w:val="31"/>
        </w:rPr>
        <w:t xml:space="preserve">号)精神，  结合我省实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际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，现提出如下实施意见。</w:t>
      </w:r>
    </w:p>
    <w:p>
      <w:pPr>
        <w:spacing w:before="1" w:line="205" w:lineRule="auto"/>
        <w:ind w:left="7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、明确总体要求</w:t>
      </w:r>
    </w:p>
    <w:p>
      <w:pPr>
        <w:spacing w:before="137" w:line="261" w:lineRule="auto"/>
        <w:ind w:firstLine="7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全面</w:t>
      </w:r>
      <w:r>
        <w:rPr>
          <w:rFonts w:ascii="微软雅黑" w:hAnsi="微软雅黑" w:eastAsia="微软雅黑" w:cs="微软雅黑"/>
          <w:sz w:val="31"/>
          <w:szCs w:val="31"/>
        </w:rPr>
        <w:t xml:space="preserve">贯彻落实党的十九大精神，  以习近平新时代中国特色社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义思想为指导，坚持以人民为中心的发展思想，以有效解决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城乡群众突发性、紧迫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性、临时性基本生活困难为目标，  以充分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发挥临时救助制度效能为主线， 落实“兜底</w:t>
      </w:r>
      <w:r>
        <w:rPr>
          <w:rFonts w:ascii="微软雅黑" w:hAnsi="微软雅黑" w:eastAsia="微软雅黑" w:cs="微软雅黑"/>
          <w:sz w:val="31"/>
          <w:szCs w:val="31"/>
        </w:rPr>
        <w:t xml:space="preserve">线、织密网、建机制”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工作要求，坚持托底、高效、衔接，进一步完善政策措施，健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全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作机制，强化责任落实，加强工作保障，加快形成救助及时、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科学、方式多样、管理规范的临时救助工作格局，筑牢社会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救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助体系的最后一道防线，切实保障困难群众基本生活权益。</w:t>
      </w:r>
    </w:p>
    <w:p>
      <w:pPr>
        <w:spacing w:before="2" w:line="205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、完善政策措施</w:t>
      </w:r>
    </w:p>
    <w:p>
      <w:pPr>
        <w:tabs>
          <w:tab w:val="left" w:pos="854"/>
        </w:tabs>
        <w:spacing w:before="127" w:line="262" w:lineRule="auto"/>
        <w:ind w:left="12" w:right="29" w:firstLine="6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(一)明确救助对象范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围。  根据困难情形，  临时救助对象分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为急难型救助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对象和支出型救助对象。临时救助不针对特定人群、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身份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只确定是否发生突发性、紧迫性、临时性基本生活困难。</w:t>
      </w:r>
    </w:p>
    <w:p>
      <w:pPr>
        <w:spacing w:before="3" w:line="261" w:lineRule="auto"/>
        <w:ind w:left="47" w:right="155" w:firstLine="7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急难型救助对象主要包括发生下列情形，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导致基本生活暂时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严重困难的、需要立即采取救助措施的家庭和个人：</w:t>
      </w:r>
    </w:p>
    <w:p>
      <w:pPr>
        <w:spacing w:before="1" w:line="206" w:lineRule="auto"/>
        <w:ind w:left="7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．  因火灾、交通事故、溺水等意外事件；</w:t>
      </w:r>
    </w:p>
    <w:p>
      <w:pPr>
        <w:spacing w:before="124" w:line="206" w:lineRule="auto"/>
        <w:ind w:left="7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因家庭成员突发重大疾病；</w:t>
      </w:r>
    </w:p>
    <w:p>
      <w:pPr>
        <w:sectPr>
          <w:footerReference r:id="rId6" w:type="default"/>
          <w:pgSz w:w="11907" w:h="16839"/>
          <w:pgMar w:top="1431" w:right="1319" w:bottom="1536" w:left="1485" w:header="0" w:footer="1256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3" w:line="207" w:lineRule="auto"/>
        <w:ind w:left="7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．  遭遇其他特殊困难等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</w:t>
      </w:r>
    </w:p>
    <w:p>
      <w:pPr>
        <w:spacing w:before="119" w:line="262" w:lineRule="auto"/>
        <w:ind w:left="7" w:right="98" w:firstLine="7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支出型救助对象主要包括因教育、医疗等生活必需支出突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增加超出家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庭承受能力，  导致基本生活一定时期内出现严重困难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的下列人</w:t>
      </w:r>
      <w:r>
        <w:rPr>
          <w:rFonts w:ascii="微软雅黑" w:hAnsi="微软雅黑" w:eastAsia="微软雅黑" w:cs="微软雅黑"/>
          <w:sz w:val="31"/>
          <w:szCs w:val="31"/>
        </w:rPr>
        <w:t>群：</w:t>
      </w:r>
    </w:p>
    <w:p>
      <w:pPr>
        <w:spacing w:before="1" w:line="206" w:lineRule="auto"/>
        <w:ind w:left="7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．  最低生活保障对象；</w:t>
      </w:r>
    </w:p>
    <w:p>
      <w:pPr>
        <w:spacing w:before="120" w:line="206" w:lineRule="auto"/>
        <w:ind w:left="7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．  特困人员；</w:t>
      </w:r>
    </w:p>
    <w:p>
      <w:pPr>
        <w:spacing w:before="124" w:line="207" w:lineRule="auto"/>
        <w:ind w:left="7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．  建档立卡贫困家庭；</w:t>
      </w:r>
    </w:p>
    <w:p>
      <w:pPr>
        <w:spacing w:before="122" w:line="207" w:lineRule="auto"/>
        <w:ind w:left="7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．  低收入家庭；</w:t>
      </w:r>
    </w:p>
    <w:p>
      <w:pPr>
        <w:spacing w:before="114" w:line="262" w:lineRule="auto"/>
        <w:ind w:right="95" w:firstLine="7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．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支出型贫困家庭。对一年内家庭收入扣减教育、医疗等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生活必需支出后，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家庭人均收入低于当地当年城乡最低生活保障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标准 </w:t>
      </w: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倍，且家庭财产状况符合当地规定的，可认定为支出型贫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家庭。家庭成员中有就读于国内全日制普通高校、高等职业学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高等专科学校以及中等职业学校的学生，依据学校出具的正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式票据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每学年缴纳的学费低于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10000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元的据实扣减，高于 </w:t>
      </w:r>
      <w:r>
        <w:rPr>
          <w:rFonts w:ascii="仿宋" w:hAnsi="仿宋" w:eastAsia="仿宋" w:cs="仿宋"/>
          <w:spacing w:val="-4"/>
          <w:sz w:val="31"/>
          <w:szCs w:val="31"/>
        </w:rPr>
        <w:t>10000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(含)  的按照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10000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元扣减教育支出；  医疗支出费用依据正式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票据据实扣减个人自付费用部</w:t>
      </w:r>
      <w:r>
        <w:rPr>
          <w:rFonts w:ascii="微软雅黑" w:hAnsi="微软雅黑" w:eastAsia="微软雅黑" w:cs="微软雅黑"/>
          <w:sz w:val="31"/>
          <w:szCs w:val="31"/>
        </w:rPr>
        <w:t xml:space="preserve">分 。  同一救助对象符合多种扣减条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只扣减一项支出，扣减数额就高不就低。</w:t>
      </w:r>
    </w:p>
    <w:p>
      <w:pPr>
        <w:tabs>
          <w:tab w:val="left" w:pos="851"/>
        </w:tabs>
        <w:spacing w:before="1" w:line="262" w:lineRule="auto"/>
        <w:ind w:left="13" w:firstLine="6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(二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简化优化审核审批程序。各地要针对不同的救助类型，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化、优化临时救助审核审批程序。</w:t>
      </w:r>
    </w:p>
    <w:p>
      <w:pPr>
        <w:spacing w:before="1" w:line="273" w:lineRule="auto"/>
        <w:ind w:left="3" w:right="96" w:firstLine="7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对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急难型临时救助 </w:t>
      </w:r>
      <w:r>
        <w:rPr>
          <w:rFonts w:ascii="仿宋" w:hAnsi="仿宋" w:eastAsia="仿宋" w:cs="仿宋"/>
          <w:spacing w:val="11"/>
          <w:sz w:val="31"/>
          <w:szCs w:val="31"/>
        </w:rPr>
        <w:t>,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乡镇人民政府(街道办事处)、县级人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民政府民政部门要积极开展“先行救助”。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原则上当天受理当天救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助，可不开展申请人家庭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经济状况核对，  不开展民主评议。待急</w:t>
      </w:r>
    </w:p>
    <w:p>
      <w:pPr>
        <w:sectPr>
          <w:footerReference r:id="rId7" w:type="default"/>
          <w:pgSz w:w="11907" w:h="16839"/>
          <w:pgMar w:top="1431" w:right="1375" w:bottom="1536" w:left="1487" w:header="0" w:footer="1258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33" w:line="262" w:lineRule="auto"/>
        <w:ind w:left="10" w:right="1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难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情况缓解后，登记救助对象、救助事由、救助金额等信息，补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齐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经办人员签字、盖章手续。急难型临时救助从发现、受理到发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放临时救助金，最长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不超过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个工作日。</w:t>
      </w:r>
    </w:p>
    <w:p>
      <w:pPr>
        <w:spacing w:before="7" w:line="261" w:lineRule="auto"/>
        <w:ind w:left="3" w:right="118" w:firstLine="7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对于支出型临时救助，  要严格执行申请、受理、审核、审批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程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序，规范各个环节工作要求；对申请对象中的最低生活保障家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庭和建档立卡贫困家庭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及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其成员、特困供养人员，  不再核对其家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庭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经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济状况，重点核实其生活必需支出情况。支出型临时救助可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集中审批。</w:t>
      </w:r>
    </w:p>
    <w:p>
      <w:pPr>
        <w:spacing w:before="9" w:line="261" w:lineRule="auto"/>
        <w:ind w:right="110" w:firstLine="7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临时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救助金额不超过当地当年月城市最低生活保障标准 </w:t>
      </w:r>
      <w:r>
        <w:rPr>
          <w:rFonts w:ascii="仿宋" w:hAnsi="仿宋" w:eastAsia="仿宋" w:cs="仿宋"/>
          <w:spacing w:val="7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的，县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级人民政府民政部门可以委托乡镇人民政府(街道办事处)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审批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自受理之日起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个工作日内完成审核审批手续， 并发放临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救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助金；临时救助金额超过当地当年月城市最低生活保障标准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倍的， </w:t>
      </w: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1"/>
          <w:szCs w:val="31"/>
        </w:rPr>
        <w:t>由县</w:t>
      </w:r>
      <w:r>
        <w:rPr>
          <w:rFonts w:ascii="微软雅黑" w:hAnsi="微软雅黑" w:eastAsia="微软雅黑" w:cs="微软雅黑"/>
          <w:sz w:val="31"/>
          <w:szCs w:val="31"/>
        </w:rPr>
        <w:t xml:space="preserve">级人民政府民政部门按规定程序审批，并通过社会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发放临时救助金。</w:t>
      </w:r>
    </w:p>
    <w:p>
      <w:pPr>
        <w:spacing w:before="4" w:line="261" w:lineRule="auto"/>
        <w:ind w:left="28" w:right="118" w:firstLine="69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每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季度结束后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个工作日内，县级人民政府民政部门应在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乡镇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民政府(街道办事处)、当地政府门户网站集中公示上季度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临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时救助对象、临时救助金(实物)数额等信息，  并建立台账。</w:t>
      </w:r>
    </w:p>
    <w:p>
      <w:pPr>
        <w:tabs>
          <w:tab w:val="left" w:pos="775"/>
        </w:tabs>
        <w:spacing w:before="6" w:line="261" w:lineRule="auto"/>
        <w:ind w:left="7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三)科学制定救助标准。  临时救助是保障困难群众基本生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活的制度安排， 各地要立足当地经济社会发展水平，  与其他社会救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助制度和政策标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准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相衔接，  依据分类分档原则制定临时救助标准。</w:t>
      </w:r>
    </w:p>
    <w:p>
      <w:pPr>
        <w:spacing w:before="2" w:line="279" w:lineRule="auto"/>
        <w:ind w:left="7" w:right="119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根据救助对象的困难类型和程度，  可给予每人不超过当地</w:t>
      </w:r>
      <w:r>
        <w:rPr>
          <w:rFonts w:ascii="微软雅黑" w:hAnsi="微软雅黑" w:eastAsia="微软雅黑" w:cs="微软雅黑"/>
          <w:sz w:val="31"/>
          <w:szCs w:val="31"/>
        </w:rPr>
        <w:t xml:space="preserve">当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年月城市最低生活保障标准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6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倍的</w:t>
      </w:r>
      <w:r>
        <w:rPr>
          <w:rFonts w:ascii="微软雅黑" w:hAnsi="微软雅黑" w:eastAsia="微软雅黑" w:cs="微软雅黑"/>
          <w:sz w:val="31"/>
          <w:szCs w:val="31"/>
        </w:rPr>
        <w:t>一次性基本生活救助；  特别困</w:t>
      </w:r>
    </w:p>
    <w:p>
      <w:pPr>
        <w:sectPr>
          <w:footerReference r:id="rId8" w:type="default"/>
          <w:pgSz w:w="11907" w:h="16839"/>
          <w:pgMar w:top="1431" w:right="1355" w:bottom="1536" w:left="1483" w:header="0" w:footer="1256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33" w:line="262" w:lineRule="auto"/>
        <w:ind w:left="1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难的， 不超过当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地当年月城市最低生活保障标准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倍。对于重大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生活困难，临时救助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标准可采取一事一议方式，  适当提高救助额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度 。具体分类分档的救助标准，由各县(市、区)  民政部门会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财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政部门设定。临时救助人数按实际遭遇困难人数确定。对于同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一困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难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情形， 同一救助对象同时符合多种救助对象条件的， 按“就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高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就低”原则予以救助，不得重复救助。</w:t>
      </w:r>
    </w:p>
    <w:p>
      <w:pPr>
        <w:tabs>
          <w:tab w:val="left" w:pos="771"/>
        </w:tabs>
        <w:spacing w:before="31" w:line="263" w:lineRule="auto"/>
        <w:ind w:right="4"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(四)拓展完善救助方式。  各地要根据救助对象实际情况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综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合运用发放临时救助金、发放实物和提供转介服务等多种救助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方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式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，发挥临时救助应急、过渡、衔接、补充的制度作用，不断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提升救助效益。对给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予临时救助金、实物救助后，  仍不能解决临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救助对象困难的，应通过县级困难群众基本生活保障工作协调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机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制、乡镇人民政府(街道办事处)社会救助“一门受理、协同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办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理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”平台提供转介服务， 形成救助合力， 增强救助效能。其中，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对符合最低生活保障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、特困供养条件的，  及时协助申请最低生活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保障、特困供养；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对符合其他专项社会救助制度的，及时转介相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关部门予以救助；  对给予政府救助后仍有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基本生活困难的，及时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转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介公益慈善组织、社会工作服务机构等通过慈善项目、发动社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募捐、提供专业服务、志愿服务等形式给予帮扶。鼓励有条件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地方通过购买服务方式，及时为有需要的困难群众提供临时照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料护理、心理抚慰、精神慰藉等救助服务。对于急难型救助对象，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可采取一次审批、分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阶段救助的方式，提高救助精准度；  可通过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直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发放现金或实物的方式，提高救助时效性。</w:t>
      </w:r>
    </w:p>
    <w:p>
      <w:pPr>
        <w:sectPr>
          <w:footerReference r:id="rId9" w:type="default"/>
          <w:pgSz w:w="11907" w:h="16839"/>
          <w:pgMar w:top="1431" w:right="1472" w:bottom="1534" w:left="1487" w:header="0" w:footer="1258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tabs>
          <w:tab w:val="left" w:pos="851"/>
        </w:tabs>
        <w:spacing w:before="133" w:line="262" w:lineRule="auto"/>
        <w:ind w:left="2" w:right="102" w:firstLine="6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五)加强与慈善救助衔接。 各地要积极培育发展以扶贫济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困等为宗旨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的慈善组织，  广泛动员慈善组织参与临时救助工作。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鼓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励、引导慈善组织建立专项基金，科学规划、设立救助项目，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承接政府救助之后“转介”的个案，形成与政府救助的有效衔接</w:t>
      </w:r>
      <w:r>
        <w:rPr>
          <w:rFonts w:ascii="微软雅黑" w:hAnsi="微软雅黑" w:eastAsia="微软雅黑" w:cs="微软雅黑"/>
          <w:sz w:val="31"/>
          <w:szCs w:val="31"/>
        </w:rPr>
        <w:t xml:space="preserve">、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接续救助。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极引导困难群众通过慈善医疗众筹、慈善超市获得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慈善救助。  完善和落实支持社</w:t>
      </w:r>
      <w:r>
        <w:rPr>
          <w:rFonts w:ascii="微软雅黑" w:hAnsi="微软雅黑" w:eastAsia="微软雅黑" w:cs="微软雅黑"/>
          <w:sz w:val="31"/>
          <w:szCs w:val="31"/>
        </w:rPr>
        <w:t xml:space="preserve">会力量参与社会救助的政策措施，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加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大政府购买服务力度。积极探索政府引导、社会力量筹资、慈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组织运作的政社联动模式，搭建慈善组织等社会力量参与临时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救助的平台，形成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救助合力。  探索公益慈善组织等通过向有条件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特困供养服务机构购买服务方式为最低生活保障家庭、建档立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贫困家庭、城市低收入家庭中的老年人、重度残疾人、重病患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者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提供集中托养照料服务。</w:t>
      </w:r>
    </w:p>
    <w:p>
      <w:pPr>
        <w:spacing w:before="2" w:line="205" w:lineRule="auto"/>
        <w:ind w:left="7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三、强化组织保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障</w:t>
      </w:r>
    </w:p>
    <w:p>
      <w:pPr>
        <w:tabs>
          <w:tab w:val="left" w:pos="763"/>
        </w:tabs>
        <w:spacing w:before="120" w:line="266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) 加强组织领导 。各地要积极争取当地党委和政府的重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和支持，将加强和改进临时救助工作列入政府重要议事日程，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一步完善政策措施，健全工作机制，加大资金投入，深入实施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好临时救助制度；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要积极争取将临时救助等社会救助工作列入地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方领导班子和领导干部政绩考核评价指标体系，并合理确定权重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加强社会救助管理部门之间、社会救助管理部门与其他相关部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门之间、政府部门与慈善组织之间的协调配合，形成工作合力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各级民政部门要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切实履行主管部门职责，  发挥好统筹协调作用。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各级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财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政部门要加强资金保障，提高资金使用效益。</w:t>
      </w:r>
    </w:p>
    <w:p>
      <w:pPr>
        <w:sectPr>
          <w:footerReference r:id="rId10" w:type="default"/>
          <w:pgSz w:w="11907" w:h="16839"/>
          <w:pgMar w:top="1431" w:right="1371" w:bottom="1536" w:left="1487" w:header="0" w:footer="1258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tabs>
          <w:tab w:val="left" w:pos="760"/>
        </w:tabs>
        <w:spacing w:before="133" w:line="262" w:lineRule="auto"/>
        <w:ind w:left="2" w:right="54" w:firstLine="6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(二) 加强监督检查。  各地要加强对临时救助工作的督促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，进一步完善困难群众基本生活救助工作绩效评价机制，加强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临时救助工作的绩效评估，突出制度效能的发挥，强化结果运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用。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会同有关部门加快建立健全社会救助责任追究机制，区分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观故意、客观偏差和改革创新等不同情形，对因主观故意造成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工作错误和损失的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，严肃追究相关责任；  对因居民家庭经济状况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核对信息有限等客观偏差或探索创新、先行先试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造成工作失误的，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或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因情况紧急为避免发生冲击社会道德和心理底线的事件造成救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助不精准的 ，从轻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、减轻或免于追责。</w:t>
      </w:r>
    </w:p>
    <w:p>
      <w:pPr>
        <w:tabs>
          <w:tab w:val="left" w:pos="760"/>
        </w:tabs>
        <w:spacing w:before="7" w:line="261" w:lineRule="auto"/>
        <w:ind w:right="154" w:firstLine="60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(三) 加强资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金保障。  各地要多方筹集临时救助资金，  合理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安排和统筹使用 困难群众救助补</w:t>
      </w:r>
      <w:r>
        <w:rPr>
          <w:rFonts w:ascii="微软雅黑" w:hAnsi="微软雅黑" w:eastAsia="微软雅黑" w:cs="微软雅黑"/>
          <w:sz w:val="31"/>
          <w:szCs w:val="31"/>
        </w:rPr>
        <w:t xml:space="preserve">助资金，  对临时救助的投入原则 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上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只增不减。在乡镇(街道)建立临时救助备用金制度，  用于处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紧急性突发事件，进一步提高救助时效性。临时救助备用金额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度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原则上不高于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万元。</w:t>
      </w:r>
    </w:p>
    <w:p>
      <w:pPr>
        <w:tabs>
          <w:tab w:val="left" w:pos="760"/>
        </w:tabs>
        <w:spacing w:before="2" w:line="266" w:lineRule="auto"/>
        <w:ind w:left="1" w:firstLine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(四) 深化“救急难”综合试点。  各地要准确分析和把握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救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助形势， 不断深化对“救急难”工作的认识，  强化“救急难”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意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识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，认真谋划推进“救急难”工作。要以加强部门协同、推进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资源统筹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、提升救助效益为重点，  进一步强化制度落实，  创新工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作机制，  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升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综合救助能力，有效化解人民群众各类重大急难问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题，切实兜住民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底线，  最大限度防止发生冲击社会道德和心理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底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线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的事件。要认真评估、总结“救急难”综合试点经验，  有序扩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大试点范围，  不断提升工作成效，  适时全面推开“救急难”工作。</w:t>
      </w:r>
    </w:p>
    <w:p>
      <w:pPr>
        <w:sectPr>
          <w:footerReference r:id="rId11" w:type="default"/>
          <w:pgSz w:w="11907" w:h="16839"/>
          <w:pgMar w:top="1431" w:right="1319" w:bottom="1534" w:left="1489" w:header="0" w:footer="1258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  <w:r>
        <w:pict>
          <v:shape id="_x0000_s1027" o:spid="_x0000_s1027" style="position:absolute;left:0pt;margin-left:73.7pt;margin-top:711.9pt;height:0.75pt;width:435.7pt;mso-position-horizontal-relative:page;mso-position-vertical-relative:page;z-index:251661312;mso-width-relative:page;mso-height-relative:page;" fillcolor="#000000" filled="t" stroked="f" coordsize="8714,15" o:allowincell="f" path="m0,14l4356,14,4356,0,0,0,0,14xem4356,14l4370,14,4370,0,4356,0,4356,14xem4370,14l8713,14,8713,0,4370,0,4370,14xe"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72.95pt;margin-top:740pt;height:0.75pt;width:436.4pt;mso-position-horizontal-relative:page;mso-position-vertical-relative:page;z-index:251660288;mso-width-relative:page;mso-height-relative:page;" fillcolor="#000000" filled="t" stroked="f" coordsize="8727,15" o:allowincell="f" path="m0,14l4370,14,4370,0,0,0,0,14xem4356,14l4370,14,4370,0,4356,0,4356,14xem4370,14l8727,14,8727,0,4370,0,4370,14xe">
            <v:fill on="t" focussize="0,0"/>
            <v:stroke on="f"/>
            <v:imagedata o:title=""/>
            <o:lock v:ext="edit"/>
          </v:shape>
        </w:pict>
      </w:r>
      <w:r>
        <w:pict>
          <v:group id="_x0000_s1029" o:spid="_x0000_s1029" o:spt="203" style="position:absolute;left:0pt;margin-left:327.5pt;margin-top:237.4pt;height:129.55pt;width:129pt;mso-position-horizontal-relative:page;mso-position-vertical-relative:page;z-index:251659264;mso-width-relative:page;mso-height-relative:page;" coordsize="2580,2591" o:allowincell="f">
            <o:lock v:ext="edit"/>
            <v:shape id="_x0000_s1030" o:spid="_x0000_s1030" o:spt="75" type="#_x0000_t75" style="position:absolute;left:0;top:0;height:2591;width:258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1" o:spid="_x0000_s1031" o:spt="202" type="#_x0000_t202" style="position:absolute;left:-20;top:-20;height:2730;width:26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07" w:lineRule="auto"/>
                      <w:ind w:left="417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湖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北省财政厅</w:t>
                    </w:r>
                  </w:p>
                  <w:p>
                    <w:pPr>
                      <w:spacing w:before="181" w:line="207" w:lineRule="auto"/>
                      <w:ind w:left="240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-21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31"/>
                        <w:szCs w:val="31"/>
                      </w:rPr>
                      <w:t xml:space="preserve">019 </w:t>
                    </w:r>
                    <w:r>
                      <w:rPr>
                        <w:rFonts w:ascii="微软雅黑" w:hAnsi="微软雅黑" w:eastAsia="微软雅黑" w:cs="微软雅黑"/>
                        <w:spacing w:val="-14"/>
                        <w:sz w:val="31"/>
                        <w:szCs w:val="31"/>
                      </w:rPr>
                      <w:t xml:space="preserve">年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31"/>
                        <w:szCs w:val="31"/>
                      </w:rPr>
                      <w:t xml:space="preserve">7 </w:t>
                    </w:r>
                    <w:r>
                      <w:rPr>
                        <w:rFonts w:ascii="微软雅黑" w:hAnsi="微软雅黑" w:eastAsia="微软雅黑" w:cs="微软雅黑"/>
                        <w:spacing w:val="-14"/>
                        <w:sz w:val="31"/>
                        <w:szCs w:val="31"/>
                      </w:rPr>
                      <w:t xml:space="preserve">月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31"/>
                        <w:szCs w:val="31"/>
                      </w:rPr>
                      <w:t xml:space="preserve">3 </w:t>
                    </w:r>
                    <w:r>
                      <w:rPr>
                        <w:rFonts w:ascii="微软雅黑" w:hAnsi="微软雅黑" w:eastAsia="微软雅黑" w:cs="微软雅黑"/>
                        <w:spacing w:val="-14"/>
                        <w:sz w:val="31"/>
                        <w:szCs w:val="31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133" w:line="262" w:lineRule="auto"/>
        <w:ind w:left="35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各市、州、直管市及神农架林区要结合本地实际，  制定和完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善临时救助对象具体认定办法，进一步细化本地临时救助标准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乡镇临时救助备用金管理使用办法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1" w:line="206" w:lineRule="auto"/>
        <w:ind w:left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本实施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意见自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7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日起施行，有效期五年。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2647" w:lineRule="exact"/>
        <w:ind w:firstLine="1224"/>
        <w:textAlignment w:val="center"/>
      </w:pPr>
      <w:r>
        <w:pict>
          <v:group id="_x0000_s1032" o:spid="_x0000_s1032" o:spt="203" style="height:132.35pt;width:134.35pt;" coordsize="2687,2647">
            <o:lock v:ext="edit"/>
            <v:shape id="_x0000_s1033" o:spid="_x0000_s1033" o:spt="75" type="#_x0000_t75" style="position:absolute;left:0;top:0;height:2647;width:2687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4" o:spid="_x0000_s1034" o:spt="202" type="#_x0000_t202" style="position:absolute;left:-20;top:-20;height:2787;width:27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07" w:lineRule="auto"/>
                      <w:ind w:left="44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8"/>
                        <w:sz w:val="31"/>
                        <w:szCs w:val="31"/>
                      </w:rPr>
                      <w:t>湖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31"/>
                        <w:szCs w:val="31"/>
                      </w:rPr>
                      <w:t>北省民政厅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21" w:lineRule="exact"/>
      </w:pPr>
    </w:p>
    <w:p>
      <w:pPr>
        <w:sectPr>
          <w:footerReference r:id="rId12" w:type="default"/>
          <w:pgSz w:w="11907" w:h="16839"/>
          <w:pgMar w:top="1431" w:right="1474" w:bottom="1536" w:left="1459" w:header="0" w:footer="1258" w:gutter="0"/>
          <w:cols w:equalWidth="0" w:num="1">
            <w:col w:w="8973"/>
          </w:cols>
        </w:sectPr>
      </w:pPr>
    </w:p>
    <w:p>
      <w:pPr>
        <w:spacing w:before="62" w:line="158" w:lineRule="auto"/>
        <w:ind w:left="17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湖北省民政厅办公室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58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2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019 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 xml:space="preserve">年 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7 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 xml:space="preserve">月 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4 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>日 印发</w:t>
      </w:r>
    </w:p>
    <w:sectPr>
      <w:type w:val="continuous"/>
      <w:pgSz w:w="11907" w:h="16839"/>
      <w:pgMar w:top="1431" w:right="1474" w:bottom="1536" w:left="1459" w:header="0" w:footer="1258" w:gutter="0"/>
      <w:cols w:equalWidth="0" w:num="2">
        <w:col w:w="5797" w:space="100"/>
        <w:col w:w="30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31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RhODJmNDI5YWM4NjhhMjJjNTRlNGJlMmJlZTU1ZWIifQ=="/>
  </w:docVars>
  <w:rsids>
    <w:rsidRoot w:val="00000000"/>
    <w:rsid w:val="23BE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3718</Words>
  <Characters>3751</Characters>
  <TotalTime>11</TotalTime>
  <ScaleCrop>false</ScaleCrop>
  <LinksUpToDate>false</LinksUpToDate>
  <CharactersWithSpaces>4088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2019-07-04T15:33:00Z</dcterms:created>
  <dc:creator>周爱荣/办公室/湖北省民政厅</dc:creator>
  <cp:lastModifiedBy>章章</cp:lastModifiedBy>
  <dcterms:modified xsi:type="dcterms:W3CDTF">2022-08-26T00:44:28Z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2022-08-16T11:47:07Z</vt:filetime>
  </property>
  <property fmtid="{D5CDD505-2E9C-101B-9397-08002B2CF9AE}" pid="4" name="KSOProductBuildVer">
    <vt:lpwstr>2052-11.1.0.12302</vt:lpwstr>
  </property>
  <property fmtid="{D5CDD505-2E9C-101B-9397-08002B2CF9AE}" pid="5" name="ICV">
    <vt:lpwstr>5ED819B0A4574080BDB0803FA5BACF4F</vt:lpwstr>
  </property>
</Properties>
</file>