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718A12">
      <w:pPr>
        <w:spacing w:line="243" w:lineRule="auto"/>
        <w:jc w:val="both"/>
        <w:rPr>
          <w:rFonts w:hint="eastAsia" w:ascii="宋体" w:hAnsi="宋体" w:eastAsia="宋体" w:cs="宋体"/>
          <w:b/>
          <w:bCs/>
          <w:spacing w:val="19"/>
          <w:sz w:val="31"/>
          <w:szCs w:val="31"/>
          <w:lang w:val="en-US" w:eastAsia="zh-CN"/>
        </w:rPr>
      </w:pPr>
      <w:r>
        <w:drawing>
          <wp:anchor distT="0" distB="0" distL="114300" distR="114300" simplePos="0" relativeHeight="251661312" behindDoc="1" locked="0" layoutInCell="1" allowOverlap="1">
            <wp:simplePos x="0" y="0"/>
            <wp:positionH relativeFrom="column">
              <wp:posOffset>-536575</wp:posOffset>
            </wp:positionH>
            <wp:positionV relativeFrom="paragraph">
              <wp:posOffset>-228600</wp:posOffset>
            </wp:positionV>
            <wp:extent cx="5295265" cy="3570605"/>
            <wp:effectExtent l="0" t="0" r="8255" b="10795"/>
            <wp:wrapNone/>
            <wp:docPr id="3" name="图片 2"/>
            <wp:cNvGraphicFramePr/>
            <a:graphic xmlns:a="http://schemas.openxmlformats.org/drawingml/2006/main">
              <a:graphicData uri="http://schemas.openxmlformats.org/drawingml/2006/picture">
                <pic:pic xmlns:pic="http://schemas.openxmlformats.org/drawingml/2006/picture">
                  <pic:nvPicPr>
                    <pic:cNvPr id="3" name="图片 2"/>
                    <pic:cNvPicPr/>
                  </pic:nvPicPr>
                  <pic:blipFill>
                    <a:blip r:embed="rId35">
                      <a:extLst>
                        <a:ext uri="{28A0092B-C50C-407E-A947-70E740481C1C}">
                          <a14:useLocalDpi xmlns:a14="http://schemas.microsoft.com/office/drawing/2010/main" val="0"/>
                        </a:ext>
                      </a:extLst>
                    </a:blip>
                    <a:srcRect/>
                    <a:stretch>
                      <a:fillRect/>
                    </a:stretch>
                  </pic:blipFill>
                  <pic:spPr>
                    <a:xfrm>
                      <a:off x="0" y="0"/>
                      <a:ext cx="5295265" cy="3570605"/>
                    </a:xfrm>
                    <a:prstGeom prst="rect">
                      <a:avLst/>
                    </a:prstGeom>
                  </pic:spPr>
                </pic:pic>
              </a:graphicData>
            </a:graphic>
          </wp:anchor>
        </w:drawing>
      </w:r>
    </w:p>
    <w:p w14:paraId="305DE268">
      <w:pPr>
        <w:spacing w:line="243" w:lineRule="auto"/>
        <w:jc w:val="center"/>
        <w:rPr>
          <w:rFonts w:hint="eastAsia" w:ascii="宋体" w:hAnsi="宋体" w:eastAsia="宋体" w:cs="宋体"/>
          <w:b/>
          <w:bCs/>
          <w:spacing w:val="19"/>
          <w:sz w:val="36"/>
          <w:szCs w:val="36"/>
          <w:lang w:val="en-US" w:eastAsia="zh-CN"/>
        </w:rPr>
      </w:pPr>
      <w:r>
        <w:rPr>
          <w:rFonts w:hint="eastAsia" w:ascii="宋体" w:hAnsi="宋体" w:eastAsia="宋体" w:cs="宋体"/>
          <w:b/>
          <w:bCs/>
          <w:spacing w:val="19"/>
          <w:sz w:val="36"/>
          <w:szCs w:val="36"/>
          <w:lang w:val="en-US" w:eastAsia="zh-CN"/>
        </w:rPr>
        <w:t>广水自然资源领域</w:t>
      </w:r>
    </w:p>
    <w:p w14:paraId="7183DF5C">
      <w:pPr>
        <w:spacing w:line="243" w:lineRule="auto"/>
        <w:jc w:val="center"/>
        <w:rPr>
          <w:rFonts w:hint="eastAsia" w:ascii="宋体" w:hAnsi="宋体" w:eastAsia="宋体" w:cs="宋体"/>
          <w:b/>
          <w:bCs/>
          <w:spacing w:val="19"/>
          <w:sz w:val="36"/>
          <w:szCs w:val="36"/>
          <w:lang w:val="en-US" w:eastAsia="zh-CN"/>
        </w:rPr>
      </w:pPr>
      <w:r>
        <w:rPr>
          <w:rFonts w:hint="eastAsia" w:ascii="宋体" w:hAnsi="宋体" w:eastAsia="宋体" w:cs="宋体"/>
          <w:b/>
          <w:bCs/>
          <w:spacing w:val="19"/>
          <w:sz w:val="36"/>
          <w:szCs w:val="36"/>
          <w:lang w:val="en-US" w:eastAsia="zh-CN"/>
        </w:rPr>
        <w:t>优化营商环境政策简编</w:t>
      </w:r>
    </w:p>
    <w:p w14:paraId="4C92FFF6">
      <w:pPr>
        <w:spacing w:line="243" w:lineRule="auto"/>
        <w:jc w:val="center"/>
        <w:rPr>
          <w:rFonts w:hint="eastAsia" w:ascii="宋体" w:hAnsi="宋体" w:eastAsia="宋体" w:cs="宋体"/>
          <w:b/>
          <w:bCs/>
          <w:spacing w:val="19"/>
          <w:sz w:val="36"/>
          <w:szCs w:val="36"/>
          <w:lang w:val="en-US" w:eastAsia="zh-CN"/>
        </w:rPr>
      </w:pPr>
      <w:r>
        <w:rPr>
          <w:rFonts w:hint="eastAsia" w:ascii="宋体" w:hAnsi="宋体" w:eastAsia="宋体" w:cs="宋体"/>
          <w:b/>
          <w:bCs/>
          <w:spacing w:val="19"/>
          <w:sz w:val="36"/>
          <w:szCs w:val="36"/>
          <w:lang w:val="en-US" w:eastAsia="zh-CN"/>
        </w:rPr>
        <w:t>（2024年版）</w:t>
      </w:r>
    </w:p>
    <w:p w14:paraId="1A9A48B0">
      <w:pPr>
        <w:spacing w:line="243" w:lineRule="auto"/>
        <w:jc w:val="center"/>
        <w:rPr>
          <w:rFonts w:hint="eastAsia" w:ascii="宋体" w:hAnsi="宋体" w:eastAsia="宋体" w:cs="宋体"/>
          <w:b/>
          <w:bCs/>
          <w:spacing w:val="19"/>
          <w:sz w:val="36"/>
          <w:szCs w:val="36"/>
          <w:lang w:val="en-US" w:eastAsia="zh-CN"/>
        </w:rPr>
      </w:pPr>
    </w:p>
    <w:p w14:paraId="67F184FA">
      <w:pPr>
        <w:spacing w:line="243" w:lineRule="auto"/>
        <w:ind w:firstLine="1048" w:firstLineChars="300"/>
        <w:jc w:val="both"/>
        <w:rPr>
          <w:rFonts w:hint="eastAsia" w:ascii="宋体" w:hAnsi="宋体" w:eastAsia="宋体" w:cs="宋体"/>
          <w:b/>
          <w:bCs/>
          <w:spacing w:val="19"/>
          <w:sz w:val="31"/>
          <w:szCs w:val="31"/>
          <w:lang w:val="en-US" w:eastAsia="zh-CN"/>
        </w:rPr>
      </w:pPr>
      <w:r>
        <w:rPr>
          <w:rFonts w:hint="eastAsia" w:ascii="宋体" w:hAnsi="宋体" w:eastAsia="宋体" w:cs="宋体"/>
          <w:b/>
          <w:bCs/>
          <w:spacing w:val="19"/>
          <w:sz w:val="31"/>
          <w:szCs w:val="31"/>
          <w:lang w:val="en-US" w:eastAsia="zh-CN"/>
        </w:rPr>
        <w:t>广水市自然资源和规划局</w:t>
      </w:r>
    </w:p>
    <w:p w14:paraId="45A515FE">
      <w:pPr>
        <w:spacing w:line="243" w:lineRule="auto"/>
        <w:jc w:val="both"/>
        <w:rPr>
          <w:rFonts w:hint="eastAsia" w:ascii="宋体" w:hAnsi="宋体" w:eastAsia="宋体" w:cs="宋体"/>
          <w:b/>
          <w:bCs/>
          <w:spacing w:val="19"/>
          <w:sz w:val="31"/>
          <w:szCs w:val="31"/>
          <w:lang w:val="en-US" w:eastAsia="zh-CN"/>
        </w:rPr>
      </w:pPr>
    </w:p>
    <w:p w14:paraId="0381DAF3">
      <w:pPr>
        <w:spacing w:line="243" w:lineRule="auto"/>
        <w:jc w:val="both"/>
        <w:rPr>
          <w:rFonts w:hint="eastAsia" w:ascii="宋体" w:hAnsi="宋体" w:eastAsia="宋体" w:cs="宋体"/>
          <w:b/>
          <w:bCs/>
          <w:spacing w:val="19"/>
          <w:sz w:val="31"/>
          <w:szCs w:val="31"/>
          <w:lang w:val="en-US" w:eastAsia="zh-CN"/>
        </w:rPr>
      </w:pPr>
    </w:p>
    <w:p w14:paraId="791E9C4D">
      <w:pPr>
        <w:spacing w:line="243" w:lineRule="auto"/>
        <w:jc w:val="both"/>
        <w:rPr>
          <w:rFonts w:hint="eastAsia" w:ascii="宋体" w:hAnsi="宋体" w:eastAsia="宋体" w:cs="宋体"/>
          <w:b/>
          <w:bCs/>
          <w:spacing w:val="19"/>
          <w:sz w:val="31"/>
          <w:szCs w:val="31"/>
          <w:lang w:val="en-US" w:eastAsia="zh-CN"/>
        </w:rPr>
      </w:pPr>
    </w:p>
    <w:p w14:paraId="67D40C54">
      <w:pPr>
        <w:spacing w:line="243" w:lineRule="auto"/>
        <w:jc w:val="both"/>
        <w:rPr>
          <w:rFonts w:hint="eastAsia" w:ascii="宋体" w:hAnsi="宋体" w:eastAsia="宋体" w:cs="宋体"/>
          <w:b/>
          <w:bCs/>
          <w:spacing w:val="19"/>
          <w:sz w:val="31"/>
          <w:szCs w:val="31"/>
          <w:lang w:val="en-US" w:eastAsia="zh-CN"/>
        </w:rPr>
      </w:pPr>
    </w:p>
    <w:p w14:paraId="2073825D">
      <w:pPr>
        <w:spacing w:line="243" w:lineRule="auto"/>
        <w:jc w:val="both"/>
        <w:rPr>
          <w:rFonts w:hint="eastAsia" w:ascii="宋体" w:hAnsi="宋体" w:eastAsia="宋体" w:cs="宋体"/>
          <w:b/>
          <w:bCs/>
          <w:spacing w:val="19"/>
          <w:sz w:val="31"/>
          <w:szCs w:val="31"/>
          <w:lang w:val="en-US" w:eastAsia="zh-CN"/>
        </w:rPr>
      </w:pPr>
    </w:p>
    <w:p w14:paraId="74CDAC83">
      <w:pPr>
        <w:spacing w:line="243" w:lineRule="auto"/>
        <w:jc w:val="both"/>
        <w:rPr>
          <w:rFonts w:ascii="Arial"/>
          <w:sz w:val="21"/>
        </w:rPr>
      </w:pPr>
    </w:p>
    <w:p w14:paraId="674CEC40">
      <w:pPr>
        <w:spacing w:line="243" w:lineRule="auto"/>
        <w:rPr>
          <w:rFonts w:ascii="Arial"/>
          <w:sz w:val="21"/>
        </w:rPr>
      </w:pPr>
    </w:p>
    <w:p w14:paraId="649BD40E">
      <w:pPr>
        <w:spacing w:line="393" w:lineRule="auto"/>
        <w:rPr>
          <w:rFonts w:ascii="Arial"/>
          <w:sz w:val="21"/>
        </w:rPr>
      </w:pPr>
    </w:p>
    <w:p w14:paraId="6FB62A7D">
      <w:pPr>
        <w:spacing w:line="393" w:lineRule="auto"/>
        <w:jc w:val="center"/>
        <w:rPr>
          <w:rFonts w:hint="eastAsia" w:ascii="Arial" w:eastAsia="宋体"/>
          <w:sz w:val="32"/>
          <w:szCs w:val="32"/>
          <w:lang w:val="en-US" w:eastAsia="zh-CN"/>
        </w:rPr>
      </w:pPr>
      <w:r>
        <w:rPr>
          <w:rFonts w:hint="eastAsia" w:eastAsia="宋体"/>
          <w:sz w:val="32"/>
          <w:szCs w:val="32"/>
          <w:lang w:val="en-US" w:eastAsia="zh-CN"/>
        </w:rPr>
        <w:t>前    言</w:t>
      </w:r>
    </w:p>
    <w:p w14:paraId="72A0D536">
      <w:pPr>
        <w:pStyle w:val="2"/>
        <w:spacing w:before="78" w:line="271" w:lineRule="auto"/>
        <w:ind w:firstLine="460"/>
        <w:jc w:val="both"/>
      </w:pPr>
      <w:r>
        <w:rPr>
          <w:spacing w:val="-3"/>
        </w:rPr>
        <w:t>为全面落实市委、市政府推动高质量发展的决策部署，帮助</w:t>
      </w:r>
      <w:r>
        <w:rPr>
          <w:spacing w:val="1"/>
        </w:rPr>
        <w:t xml:space="preserve"> </w:t>
      </w:r>
      <w:r>
        <w:rPr>
          <w:spacing w:val="-3"/>
        </w:rPr>
        <w:t>企事业单位和社会各界了解、把握自然资源和规划政策，市自然</w:t>
      </w:r>
      <w:r>
        <w:rPr>
          <w:spacing w:val="5"/>
        </w:rPr>
        <w:t xml:space="preserve"> </w:t>
      </w:r>
      <w:r>
        <w:rPr>
          <w:spacing w:val="-4"/>
        </w:rPr>
        <w:t>资源和规划局对国家、省、市有关企业发展的用地报批、规划许</w:t>
      </w:r>
      <w:r>
        <w:rPr>
          <w:spacing w:val="10"/>
        </w:rPr>
        <w:t xml:space="preserve"> </w:t>
      </w:r>
      <w:r>
        <w:rPr>
          <w:spacing w:val="-4"/>
        </w:rPr>
        <w:t>可、土地供应、生态修复、矿产资源和不动产登记六方面的政策</w:t>
      </w:r>
      <w:r>
        <w:rPr>
          <w:spacing w:val="11"/>
        </w:rPr>
        <w:t xml:space="preserve"> </w:t>
      </w:r>
      <w:r>
        <w:rPr>
          <w:spacing w:val="-8"/>
        </w:rPr>
        <w:t>进行了梳理，汇编成册，供社会各界参考。</w:t>
      </w:r>
    </w:p>
    <w:p w14:paraId="06D75498">
      <w:pPr>
        <w:spacing w:line="332" w:lineRule="auto"/>
        <w:rPr>
          <w:rFonts w:ascii="Arial"/>
          <w:sz w:val="21"/>
        </w:rPr>
      </w:pPr>
    </w:p>
    <w:p w14:paraId="7A8F1CAF">
      <w:pPr>
        <w:pStyle w:val="2"/>
        <w:spacing w:before="78" w:line="264" w:lineRule="auto"/>
        <w:ind w:left="4293" w:right="424" w:hanging="630"/>
      </w:pPr>
      <w:r>
        <w:rPr>
          <w:rFonts w:hint="eastAsia"/>
          <w:b/>
          <w:bCs/>
          <w:spacing w:val="-11"/>
          <w:lang w:val="en-US" w:eastAsia="zh-CN"/>
        </w:rPr>
        <w:t>广水</w:t>
      </w:r>
      <w:r>
        <w:rPr>
          <w:b/>
          <w:bCs/>
          <w:spacing w:val="-11"/>
        </w:rPr>
        <w:t>市自然资源和规划局</w:t>
      </w:r>
      <w:r>
        <w:rPr>
          <w:spacing w:val="6"/>
        </w:rPr>
        <w:t xml:space="preserve"> </w:t>
      </w:r>
      <w:r>
        <w:rPr>
          <w:b/>
          <w:bCs/>
          <w:spacing w:val="10"/>
        </w:rPr>
        <w:t>2024年5月</w:t>
      </w:r>
    </w:p>
    <w:p w14:paraId="3D5B5E07">
      <w:pPr>
        <w:spacing w:line="264" w:lineRule="auto"/>
        <w:sectPr>
          <w:headerReference r:id="rId5" w:type="default"/>
          <w:pgSz w:w="8390" w:h="5670"/>
          <w:pgMar w:top="400" w:right="877" w:bottom="0" w:left="869" w:header="0" w:footer="0" w:gutter="0"/>
          <w:cols w:space="720" w:num="1"/>
        </w:sectPr>
      </w:pPr>
    </w:p>
    <w:p w14:paraId="07BFB835">
      <w:pPr>
        <w:spacing w:line="270" w:lineRule="auto"/>
        <w:rPr>
          <w:rFonts w:ascii="Arial"/>
          <w:sz w:val="21"/>
        </w:rPr>
      </w:pPr>
    </w:p>
    <w:p w14:paraId="10F9ADB0">
      <w:pPr>
        <w:spacing w:line="271" w:lineRule="auto"/>
        <w:rPr>
          <w:rFonts w:ascii="Arial"/>
          <w:sz w:val="21"/>
        </w:rPr>
      </w:pPr>
    </w:p>
    <w:sdt>
      <w:sdtPr>
        <w:rPr>
          <w:rFonts w:ascii="宋体" w:hAnsi="宋体" w:eastAsia="宋体" w:cs="宋体"/>
          <w:sz w:val="30"/>
          <w:szCs w:val="30"/>
        </w:rPr>
        <w:id w:val="147471295"/>
        <w:docPartObj>
          <w:docPartGallery w:val="Table of Contents"/>
          <w:docPartUnique/>
        </w:docPartObj>
      </w:sdtPr>
      <w:sdtEndPr>
        <w:rPr>
          <w:rFonts w:ascii="Times New Roman" w:hAnsi="Times New Roman" w:eastAsia="Times New Roman" w:cs="Times New Roman"/>
          <w:sz w:val="24"/>
          <w:szCs w:val="24"/>
        </w:rPr>
      </w:sdtEndPr>
      <w:sdtContent>
        <w:p w14:paraId="30220FA8">
          <w:pPr>
            <w:pStyle w:val="2"/>
            <w:spacing w:before="97" w:line="221" w:lineRule="auto"/>
            <w:ind w:left="2664"/>
            <w:rPr>
              <w:sz w:val="30"/>
              <w:szCs w:val="30"/>
            </w:rPr>
          </w:pPr>
          <w:bookmarkStart w:id="0" w:name="bookmark1"/>
          <w:bookmarkEnd w:id="0"/>
          <w:r>
            <w:rPr>
              <w:b/>
              <w:bCs/>
              <w:spacing w:val="-38"/>
              <w:sz w:val="30"/>
              <w:szCs w:val="30"/>
            </w:rPr>
            <w:t>目</w:t>
          </w:r>
          <w:r>
            <w:rPr>
              <w:spacing w:val="3"/>
              <w:sz w:val="30"/>
              <w:szCs w:val="30"/>
            </w:rPr>
            <w:t xml:space="preserve">     </w:t>
          </w:r>
          <w:r>
            <w:rPr>
              <w:b/>
              <w:bCs/>
              <w:spacing w:val="-38"/>
              <w:sz w:val="30"/>
              <w:szCs w:val="30"/>
            </w:rPr>
            <w:t>录</w:t>
          </w:r>
        </w:p>
        <w:p w14:paraId="4A809471">
          <w:pPr>
            <w:spacing w:line="467" w:lineRule="auto"/>
            <w:rPr>
              <w:rFonts w:ascii="Arial"/>
              <w:sz w:val="21"/>
            </w:rPr>
          </w:pPr>
        </w:p>
        <w:p w14:paraId="79D9696F">
          <w:pPr>
            <w:pStyle w:val="2"/>
            <w:tabs>
              <w:tab w:val="right" w:leader="dot" w:pos="6600"/>
            </w:tabs>
            <w:spacing w:before="111" w:line="219" w:lineRule="auto"/>
            <w:ind w:left="3"/>
            <w:rPr>
              <w:b/>
              <w:bCs/>
              <w:spacing w:val="-17"/>
            </w:rPr>
          </w:pPr>
          <w:bookmarkStart w:id="1" w:name="bookmark2"/>
          <w:bookmarkEnd w:id="1"/>
          <w:r>
            <w:rPr>
              <w:b/>
              <w:bCs/>
              <w:spacing w:val="-17"/>
            </w:rPr>
            <w:fldChar w:fldCharType="begin"/>
          </w:r>
          <w:r>
            <w:rPr>
              <w:b/>
              <w:bCs/>
              <w:spacing w:val="-17"/>
            </w:rPr>
            <w:instrText xml:space="preserve"> HYPERLINK \l "bookmark2" </w:instrText>
          </w:r>
          <w:r>
            <w:rPr>
              <w:b/>
              <w:bCs/>
              <w:spacing w:val="-17"/>
            </w:rPr>
            <w:fldChar w:fldCharType="separate"/>
          </w:r>
          <w:r>
            <w:rPr>
              <w:b/>
              <w:bCs/>
              <w:spacing w:val="-17"/>
            </w:rPr>
            <w:t xml:space="preserve">一、用地报批类政策 </w:t>
          </w:r>
          <w:r>
            <w:rPr>
              <w:b/>
              <w:bCs/>
              <w:spacing w:val="-17"/>
            </w:rPr>
            <w:tab/>
          </w:r>
          <w:r>
            <w:rPr>
              <w:b/>
              <w:bCs/>
              <w:spacing w:val="-17"/>
            </w:rPr>
            <w:t xml:space="preserve"> 1</w:t>
          </w:r>
          <w:r>
            <w:rPr>
              <w:b/>
              <w:bCs/>
              <w:spacing w:val="-17"/>
            </w:rPr>
            <w:fldChar w:fldCharType="end"/>
          </w:r>
        </w:p>
        <w:p w14:paraId="1229B5B4">
          <w:pPr>
            <w:pStyle w:val="2"/>
            <w:tabs>
              <w:tab w:val="right" w:leader="dot" w:pos="6600"/>
            </w:tabs>
            <w:spacing w:before="111" w:line="219" w:lineRule="auto"/>
            <w:ind w:left="3"/>
            <w:rPr>
              <w:b/>
              <w:bCs/>
              <w:spacing w:val="-17"/>
            </w:rPr>
          </w:pPr>
          <w:bookmarkStart w:id="2" w:name="bookmark1"/>
          <w:bookmarkEnd w:id="2"/>
          <w:r>
            <w:rPr>
              <w:b/>
              <w:bCs/>
              <w:spacing w:val="-17"/>
            </w:rPr>
            <w:fldChar w:fldCharType="begin"/>
          </w:r>
          <w:r>
            <w:rPr>
              <w:b/>
              <w:bCs/>
              <w:spacing w:val="-17"/>
            </w:rPr>
            <w:instrText xml:space="preserve"> HYPERLINK \l "bookmark1" </w:instrText>
          </w:r>
          <w:r>
            <w:rPr>
              <w:b/>
              <w:bCs/>
              <w:spacing w:val="-17"/>
            </w:rPr>
            <w:fldChar w:fldCharType="separate"/>
          </w:r>
          <w:r>
            <w:rPr>
              <w:b/>
              <w:bCs/>
              <w:spacing w:val="-17"/>
            </w:rPr>
            <w:t xml:space="preserve">二、规划许可类政策 </w:t>
          </w:r>
          <w:r>
            <w:rPr>
              <w:b/>
              <w:bCs/>
              <w:spacing w:val="-17"/>
            </w:rPr>
            <w:tab/>
          </w:r>
          <w:r>
            <w:rPr>
              <w:b/>
              <w:bCs/>
              <w:spacing w:val="-17"/>
            </w:rPr>
            <w:t>3</w:t>
          </w:r>
          <w:r>
            <w:rPr>
              <w:b/>
              <w:bCs/>
              <w:spacing w:val="-17"/>
            </w:rPr>
            <w:fldChar w:fldCharType="end"/>
          </w:r>
        </w:p>
        <w:p w14:paraId="1DC6CB16">
          <w:pPr>
            <w:pStyle w:val="2"/>
            <w:tabs>
              <w:tab w:val="right" w:leader="dot" w:pos="6600"/>
            </w:tabs>
            <w:spacing w:before="111" w:line="219" w:lineRule="auto"/>
            <w:ind w:left="3"/>
            <w:rPr>
              <w:b/>
              <w:bCs/>
              <w:spacing w:val="-17"/>
            </w:rPr>
          </w:pPr>
          <w:bookmarkStart w:id="3" w:name="bookmark3"/>
          <w:bookmarkEnd w:id="3"/>
          <w:r>
            <w:rPr>
              <w:b/>
              <w:bCs/>
              <w:spacing w:val="-17"/>
            </w:rPr>
            <w:fldChar w:fldCharType="begin"/>
          </w:r>
          <w:r>
            <w:rPr>
              <w:b/>
              <w:bCs/>
              <w:spacing w:val="-17"/>
            </w:rPr>
            <w:instrText xml:space="preserve"> HYPERLINK \l "bookmark3" </w:instrText>
          </w:r>
          <w:r>
            <w:rPr>
              <w:b/>
              <w:bCs/>
              <w:spacing w:val="-17"/>
            </w:rPr>
            <w:fldChar w:fldCharType="separate"/>
          </w:r>
          <w:r>
            <w:rPr>
              <w:b/>
              <w:bCs/>
              <w:spacing w:val="-17"/>
            </w:rPr>
            <w:t xml:space="preserve">三、土地供应类政策 </w:t>
          </w:r>
          <w:r>
            <w:rPr>
              <w:b/>
              <w:bCs/>
              <w:spacing w:val="-17"/>
            </w:rPr>
            <w:tab/>
          </w:r>
          <w:r>
            <w:rPr>
              <w:b/>
              <w:bCs/>
              <w:spacing w:val="-17"/>
            </w:rPr>
            <w:t>6</w:t>
          </w:r>
          <w:r>
            <w:rPr>
              <w:b/>
              <w:bCs/>
              <w:spacing w:val="-17"/>
            </w:rPr>
            <w:fldChar w:fldCharType="end"/>
          </w:r>
        </w:p>
        <w:p w14:paraId="136015B3">
          <w:pPr>
            <w:pStyle w:val="2"/>
            <w:tabs>
              <w:tab w:val="right" w:leader="dot" w:pos="6600"/>
            </w:tabs>
            <w:spacing w:before="111" w:line="219" w:lineRule="auto"/>
            <w:ind w:left="3"/>
            <w:rPr>
              <w:b/>
              <w:bCs/>
              <w:spacing w:val="-17"/>
            </w:rPr>
          </w:pPr>
          <w:bookmarkStart w:id="4" w:name="bookmark4"/>
          <w:bookmarkEnd w:id="4"/>
          <w:r>
            <w:rPr>
              <w:b/>
              <w:bCs/>
              <w:spacing w:val="-17"/>
            </w:rPr>
            <w:fldChar w:fldCharType="begin"/>
          </w:r>
          <w:r>
            <w:rPr>
              <w:b/>
              <w:bCs/>
              <w:spacing w:val="-17"/>
            </w:rPr>
            <w:instrText xml:space="preserve"> HYPERLINK \l "bookmark4" </w:instrText>
          </w:r>
          <w:r>
            <w:rPr>
              <w:b/>
              <w:bCs/>
              <w:spacing w:val="-17"/>
            </w:rPr>
            <w:fldChar w:fldCharType="separate"/>
          </w:r>
          <w:r>
            <w:rPr>
              <w:b/>
              <w:bCs/>
              <w:spacing w:val="-17"/>
            </w:rPr>
            <w:t xml:space="preserve">四、生态修复类政策 </w:t>
          </w:r>
          <w:r>
            <w:rPr>
              <w:b/>
              <w:bCs/>
              <w:spacing w:val="-17"/>
            </w:rPr>
            <w:tab/>
          </w:r>
          <w:r>
            <w:rPr>
              <w:b/>
              <w:bCs/>
              <w:spacing w:val="-17"/>
            </w:rPr>
            <w:t xml:space="preserve"> 17</w:t>
          </w:r>
          <w:r>
            <w:rPr>
              <w:b/>
              <w:bCs/>
              <w:spacing w:val="-17"/>
            </w:rPr>
            <w:fldChar w:fldCharType="end"/>
          </w:r>
        </w:p>
        <w:p w14:paraId="061FC44E">
          <w:pPr>
            <w:pStyle w:val="2"/>
            <w:tabs>
              <w:tab w:val="right" w:leader="dot" w:pos="6600"/>
            </w:tabs>
            <w:spacing w:before="111" w:line="219" w:lineRule="auto"/>
            <w:ind w:left="3"/>
            <w:rPr>
              <w:b/>
              <w:bCs/>
              <w:spacing w:val="-17"/>
            </w:rPr>
          </w:pPr>
          <w:bookmarkStart w:id="5" w:name="bookmark5"/>
          <w:bookmarkEnd w:id="5"/>
          <w:r>
            <w:rPr>
              <w:b/>
              <w:bCs/>
              <w:spacing w:val="-17"/>
            </w:rPr>
            <w:fldChar w:fldCharType="begin"/>
          </w:r>
          <w:r>
            <w:rPr>
              <w:b/>
              <w:bCs/>
              <w:spacing w:val="-17"/>
            </w:rPr>
            <w:instrText xml:space="preserve"> HYPERLINK \l "bookmark5" </w:instrText>
          </w:r>
          <w:r>
            <w:rPr>
              <w:b/>
              <w:bCs/>
              <w:spacing w:val="-17"/>
            </w:rPr>
            <w:fldChar w:fldCharType="separate"/>
          </w:r>
          <w:r>
            <w:rPr>
              <w:b/>
              <w:bCs/>
              <w:spacing w:val="-17"/>
            </w:rPr>
            <w:t xml:space="preserve">五、矿产资料类政策 </w:t>
          </w:r>
          <w:r>
            <w:rPr>
              <w:b/>
              <w:bCs/>
              <w:spacing w:val="-17"/>
            </w:rPr>
            <w:tab/>
          </w:r>
          <w:r>
            <w:rPr>
              <w:b/>
              <w:bCs/>
              <w:spacing w:val="-17"/>
            </w:rPr>
            <w:t>21</w:t>
          </w:r>
          <w:r>
            <w:rPr>
              <w:b/>
              <w:bCs/>
              <w:spacing w:val="-17"/>
            </w:rPr>
            <w:fldChar w:fldCharType="end"/>
          </w:r>
        </w:p>
        <w:p w14:paraId="23C6E4CF">
          <w:pPr>
            <w:pStyle w:val="2"/>
            <w:tabs>
              <w:tab w:val="right" w:leader="dot" w:pos="6600"/>
            </w:tabs>
            <w:spacing w:before="111" w:line="219" w:lineRule="auto"/>
            <w:ind w:left="3"/>
            <w:rPr>
              <w:rFonts w:ascii="Times New Roman" w:hAnsi="Times New Roman" w:eastAsia="Times New Roman" w:cs="Times New Roman"/>
            </w:rPr>
          </w:pPr>
          <w:bookmarkStart w:id="6" w:name="bookmark6"/>
          <w:bookmarkEnd w:id="6"/>
          <w:r>
            <w:rPr>
              <w:b/>
              <w:bCs/>
              <w:spacing w:val="-17"/>
            </w:rPr>
            <w:fldChar w:fldCharType="begin"/>
          </w:r>
          <w:r>
            <w:rPr>
              <w:b/>
              <w:bCs/>
              <w:spacing w:val="-17"/>
            </w:rPr>
            <w:instrText xml:space="preserve"> HYPERLINK \l "bookmark6" </w:instrText>
          </w:r>
          <w:r>
            <w:rPr>
              <w:b/>
              <w:bCs/>
              <w:spacing w:val="-17"/>
            </w:rPr>
            <w:fldChar w:fldCharType="separate"/>
          </w:r>
          <w:r>
            <w:rPr>
              <w:b/>
              <w:bCs/>
              <w:spacing w:val="-17"/>
            </w:rPr>
            <w:t xml:space="preserve">六、不动产登记类政策 </w:t>
          </w:r>
          <w:r>
            <w:rPr>
              <w:b/>
              <w:bCs/>
              <w:spacing w:val="-17"/>
            </w:rPr>
            <w:tab/>
          </w:r>
          <w:r>
            <w:rPr>
              <w:b/>
              <w:bCs/>
              <w:spacing w:val="-17"/>
            </w:rPr>
            <w:t>22</w:t>
          </w:r>
          <w:r>
            <w:rPr>
              <w:b/>
              <w:bCs/>
              <w:spacing w:val="-17"/>
            </w:rPr>
            <w:fldChar w:fldCharType="end"/>
          </w:r>
        </w:p>
      </w:sdtContent>
    </w:sdt>
    <w:p w14:paraId="08F9D599">
      <w:pPr>
        <w:spacing w:line="219" w:lineRule="auto"/>
        <w:rPr>
          <w:rFonts w:ascii="Times New Roman" w:hAnsi="Times New Roman" w:eastAsia="Times New Roman" w:cs="Times New Roman"/>
        </w:rPr>
        <w:sectPr>
          <w:pgSz w:w="8390" w:h="5670"/>
          <w:pgMar w:top="400" w:right="895" w:bottom="0" w:left="859" w:header="0" w:footer="0" w:gutter="0"/>
          <w:cols w:space="720" w:num="1"/>
        </w:sectPr>
      </w:pPr>
    </w:p>
    <w:p w14:paraId="14747D6C">
      <w:pPr>
        <w:spacing w:line="354" w:lineRule="auto"/>
        <w:rPr>
          <w:rFonts w:ascii="Arial"/>
          <w:sz w:val="21"/>
        </w:rPr>
      </w:pPr>
    </w:p>
    <w:p w14:paraId="36E6EB52">
      <w:pPr>
        <w:spacing w:before="78" w:line="221" w:lineRule="auto"/>
        <w:ind w:left="583"/>
        <w:outlineLvl w:val="0"/>
        <w:rPr>
          <w:rFonts w:ascii="黑体" w:hAnsi="黑体" w:eastAsia="黑体" w:cs="黑体"/>
          <w:sz w:val="24"/>
          <w:szCs w:val="24"/>
        </w:rPr>
      </w:pPr>
      <w:bookmarkStart w:id="7" w:name="bookmark2"/>
      <w:bookmarkEnd w:id="7"/>
      <w:r>
        <w:rPr>
          <w:rFonts w:ascii="黑体" w:hAnsi="黑体" w:eastAsia="黑体" w:cs="黑体"/>
          <w:b/>
          <w:bCs/>
          <w:spacing w:val="-12"/>
          <w:sz w:val="24"/>
          <w:szCs w:val="24"/>
        </w:rPr>
        <w:t>一、用地报批类政策</w:t>
      </w:r>
    </w:p>
    <w:p w14:paraId="42F3894A">
      <w:pPr>
        <w:pStyle w:val="2"/>
        <w:spacing w:before="51" w:line="249" w:lineRule="auto"/>
        <w:ind w:firstLine="610"/>
      </w:pPr>
      <w:r>
        <w:rPr>
          <w:spacing w:val="-8"/>
        </w:rPr>
        <w:t>1、按照通知要求，对于交通、能源、水利等重大项</w:t>
      </w:r>
      <w:r>
        <w:rPr>
          <w:spacing w:val="-9"/>
        </w:rPr>
        <w:t>目组卷报</w:t>
      </w:r>
      <w:r>
        <w:t xml:space="preserve"> 批工作，取消了重新预审，完善先行用地政策，优化了农用地专</w:t>
      </w:r>
      <w:r>
        <w:rPr>
          <w:spacing w:val="1"/>
        </w:rPr>
        <w:t xml:space="preserve">  </w:t>
      </w:r>
      <w:r>
        <w:rPr>
          <w:spacing w:val="-5"/>
        </w:rPr>
        <w:t>用和土地征收审批，优化调整用地报批规则。切实提升行政效能，</w:t>
      </w:r>
      <w:r>
        <w:rPr>
          <w:spacing w:val="14"/>
        </w:rPr>
        <w:t xml:space="preserve"> </w:t>
      </w:r>
      <w:r>
        <w:t>为巩固和增强经济回升向好的态势提供用地要素保障。推进重点</w:t>
      </w:r>
      <w:r>
        <w:rPr>
          <w:spacing w:val="10"/>
        </w:rPr>
        <w:t xml:space="preserve"> </w:t>
      </w:r>
      <w:r>
        <w:rPr>
          <w:spacing w:val="-8"/>
        </w:rPr>
        <w:t>项目用地“快报快批</w:t>
      </w:r>
      <w:r>
        <w:rPr>
          <w:rFonts w:hint="eastAsia"/>
          <w:spacing w:val="-8"/>
          <w:lang w:eastAsia="zh-CN"/>
        </w:rPr>
        <w:t>（</w:t>
      </w:r>
      <w:r>
        <w:rPr>
          <w:rFonts w:ascii="楷体" w:hAnsi="楷体" w:eastAsia="楷体" w:cs="楷体"/>
          <w:spacing w:val="-8"/>
        </w:rPr>
        <w:t>。(</w:t>
      </w:r>
      <w:r>
        <w:rPr>
          <w:rFonts w:ascii="楷体" w:hAnsi="楷体" w:eastAsia="楷体" w:cs="楷体"/>
          <w:snapToGrid w:val="0"/>
          <w:color w:val="000000"/>
          <w:spacing w:val="-8"/>
          <w:kern w:val="0"/>
          <w:sz w:val="24"/>
          <w:szCs w:val="24"/>
          <w:lang w:val="en-US" w:eastAsia="en-US" w:bidi="ar-SA"/>
        </w:rPr>
        <w:t>《自然资源部关于进一步改进优化能源、 交通、水利等重大建设项目用地组卷报批工作的通知》自然资发〔2024〕3</w:t>
      </w:r>
      <w:r>
        <w:rPr>
          <w:rFonts w:hint="eastAsia" w:ascii="楷体" w:hAnsi="楷体" w:eastAsia="楷体" w:cs="楷体"/>
          <w:snapToGrid w:val="0"/>
          <w:color w:val="000000"/>
          <w:spacing w:val="-8"/>
          <w:kern w:val="0"/>
          <w:sz w:val="24"/>
          <w:szCs w:val="24"/>
          <w:lang w:val="en-US" w:eastAsia="zh-CN" w:bidi="ar-SA"/>
        </w:rPr>
        <w:t>）</w:t>
      </w:r>
      <w:r>
        <w:rPr>
          <w:rFonts w:ascii="楷体" w:hAnsi="楷体" w:eastAsia="楷体" w:cs="楷体"/>
          <w:snapToGrid w:val="0"/>
          <w:color w:val="000000"/>
          <w:spacing w:val="-8"/>
          <w:kern w:val="0"/>
          <w:sz w:val="24"/>
          <w:szCs w:val="24"/>
          <w:lang w:val="en-US" w:eastAsia="en-US" w:bidi="ar-SA"/>
        </w:rPr>
        <w:t>号)</w:t>
      </w:r>
    </w:p>
    <w:p w14:paraId="52806211">
      <w:pPr>
        <w:pStyle w:val="2"/>
        <w:spacing w:before="70" w:line="245" w:lineRule="auto"/>
        <w:ind w:left="120" w:right="19" w:firstLine="450"/>
      </w:pPr>
      <w:r>
        <w:rPr>
          <w:spacing w:val="-7"/>
        </w:rPr>
        <w:t>2、按照通知要求，在严守资源安全底线，保持行</w:t>
      </w:r>
      <w:r>
        <w:rPr>
          <w:rFonts w:hint="eastAsia"/>
          <w:spacing w:val="-7"/>
          <w:lang w:eastAsia="zh-CN"/>
        </w:rPr>
        <w:t>效的</w:t>
      </w:r>
      <w:r>
        <w:rPr>
          <w:spacing w:val="-7"/>
        </w:rPr>
        <w:t>有效政策</w:t>
      </w:r>
      <w:r>
        <w:rPr>
          <w:spacing w:val="8"/>
        </w:rPr>
        <w:t xml:space="preserve"> </w:t>
      </w:r>
      <w:r>
        <w:rPr>
          <w:spacing w:val="-4"/>
        </w:rPr>
        <w:t>举措连续性稳定性基础上，对加快推进规划编制和审批、加强用</w:t>
      </w:r>
      <w:r>
        <w:rPr>
          <w:spacing w:val="9"/>
        </w:rPr>
        <w:t xml:space="preserve"> </w:t>
      </w:r>
      <w:r>
        <w:rPr>
          <w:spacing w:val="-4"/>
        </w:rPr>
        <w:t>地指标保障、坚持节约集约用地、优化建设项目</w:t>
      </w:r>
      <w:r>
        <w:rPr>
          <w:spacing w:val="-5"/>
        </w:rPr>
        <w:t>用地审批、完善</w:t>
      </w:r>
      <w:r>
        <w:t xml:space="preserve"> </w:t>
      </w:r>
      <w:r>
        <w:rPr>
          <w:spacing w:val="-9"/>
        </w:rPr>
        <w:t>自然资源资产供应制度、精准供地促进房地</w:t>
      </w:r>
      <w:r>
        <w:rPr>
          <w:spacing w:val="-10"/>
        </w:rPr>
        <w:t>产土地市场平稳发展、</w:t>
      </w:r>
    </w:p>
    <w:p w14:paraId="6250E448">
      <w:pPr>
        <w:spacing w:line="245" w:lineRule="auto"/>
        <w:sectPr>
          <w:headerReference r:id="rId6" w:type="default"/>
          <w:footerReference r:id="rId7" w:type="default"/>
          <w:pgSz w:w="8390" w:h="5670"/>
          <w:pgMar w:top="400" w:right="810" w:bottom="749" w:left="749" w:header="0" w:footer="510" w:gutter="0"/>
          <w:pgNumType w:fmt="decimal" w:start="1"/>
          <w:cols w:space="720" w:num="1"/>
        </w:sectPr>
      </w:pPr>
    </w:p>
    <w:p w14:paraId="59CF03EB">
      <w:pPr>
        <w:pStyle w:val="2"/>
        <w:spacing w:before="49"/>
        <w:rPr>
          <w:spacing w:val="-14"/>
          <w:sz w:val="25"/>
          <w:szCs w:val="25"/>
        </w:rPr>
      </w:pPr>
      <w:r>
        <w:rPr>
          <w:spacing w:val="-4"/>
        </w:rPr>
        <w:t>持续提升服务审批效能做出了明确要求。全面实现重点项目用地 “</w:t>
      </w:r>
      <w:r>
        <w:rPr>
          <w:rFonts w:hint="eastAsia"/>
          <w:spacing w:val="-4"/>
          <w:lang w:eastAsia="zh-CN"/>
        </w:rPr>
        <w:t>““</w:t>
      </w:r>
      <w:r>
        <w:rPr>
          <w:spacing w:val="-4"/>
        </w:rPr>
        <w:t>、“能优尽优</w:t>
      </w:r>
      <w:r>
        <w:rPr>
          <w:rFonts w:hint="eastAsia"/>
          <w:spacing w:val="-4"/>
          <w:lang w:eastAsia="zh-CN"/>
        </w:rPr>
        <w:t>（</w:t>
      </w:r>
      <w:r>
        <w:rPr>
          <w:spacing w:val="-4"/>
        </w:rPr>
        <w:t>。</w:t>
      </w:r>
      <w:r>
        <w:rPr>
          <w:spacing w:val="-14"/>
          <w:sz w:val="25"/>
          <w:szCs w:val="25"/>
        </w:rPr>
        <w:t>(</w:t>
      </w:r>
      <w:r>
        <w:rPr>
          <w:rFonts w:ascii="楷体" w:hAnsi="楷体" w:eastAsia="楷体" w:cs="楷体"/>
          <w:snapToGrid w:val="0"/>
          <w:color w:val="000000"/>
          <w:spacing w:val="-8"/>
          <w:kern w:val="0"/>
          <w:sz w:val="24"/>
          <w:szCs w:val="24"/>
          <w:lang w:val="en-US" w:eastAsia="en-US" w:bidi="ar-SA"/>
        </w:rPr>
        <w:t>《省自然资源厅关于进一步做好自然 资源要素保障发工作的通知》鄂自然资发〔2023〕2</w:t>
      </w:r>
      <w:r>
        <w:rPr>
          <w:rFonts w:hint="eastAsia" w:ascii="楷体" w:hAnsi="楷体" w:eastAsia="楷体" w:cs="楷体"/>
          <w:snapToGrid w:val="0"/>
          <w:color w:val="000000"/>
          <w:spacing w:val="-8"/>
          <w:kern w:val="0"/>
          <w:sz w:val="24"/>
          <w:szCs w:val="24"/>
          <w:lang w:val="en-US" w:eastAsia="zh-CN" w:bidi="ar-SA"/>
        </w:rPr>
        <w:t>）</w:t>
      </w:r>
      <w:r>
        <w:rPr>
          <w:rFonts w:ascii="楷体" w:hAnsi="楷体" w:eastAsia="楷体" w:cs="楷体"/>
          <w:snapToGrid w:val="0"/>
          <w:color w:val="000000"/>
          <w:spacing w:val="-8"/>
          <w:kern w:val="0"/>
          <w:sz w:val="24"/>
          <w:szCs w:val="24"/>
          <w:lang w:val="en-US" w:eastAsia="en-US" w:bidi="ar-SA"/>
        </w:rPr>
        <w:t>号)</w:t>
      </w:r>
    </w:p>
    <w:p w14:paraId="351CDCDD">
      <w:pPr>
        <w:pStyle w:val="2"/>
        <w:spacing w:before="49"/>
        <w:ind w:left="121" w:firstLine="449"/>
        <w:rPr>
          <w:sz w:val="25"/>
          <w:szCs w:val="25"/>
        </w:rPr>
      </w:pPr>
      <w:r>
        <w:rPr>
          <w:spacing w:val="-4"/>
        </w:rPr>
        <w:t>3、按照通知要求，为进一步优化营商和政务服务，提升行政 效能，推动“高效办成一件事”走深走实，改革实行建设用地审 批“技术审查+集中审批”模式，规范技术审查内容、受理条件、程序和要求，完善审批工作的标准化体系，实现审批流程再优化、审批时限再压减、审批质效再提升，最大限度利企便民，激发市场主体</w:t>
      </w:r>
      <w:r>
        <w:rPr>
          <w:rFonts w:hint="eastAsia"/>
          <w:spacing w:val="-4"/>
          <w:lang w:eastAsia="zh-CN"/>
        </w:rPr>
        <w:t>动力</w:t>
      </w:r>
      <w:r>
        <w:rPr>
          <w:spacing w:val="-4"/>
        </w:rPr>
        <w:t>展动</w:t>
      </w:r>
      <w:r>
        <w:rPr>
          <w:rFonts w:hint="eastAsia"/>
          <w:spacing w:val="-4"/>
          <w:lang w:eastAsia="zh-CN"/>
        </w:rPr>
        <w:t>（</w:t>
      </w:r>
      <w:r>
        <w:rPr>
          <w:spacing w:val="-4"/>
        </w:rPr>
        <w:t>。</w:t>
      </w:r>
      <w:r>
        <w:rPr>
          <w:rFonts w:ascii="楷体" w:hAnsi="楷体" w:eastAsia="楷体" w:cs="楷体"/>
          <w:spacing w:val="-18"/>
          <w:sz w:val="25"/>
          <w:szCs w:val="25"/>
        </w:rPr>
        <w:t>(《</w:t>
      </w:r>
      <w:r>
        <w:rPr>
          <w:rFonts w:ascii="楷体" w:hAnsi="楷体" w:eastAsia="楷体" w:cs="楷体"/>
          <w:snapToGrid w:val="0"/>
          <w:color w:val="000000"/>
          <w:spacing w:val="-8"/>
          <w:kern w:val="0"/>
          <w:sz w:val="24"/>
          <w:szCs w:val="24"/>
          <w:lang w:val="en-US" w:eastAsia="en-US" w:bidi="ar-SA"/>
        </w:rPr>
        <w:t>省自然资源厅关于进一步深化建设用地集中 审批改革工作</w:t>
      </w:r>
      <w:r>
        <w:rPr>
          <w:rFonts w:hint="eastAsia" w:ascii="楷体" w:hAnsi="楷体" w:eastAsia="楷体" w:cs="楷体"/>
          <w:snapToGrid w:val="0"/>
          <w:color w:val="000000"/>
          <w:spacing w:val="-8"/>
          <w:kern w:val="0"/>
          <w:sz w:val="24"/>
          <w:szCs w:val="24"/>
          <w:lang w:val="en-US" w:eastAsia="zh-CN" w:bidi="ar-SA"/>
        </w:rPr>
        <w:t>（</w:t>
      </w:r>
      <w:r>
        <w:rPr>
          <w:rFonts w:ascii="楷体" w:hAnsi="楷体" w:eastAsia="楷体" w:cs="楷体"/>
          <w:snapToGrid w:val="0"/>
          <w:color w:val="000000"/>
          <w:spacing w:val="-8"/>
          <w:kern w:val="0"/>
          <w:sz w:val="24"/>
          <w:szCs w:val="24"/>
          <w:lang w:val="en-US" w:eastAsia="en-US" w:bidi="ar-SA"/>
        </w:rPr>
        <w:t>案(</w:t>
      </w:r>
      <w:r>
        <w:rPr>
          <w:rFonts w:hint="eastAsia" w:ascii="楷体" w:hAnsi="楷体" w:eastAsia="楷体" w:cs="楷体"/>
          <w:snapToGrid w:val="0"/>
          <w:color w:val="000000"/>
          <w:spacing w:val="-8"/>
          <w:kern w:val="0"/>
          <w:sz w:val="24"/>
          <w:szCs w:val="24"/>
          <w:lang w:val="en-US" w:eastAsia="zh-CN" w:bidi="ar-SA"/>
        </w:rPr>
        <w:t>）</w:t>
      </w:r>
      <w:r>
        <w:rPr>
          <w:rFonts w:ascii="楷体" w:hAnsi="楷体" w:eastAsia="楷体" w:cs="楷体"/>
          <w:snapToGrid w:val="0"/>
          <w:color w:val="000000"/>
          <w:spacing w:val="-8"/>
          <w:kern w:val="0"/>
          <w:sz w:val="24"/>
          <w:szCs w:val="24"/>
          <w:lang w:val="en-US" w:eastAsia="en-US" w:bidi="ar-SA"/>
        </w:rPr>
        <w:t>行)的通知》鄂自然资发〔2024〕1</w:t>
      </w:r>
      <w:r>
        <w:rPr>
          <w:rFonts w:hint="eastAsia" w:ascii="楷体" w:hAnsi="楷体" w:eastAsia="楷体" w:cs="楷体"/>
          <w:snapToGrid w:val="0"/>
          <w:color w:val="000000"/>
          <w:spacing w:val="-8"/>
          <w:kern w:val="0"/>
          <w:sz w:val="24"/>
          <w:szCs w:val="24"/>
          <w:lang w:val="en-US" w:eastAsia="zh-CN" w:bidi="ar-SA"/>
        </w:rPr>
        <w:t>）</w:t>
      </w:r>
      <w:r>
        <w:rPr>
          <w:rFonts w:ascii="楷体" w:hAnsi="楷体" w:eastAsia="楷体" w:cs="楷体"/>
          <w:snapToGrid w:val="0"/>
          <w:color w:val="000000"/>
          <w:spacing w:val="-8"/>
          <w:kern w:val="0"/>
          <w:sz w:val="24"/>
          <w:szCs w:val="24"/>
          <w:lang w:val="en-US" w:eastAsia="en-US" w:bidi="ar-SA"/>
        </w:rPr>
        <w:t>号)</w:t>
      </w:r>
    </w:p>
    <w:p w14:paraId="7789EFAC">
      <w:pPr>
        <w:pStyle w:val="2"/>
        <w:spacing w:before="49"/>
        <w:ind w:left="121" w:firstLine="449"/>
        <w:rPr>
          <w:spacing w:val="-4"/>
        </w:rPr>
      </w:pPr>
      <w:r>
        <w:rPr>
          <w:spacing w:val="-4"/>
        </w:rPr>
        <w:t>4、方案围绕省自然资源厅、市委、市政府工作要求，精准服</w:t>
      </w:r>
    </w:p>
    <w:p w14:paraId="27A79606">
      <w:pPr>
        <w:pStyle w:val="2"/>
        <w:spacing w:before="49"/>
        <w:rPr>
          <w:spacing w:val="-4"/>
        </w:rPr>
      </w:pPr>
      <w:r>
        <w:rPr>
          <w:spacing w:val="-4"/>
        </w:rPr>
        <w:t>务保障全市重点项目用地，持续提高建设用地审批质效和效率，</w:t>
      </w:r>
    </w:p>
    <w:p w14:paraId="3539348B">
      <w:pPr>
        <w:pStyle w:val="2"/>
        <w:spacing w:before="49"/>
        <w:ind w:left="121" w:firstLine="449"/>
        <w:rPr>
          <w:spacing w:val="-4"/>
        </w:rPr>
        <w:sectPr>
          <w:footerReference r:id="rId8" w:type="default"/>
          <w:pgSz w:w="8390" w:h="5670"/>
          <w:pgMar w:top="400" w:right="805" w:bottom="755" w:left="758" w:header="0" w:footer="507" w:gutter="0"/>
          <w:pgNumType w:fmt="decimal"/>
          <w:cols w:space="720" w:num="1"/>
        </w:sectPr>
      </w:pPr>
    </w:p>
    <w:p w14:paraId="2DDFF652">
      <w:pPr>
        <w:pStyle w:val="2"/>
        <w:spacing w:before="49"/>
        <w:ind w:left="121" w:firstLine="449"/>
        <w:rPr>
          <w:spacing w:val="-4"/>
        </w:rPr>
      </w:pPr>
    </w:p>
    <w:p w14:paraId="1037F5CC">
      <w:pPr>
        <w:pStyle w:val="2"/>
        <w:spacing w:before="49"/>
        <w:rPr>
          <w:rFonts w:ascii="Times New Roman" w:hAnsi="Times New Roman" w:eastAsia="Times New Roman" w:cs="Times New Roman"/>
          <w:sz w:val="21"/>
          <w:szCs w:val="21"/>
        </w:rPr>
      </w:pPr>
      <w:bookmarkStart w:id="8" w:name="bookmark7"/>
      <w:bookmarkEnd w:id="8"/>
      <w:r>
        <w:rPr>
          <w:spacing w:val="-4"/>
        </w:rPr>
        <w:t>助力随州城乡融合发展示范区建设，服务专班坚持问题导向、目 标导向、结果导向，以更强的责任意识、服务意识、精准服务、 精准施策，协调解决项目用地困难和问题，推动项目用地“快报  快</w:t>
      </w:r>
      <w:r>
        <w:rPr>
          <w:rFonts w:hint="eastAsia"/>
          <w:spacing w:val="-4"/>
          <w:lang w:eastAsia="zh-CN"/>
        </w:rPr>
        <w:t>，</w:t>
      </w:r>
      <w:r>
        <w:rPr>
          <w:spacing w:val="-4"/>
        </w:rPr>
        <w:t>”,服务项目早开工、早投</w:t>
      </w:r>
      <w:r>
        <w:rPr>
          <w:rFonts w:hint="eastAsia"/>
          <w:spacing w:val="-4"/>
          <w:lang w:eastAsia="zh-CN"/>
        </w:rPr>
        <w:t>（</w:t>
      </w:r>
      <w:r>
        <w:rPr>
          <w:spacing w:val="-4"/>
        </w:rPr>
        <w:t>。</w:t>
      </w:r>
      <w:r>
        <w:rPr>
          <w:spacing w:val="-13"/>
        </w:rPr>
        <w:t>(</w:t>
      </w:r>
      <w:r>
        <w:rPr>
          <w:rFonts w:ascii="楷体" w:hAnsi="楷体" w:eastAsia="楷体" w:cs="楷体"/>
          <w:snapToGrid w:val="0"/>
          <w:color w:val="000000"/>
          <w:spacing w:val="-8"/>
          <w:kern w:val="0"/>
          <w:sz w:val="24"/>
          <w:szCs w:val="24"/>
          <w:lang w:val="en-US" w:eastAsia="en-US" w:bidi="ar-SA"/>
        </w:rPr>
        <w:t>《市自然资源和规划局关于印  发重点项目用地要素保障“上门服务行”工作方案的通知》〔2024〕 1</w:t>
      </w:r>
      <w:r>
        <w:rPr>
          <w:rFonts w:hint="eastAsia" w:ascii="楷体" w:hAnsi="楷体" w:eastAsia="楷体" w:cs="楷体"/>
          <w:snapToGrid w:val="0"/>
          <w:color w:val="000000"/>
          <w:spacing w:val="-8"/>
          <w:kern w:val="0"/>
          <w:sz w:val="24"/>
          <w:szCs w:val="24"/>
          <w:lang w:val="en-US" w:eastAsia="zh-CN" w:bidi="ar-SA"/>
        </w:rPr>
        <w:t>）</w:t>
      </w:r>
      <w:r>
        <w:rPr>
          <w:rFonts w:ascii="楷体" w:hAnsi="楷体" w:eastAsia="楷体" w:cs="楷体"/>
          <w:snapToGrid w:val="0"/>
          <w:color w:val="000000"/>
          <w:spacing w:val="-8"/>
          <w:kern w:val="0"/>
          <w:sz w:val="24"/>
          <w:szCs w:val="24"/>
          <w:lang w:val="en-US" w:eastAsia="en-US" w:bidi="ar-SA"/>
        </w:rPr>
        <w:t>2)</w:t>
      </w:r>
    </w:p>
    <w:p w14:paraId="5AD7CEEB">
      <w:pPr>
        <w:spacing w:before="121" w:line="221" w:lineRule="auto"/>
        <w:ind w:left="443"/>
        <w:outlineLvl w:val="0"/>
        <w:rPr>
          <w:rFonts w:ascii="黑体" w:hAnsi="黑体" w:eastAsia="黑体" w:cs="黑体"/>
          <w:sz w:val="24"/>
          <w:szCs w:val="24"/>
        </w:rPr>
      </w:pPr>
      <w:bookmarkStart w:id="9" w:name="bookmark1"/>
      <w:bookmarkEnd w:id="9"/>
      <w:r>
        <w:rPr>
          <w:rFonts w:ascii="黑体" w:hAnsi="黑体" w:eastAsia="黑体" w:cs="黑体"/>
          <w:b/>
          <w:bCs/>
          <w:spacing w:val="-11"/>
          <w:sz w:val="24"/>
          <w:szCs w:val="24"/>
        </w:rPr>
        <w:t>二、规划许可类政策</w:t>
      </w:r>
    </w:p>
    <w:p w14:paraId="55E99758">
      <w:pPr>
        <w:pStyle w:val="2"/>
        <w:spacing w:before="34" w:line="249" w:lineRule="auto"/>
        <w:ind w:right="49" w:firstLine="449"/>
        <w:jc w:val="both"/>
        <w:sectPr>
          <w:footerReference r:id="rId9" w:type="default"/>
          <w:pgSz w:w="8390" w:h="5670"/>
          <w:pgMar w:top="400" w:right="779" w:bottom="748" w:left="880" w:header="0" w:footer="510" w:gutter="0"/>
          <w:pgNumType w:fmt="decimal"/>
          <w:cols w:space="720" w:num="1"/>
        </w:sectPr>
      </w:pPr>
      <w:r>
        <w:rPr>
          <w:spacing w:val="-7"/>
        </w:rPr>
        <w:t>5、围绕“拿地即开工”目标，以建设单位“自愿申请，</w:t>
      </w:r>
      <w:r>
        <w:rPr>
          <w:spacing w:val="-8"/>
        </w:rPr>
        <w:t>承诺</w:t>
      </w:r>
      <w:r>
        <w:t xml:space="preserve"> </w:t>
      </w:r>
      <w:r>
        <w:rPr>
          <w:spacing w:val="-5"/>
        </w:rPr>
        <w:t>守信”为原则，通过跨部门、跨层级并联审批，在工业用地“标</w:t>
      </w:r>
      <w:r>
        <w:rPr>
          <w:spacing w:val="18"/>
        </w:rPr>
        <w:t xml:space="preserve"> </w:t>
      </w:r>
      <w:r>
        <w:rPr>
          <w:spacing w:val="-5"/>
        </w:rPr>
        <w:t>准地”出让基础上，对确定了建设内容的工业项目，充分利用好</w:t>
      </w:r>
      <w:r>
        <w:rPr>
          <w:spacing w:val="18"/>
        </w:rPr>
        <w:t xml:space="preserve"> </w:t>
      </w:r>
      <w:r>
        <w:rPr>
          <w:spacing w:val="-2"/>
        </w:rPr>
        <w:t>土地挂牌出让到签订出让合同30天的间隙，同步进行施工图审，</w:t>
      </w:r>
      <w:r>
        <w:rPr>
          <w:spacing w:val="17"/>
        </w:rPr>
        <w:t xml:space="preserve"> </w:t>
      </w:r>
      <w:r>
        <w:rPr>
          <w:spacing w:val="-4"/>
        </w:rPr>
        <w:t>完成施工许可审查，实现带方案出让工业项目在签订</w:t>
      </w:r>
      <w:r>
        <w:rPr>
          <w:spacing w:val="-5"/>
        </w:rPr>
        <w:t>土地出让合</w:t>
      </w:r>
    </w:p>
    <w:p w14:paraId="663267EE">
      <w:pPr>
        <w:pStyle w:val="2"/>
        <w:spacing w:before="34" w:line="249" w:lineRule="auto"/>
        <w:ind w:right="49"/>
        <w:jc w:val="both"/>
        <w:rPr>
          <w:spacing w:val="-2"/>
        </w:rPr>
      </w:pPr>
      <w:r>
        <w:rPr>
          <w:spacing w:val="-2"/>
        </w:rPr>
        <w:t>同、缴清土地出让金、契税后，当日核发《建设用地规</w:t>
      </w:r>
      <w:r>
        <w:rPr>
          <w:rFonts w:hint="eastAsia"/>
          <w:spacing w:val="-2"/>
          <w:lang w:eastAsia="zh-CN"/>
        </w:rPr>
        <w:t>《《</w:t>
      </w:r>
      <w:r>
        <w:rPr>
          <w:spacing w:val="-2"/>
        </w:rPr>
        <w:t>、《设计</w:t>
      </w:r>
      <w:r>
        <w:rPr>
          <w:rFonts w:hint="eastAsia"/>
          <w:spacing w:val="-2"/>
          <w:lang w:eastAsia="zh-CN"/>
        </w:rPr>
        <w:t>《《</w:t>
      </w:r>
      <w:r>
        <w:rPr>
          <w:spacing w:val="-2"/>
        </w:rPr>
        <w:t>、《建设工程规</w:t>
      </w:r>
      <w:r>
        <w:rPr>
          <w:rFonts w:hint="eastAsia"/>
          <w:spacing w:val="-2"/>
          <w:lang w:eastAsia="zh-CN"/>
        </w:rPr>
        <w:t>《《</w:t>
      </w:r>
      <w:r>
        <w:rPr>
          <w:spacing w:val="-2"/>
        </w:rPr>
        <w:t>、《不动产登记证》和《建筑工程施工许可证》“五证同发</w:t>
      </w:r>
      <w:r>
        <w:rPr>
          <w:rFonts w:hint="eastAsia"/>
          <w:spacing w:val="-2"/>
          <w:lang w:eastAsia="zh-CN"/>
        </w:rPr>
        <w:t>（</w:t>
      </w:r>
      <w:r>
        <w:rPr>
          <w:spacing w:val="-2"/>
        </w:rPr>
        <w:t>。(《</w:t>
      </w:r>
      <w:r>
        <w:rPr>
          <w:rFonts w:ascii="楷体" w:hAnsi="楷体" w:eastAsia="楷体" w:cs="楷体"/>
          <w:snapToGrid w:val="0"/>
          <w:color w:val="000000"/>
          <w:spacing w:val="-8"/>
          <w:kern w:val="0"/>
          <w:sz w:val="24"/>
          <w:szCs w:val="24"/>
          <w:lang w:val="en-US" w:eastAsia="en-US" w:bidi="ar-SA"/>
        </w:rPr>
        <w:t>市自然资源和规划局等4 部门关于印发带方案出让工业项目“五证同发”实施方</w:t>
      </w:r>
      <w:r>
        <w:rPr>
          <w:rFonts w:hint="eastAsia" w:ascii="楷体" w:hAnsi="楷体" w:eastAsia="楷体" w:cs="楷体"/>
          <w:snapToGrid w:val="0"/>
          <w:color w:val="000000"/>
          <w:spacing w:val="-8"/>
          <w:kern w:val="0"/>
          <w:sz w:val="24"/>
          <w:szCs w:val="24"/>
          <w:lang w:val="en-US" w:eastAsia="zh-CN" w:bidi="ar-SA"/>
        </w:rPr>
        <w:t>通通知</w:t>
      </w:r>
      <w:r>
        <w:rPr>
          <w:rFonts w:ascii="楷体" w:hAnsi="楷体" w:eastAsia="楷体" w:cs="楷体"/>
          <w:snapToGrid w:val="0"/>
          <w:color w:val="000000"/>
          <w:spacing w:val="-8"/>
          <w:kern w:val="0"/>
          <w:sz w:val="24"/>
          <w:szCs w:val="24"/>
          <w:lang w:val="en-US" w:eastAsia="en-US" w:bidi="ar-SA"/>
        </w:rPr>
        <w:t>的通</w:t>
      </w:r>
      <w:r>
        <w:rPr>
          <w:rFonts w:hint="eastAsia" w:ascii="楷体" w:hAnsi="楷体" w:eastAsia="楷体" w:cs="楷体"/>
          <w:snapToGrid w:val="0"/>
          <w:color w:val="000000"/>
          <w:spacing w:val="-8"/>
          <w:kern w:val="0"/>
          <w:sz w:val="24"/>
          <w:szCs w:val="24"/>
          <w:lang w:val="en-US" w:eastAsia="zh-CN" w:bidi="ar-SA"/>
        </w:rPr>
        <w:t>）</w:t>
      </w:r>
      <w:r>
        <w:rPr>
          <w:rFonts w:ascii="楷体" w:hAnsi="楷体" w:eastAsia="楷体" w:cs="楷体"/>
          <w:snapToGrid w:val="0"/>
          <w:color w:val="000000"/>
          <w:spacing w:val="-8"/>
          <w:kern w:val="0"/>
          <w:sz w:val="24"/>
          <w:szCs w:val="24"/>
          <w:lang w:val="en-US" w:eastAsia="en-US" w:bidi="ar-SA"/>
        </w:rPr>
        <w:t>》)</w:t>
      </w:r>
    </w:p>
    <w:p w14:paraId="07466DF6">
      <w:pPr>
        <w:pStyle w:val="2"/>
        <w:spacing w:before="34" w:line="249" w:lineRule="auto"/>
        <w:ind w:right="49" w:firstLine="449"/>
        <w:jc w:val="both"/>
        <w:rPr>
          <w:spacing w:val="-2"/>
        </w:rPr>
      </w:pPr>
      <w:r>
        <w:rPr>
          <w:spacing w:val="-2"/>
        </w:rPr>
        <w:t>6、根据鄂财综发〔2003〕13号及相关文件精神，凡符合配套 费免收范围的建设项目，均由建设单位申报，市自然资源和城乡 建设局、曾都区自然资源和规划局、随州高新区自然资源和规划 建设中心等按规定审批，直接免收城市基础设施</w:t>
      </w:r>
      <w:r>
        <w:rPr>
          <w:rFonts w:hint="eastAsia"/>
          <w:spacing w:val="-2"/>
          <w:lang w:eastAsia="zh-CN"/>
        </w:rPr>
        <w:t>（（</w:t>
      </w:r>
      <w:r>
        <w:rPr>
          <w:spacing w:val="-2"/>
        </w:rPr>
        <w:t>。(</w:t>
      </w:r>
      <w:r>
        <w:rPr>
          <w:rFonts w:ascii="楷体" w:hAnsi="楷体" w:eastAsia="楷体" w:cs="楷体"/>
          <w:snapToGrid w:val="0"/>
          <w:color w:val="000000"/>
          <w:spacing w:val="-8"/>
          <w:kern w:val="0"/>
          <w:sz w:val="24"/>
          <w:szCs w:val="24"/>
          <w:lang w:val="en-US" w:eastAsia="en-US" w:bidi="ar-SA"/>
        </w:rPr>
        <w:t>《市</w:t>
      </w:r>
      <w:r>
        <w:rPr>
          <w:rFonts w:hint="eastAsia" w:ascii="楷体" w:hAnsi="楷体" w:eastAsia="楷体" w:cs="楷体"/>
          <w:snapToGrid w:val="0"/>
          <w:color w:val="000000"/>
          <w:spacing w:val="-8"/>
          <w:kern w:val="0"/>
          <w:sz w:val="24"/>
          <w:szCs w:val="24"/>
          <w:lang w:val="en-US" w:eastAsia="zh-CN" w:bidi="ar-SA"/>
        </w:rPr>
        <w:t>人民政府</w:t>
      </w:r>
      <w:r>
        <w:rPr>
          <w:rFonts w:ascii="楷体" w:hAnsi="楷体" w:eastAsia="楷体" w:cs="楷体"/>
          <w:snapToGrid w:val="0"/>
          <w:color w:val="000000"/>
          <w:spacing w:val="-8"/>
          <w:kern w:val="0"/>
          <w:sz w:val="24"/>
          <w:szCs w:val="24"/>
          <w:lang w:val="en-US" w:eastAsia="en-US" w:bidi="ar-SA"/>
        </w:rPr>
        <w:t>办公室关于规范城市基础设施配套费减免的通知》随政办 发〔2023〕1</w:t>
      </w:r>
      <w:r>
        <w:rPr>
          <w:rFonts w:hint="eastAsia" w:ascii="楷体" w:hAnsi="楷体" w:eastAsia="楷体" w:cs="楷体"/>
          <w:snapToGrid w:val="0"/>
          <w:color w:val="000000"/>
          <w:spacing w:val="-8"/>
          <w:kern w:val="0"/>
          <w:sz w:val="24"/>
          <w:szCs w:val="24"/>
          <w:lang w:val="en-US" w:eastAsia="zh-CN" w:bidi="ar-SA"/>
        </w:rPr>
        <w:t>）</w:t>
      </w:r>
      <w:r>
        <w:rPr>
          <w:rFonts w:ascii="楷体" w:hAnsi="楷体" w:eastAsia="楷体" w:cs="楷体"/>
          <w:snapToGrid w:val="0"/>
          <w:color w:val="000000"/>
          <w:spacing w:val="-8"/>
          <w:kern w:val="0"/>
          <w:sz w:val="24"/>
          <w:szCs w:val="24"/>
          <w:lang w:val="en-US" w:eastAsia="en-US" w:bidi="ar-SA"/>
        </w:rPr>
        <w:t>号)</w:t>
      </w:r>
    </w:p>
    <w:p w14:paraId="06F6729A">
      <w:pPr>
        <w:pStyle w:val="2"/>
        <w:spacing w:before="34" w:line="249" w:lineRule="auto"/>
        <w:ind w:right="49" w:firstLine="449"/>
        <w:jc w:val="both"/>
        <w:rPr>
          <w:spacing w:val="-2"/>
        </w:rPr>
        <w:sectPr>
          <w:footerReference r:id="rId10" w:type="default"/>
          <w:pgSz w:w="8390" w:h="5670"/>
          <w:pgMar w:top="400" w:right="823" w:bottom="748" w:left="753" w:header="0" w:footer="510" w:gutter="0"/>
          <w:pgNumType w:fmt="decimal"/>
          <w:cols w:space="720" w:num="1"/>
        </w:sectPr>
      </w:pPr>
      <w:r>
        <w:rPr>
          <w:spacing w:val="-2"/>
        </w:rPr>
        <w:t>7、除市管</w:t>
      </w:r>
      <w:r>
        <w:rPr>
          <w:rFonts w:hint="eastAsia"/>
          <w:spacing w:val="-2"/>
          <w:lang w:eastAsia="zh-CN"/>
        </w:rPr>
        <w:t>（</w:t>
      </w:r>
      <w:r>
        <w:rPr>
          <w:spacing w:val="-2"/>
        </w:rPr>
        <w:t>目(仅限“一河两岸”及炎帝大道等景观控制地 带两侧工业</w:t>
      </w:r>
      <w:r>
        <w:rPr>
          <w:rFonts w:hint="eastAsia"/>
          <w:spacing w:val="-2"/>
          <w:lang w:eastAsia="zh-CN"/>
        </w:rPr>
        <w:t>）</w:t>
      </w:r>
      <w:r>
        <w:rPr>
          <w:spacing w:val="-2"/>
        </w:rPr>
        <w:t>目)以外的其他工业项目，项目设计方案规划审批</w:t>
      </w:r>
    </w:p>
    <w:p w14:paraId="5ECA6416">
      <w:pPr>
        <w:spacing w:before="78" w:line="248" w:lineRule="auto"/>
        <w:jc w:val="both"/>
        <w:rPr>
          <w:rFonts w:ascii="宋体" w:hAnsi="宋体" w:eastAsia="宋体" w:cs="宋体"/>
          <w:snapToGrid w:val="0"/>
          <w:color w:val="000000"/>
          <w:spacing w:val="-2"/>
          <w:kern w:val="0"/>
          <w:sz w:val="24"/>
          <w:szCs w:val="24"/>
          <w:lang w:val="en-US" w:eastAsia="en-US" w:bidi="ar-SA"/>
        </w:rPr>
      </w:pPr>
      <w:r>
        <w:rPr>
          <w:rFonts w:ascii="宋体" w:hAnsi="宋体" w:eastAsia="宋体" w:cs="宋体"/>
          <w:snapToGrid w:val="0"/>
          <w:color w:val="000000"/>
          <w:spacing w:val="-2"/>
          <w:kern w:val="0"/>
          <w:sz w:val="24"/>
          <w:szCs w:val="24"/>
          <w:lang w:val="en-US" w:eastAsia="en-US" w:bidi="ar-SA"/>
        </w:rPr>
        <w:t>权，分别下放随州高新区自然资源和规划中心、曾都区自然资源 和规划局。减少审批环节、提高审批时</w:t>
      </w:r>
      <w:r>
        <w:rPr>
          <w:rFonts w:hint="eastAsia" w:ascii="宋体" w:hAnsi="宋体" w:eastAsia="宋体" w:cs="宋体"/>
          <w:snapToGrid w:val="0"/>
          <w:color w:val="000000"/>
          <w:spacing w:val="-2"/>
          <w:kern w:val="0"/>
          <w:sz w:val="24"/>
          <w:szCs w:val="24"/>
          <w:lang w:val="en-US" w:eastAsia="zh-CN" w:bidi="ar-SA"/>
        </w:rPr>
        <w:t>（</w:t>
      </w:r>
      <w:r>
        <w:rPr>
          <w:rFonts w:ascii="宋体" w:hAnsi="宋体" w:eastAsia="宋体" w:cs="宋体"/>
          <w:snapToGrid w:val="0"/>
          <w:color w:val="000000"/>
          <w:spacing w:val="-2"/>
          <w:kern w:val="0"/>
          <w:sz w:val="24"/>
          <w:szCs w:val="24"/>
          <w:lang w:val="en-US" w:eastAsia="en-US" w:bidi="ar-SA"/>
        </w:rPr>
        <w:t>。(</w:t>
      </w:r>
      <w:r>
        <w:rPr>
          <w:rFonts w:ascii="楷体" w:hAnsi="楷体" w:eastAsia="楷体" w:cs="楷体"/>
          <w:snapToGrid w:val="0"/>
          <w:color w:val="000000"/>
          <w:spacing w:val="-8"/>
          <w:kern w:val="0"/>
          <w:sz w:val="24"/>
          <w:szCs w:val="24"/>
          <w:lang w:val="en-US" w:eastAsia="en-US" w:bidi="ar-SA"/>
        </w:rPr>
        <w:t>《关于下放随州市城市开发边界范围内工业项目设计方案规划审批权拟办的意见》〔2023〕7</w:t>
      </w:r>
      <w:r>
        <w:rPr>
          <w:rFonts w:hint="eastAsia" w:ascii="楷体" w:hAnsi="楷体" w:eastAsia="楷体" w:cs="楷体"/>
          <w:snapToGrid w:val="0"/>
          <w:color w:val="000000"/>
          <w:spacing w:val="-8"/>
          <w:kern w:val="0"/>
          <w:sz w:val="24"/>
          <w:szCs w:val="24"/>
          <w:lang w:val="en-US" w:eastAsia="zh-CN" w:bidi="ar-SA"/>
        </w:rPr>
        <w:t>）</w:t>
      </w:r>
      <w:r>
        <w:rPr>
          <w:rFonts w:ascii="楷体" w:hAnsi="楷体" w:eastAsia="楷体" w:cs="楷体"/>
          <w:snapToGrid w:val="0"/>
          <w:color w:val="000000"/>
          <w:spacing w:val="-8"/>
          <w:kern w:val="0"/>
          <w:sz w:val="24"/>
          <w:szCs w:val="24"/>
          <w:lang w:val="en-US" w:eastAsia="en-US" w:bidi="ar-SA"/>
        </w:rPr>
        <w:t>号)</w:t>
      </w:r>
    </w:p>
    <w:p w14:paraId="35E0FF96">
      <w:pPr>
        <w:pStyle w:val="2"/>
        <w:spacing w:before="29" w:line="251" w:lineRule="auto"/>
        <w:ind w:firstLine="468" w:firstLineChars="200"/>
        <w:rPr>
          <w:rFonts w:ascii="楷体" w:hAnsi="楷体" w:eastAsia="楷体" w:cs="楷体"/>
          <w:spacing w:val="-8"/>
          <w:highlight w:val="none"/>
        </w:rPr>
      </w:pPr>
      <w:r>
        <w:rPr>
          <w:spacing w:val="-3"/>
          <w:highlight w:val="none"/>
        </w:rPr>
        <w:t>8、按照2023年3月市政府对我局“关于下发随州市城市开发</w:t>
      </w:r>
      <w:r>
        <w:rPr>
          <w:spacing w:val="-8"/>
          <w:highlight w:val="none"/>
        </w:rPr>
        <w:t>边界范围内工业项目设计方案规划审批权拟办</w:t>
      </w:r>
      <w:r>
        <w:rPr>
          <w:spacing w:val="-9"/>
          <w:highlight w:val="none"/>
        </w:rPr>
        <w:t>的意见”批示意见，</w:t>
      </w:r>
      <w:r>
        <w:rPr>
          <w:spacing w:val="-4"/>
          <w:highlight w:val="none"/>
        </w:rPr>
        <w:t>城市开发边界范围内工业项目建设工程设计方案规划审批权按属</w:t>
      </w:r>
      <w:r>
        <w:rPr>
          <w:spacing w:val="11"/>
          <w:highlight w:val="none"/>
        </w:rPr>
        <w:t xml:space="preserve"> </w:t>
      </w:r>
      <w:r>
        <w:rPr>
          <w:spacing w:val="-3"/>
          <w:highlight w:val="none"/>
        </w:rPr>
        <w:t>地分别下放至随州高新区自然资源和规划建设中心、</w:t>
      </w:r>
      <w:r>
        <w:rPr>
          <w:spacing w:val="-4"/>
          <w:highlight w:val="none"/>
        </w:rPr>
        <w:t>曾都区自然</w:t>
      </w:r>
      <w:r>
        <w:rPr>
          <w:highlight w:val="none"/>
        </w:rPr>
        <w:t xml:space="preserve"> </w:t>
      </w:r>
      <w:r>
        <w:rPr>
          <w:spacing w:val="-4"/>
          <w:highlight w:val="none"/>
        </w:rPr>
        <w:t>资源和规划局。本通知下发后，随州高新区自然资源和规划建设</w:t>
      </w:r>
      <w:r>
        <w:rPr>
          <w:spacing w:val="1"/>
          <w:highlight w:val="none"/>
        </w:rPr>
        <w:t xml:space="preserve">  </w:t>
      </w:r>
      <w:r>
        <w:rPr>
          <w:spacing w:val="-4"/>
          <w:highlight w:val="none"/>
        </w:rPr>
        <w:t>中心、曾都区自然资源和规划局分别负责各自辖区内工业项目建</w:t>
      </w:r>
      <w:r>
        <w:rPr>
          <w:highlight w:val="none"/>
        </w:rPr>
        <w:t xml:space="preserve">  </w:t>
      </w:r>
      <w:r>
        <w:rPr>
          <w:spacing w:val="-8"/>
          <w:highlight w:val="none"/>
        </w:rPr>
        <w:t>设工程规划许可。减少审批环节、提高审批时</w:t>
      </w:r>
      <w:r>
        <w:rPr>
          <w:rFonts w:hint="eastAsia"/>
          <w:spacing w:val="-8"/>
          <w:highlight w:val="none"/>
          <w:lang w:eastAsia="zh-CN"/>
        </w:rPr>
        <w:t>（</w:t>
      </w:r>
      <w:r>
        <w:rPr>
          <w:spacing w:val="-9"/>
          <w:highlight w:val="none"/>
        </w:rPr>
        <w:t>。(</w:t>
      </w:r>
      <w:r>
        <w:rPr>
          <w:rFonts w:ascii="楷体" w:hAnsi="楷体" w:eastAsia="楷体" w:cs="楷体"/>
          <w:spacing w:val="-8"/>
          <w:highlight w:val="none"/>
        </w:rPr>
        <w:t>《关于下放随  州市城市开发边界范围内工业项目工程规划许可审批权的通知》〔2023〕53</w:t>
      </w:r>
      <w:r>
        <w:rPr>
          <w:rFonts w:hint="eastAsia" w:ascii="楷体" w:hAnsi="楷体" w:eastAsia="楷体" w:cs="楷体"/>
          <w:spacing w:val="-8"/>
          <w:highlight w:val="none"/>
          <w:lang w:eastAsia="zh-CN"/>
        </w:rPr>
        <w:t>）</w:t>
      </w:r>
      <w:r>
        <w:rPr>
          <w:rFonts w:ascii="楷体" w:hAnsi="楷体" w:eastAsia="楷体" w:cs="楷体"/>
          <w:spacing w:val="-8"/>
          <w:highlight w:val="none"/>
        </w:rPr>
        <w:t>号)</w:t>
      </w:r>
    </w:p>
    <w:p w14:paraId="0C585E44">
      <w:pPr>
        <w:pStyle w:val="2"/>
        <w:spacing w:before="29" w:line="251" w:lineRule="auto"/>
        <w:ind w:left="119" w:firstLine="440"/>
        <w:rPr>
          <w:rFonts w:ascii="楷体" w:hAnsi="楷体" w:eastAsia="楷体" w:cs="楷体"/>
          <w:spacing w:val="-8"/>
          <w:highlight w:val="yellow"/>
        </w:rPr>
        <w:sectPr>
          <w:footerReference r:id="rId11" w:type="default"/>
          <w:pgSz w:w="8390" w:h="5670"/>
          <w:pgMar w:top="400" w:right="799" w:bottom="746" w:left="869" w:header="0" w:footer="510" w:gutter="0"/>
          <w:pgNumType w:fmt="decimal"/>
          <w:cols w:space="720" w:num="1"/>
        </w:sectPr>
      </w:pPr>
    </w:p>
    <w:p w14:paraId="0ECBD209">
      <w:pPr>
        <w:pStyle w:val="2"/>
        <w:spacing w:before="29" w:line="251" w:lineRule="auto"/>
        <w:ind w:left="119" w:firstLine="440"/>
      </w:pPr>
      <w:r>
        <w:rPr>
          <w:spacing w:val="2"/>
        </w:rPr>
        <w:t>9、鄂发〔2020〕23号文件确定的建设工程类、建</w:t>
      </w:r>
      <w:r>
        <w:rPr>
          <w:rFonts w:hint="eastAsia"/>
          <w:spacing w:val="2"/>
          <w:lang w:eastAsia="zh-CN"/>
        </w:rPr>
        <w:t>（</w:t>
      </w:r>
      <w:r>
        <w:rPr>
          <w:spacing w:val="2"/>
        </w:rPr>
        <w:t>构</w:t>
      </w:r>
      <w:r>
        <w:rPr>
          <w:rFonts w:hint="eastAsia"/>
          <w:spacing w:val="2"/>
          <w:lang w:eastAsia="zh-CN"/>
        </w:rPr>
        <w:t>）</w:t>
      </w:r>
      <w:r>
        <w:rPr>
          <w:spacing w:val="2"/>
        </w:rPr>
        <w:t>筑物</w:t>
      </w:r>
      <w:r>
        <w:rPr>
          <w:spacing w:val="11"/>
        </w:rPr>
        <w:t xml:space="preserve"> </w:t>
      </w:r>
      <w:r>
        <w:rPr>
          <w:spacing w:val="-4"/>
        </w:rPr>
        <w:t>类、设施类列入豁免清单的项目，可不再申请办理建设工程规划</w:t>
      </w:r>
      <w:r>
        <w:rPr>
          <w:spacing w:val="8"/>
        </w:rPr>
        <w:t xml:space="preserve"> </w:t>
      </w:r>
      <w:r>
        <w:rPr>
          <w:spacing w:val="-8"/>
        </w:rPr>
        <w:t>许可证。</w:t>
      </w:r>
      <w:r>
        <w:rPr>
          <w:rFonts w:hint="eastAsia"/>
          <w:spacing w:val="-8"/>
          <w:lang w:eastAsia="zh-CN"/>
        </w:rPr>
        <w:t>（</w:t>
      </w:r>
      <w:r>
        <w:rPr>
          <w:spacing w:val="-8"/>
        </w:rPr>
        <w:t>《</w:t>
      </w:r>
      <w:r>
        <w:rPr>
          <w:rFonts w:ascii="楷体" w:hAnsi="楷体" w:eastAsia="楷体" w:cs="楷体"/>
          <w:spacing w:val="-8"/>
        </w:rPr>
        <w:t>省自然资源厅办公室省自然资源厅办公室清单制度的 通知》鄂自然资办函〔2021〕23号</w:t>
      </w:r>
      <w:r>
        <w:rPr>
          <w:rFonts w:hint="eastAsia" w:ascii="楷体" w:hAnsi="楷体" w:eastAsia="楷体" w:cs="楷体"/>
          <w:spacing w:val="-8"/>
          <w:lang w:eastAsia="zh-CN"/>
        </w:rPr>
        <w:t>）</w:t>
      </w:r>
    </w:p>
    <w:p w14:paraId="03FD34F9">
      <w:pPr>
        <w:pStyle w:val="2"/>
        <w:spacing w:before="32" w:line="247" w:lineRule="auto"/>
        <w:ind w:left="119" w:right="19" w:firstLine="440"/>
        <w:rPr>
          <w:rFonts w:ascii="楷体" w:hAnsi="楷体" w:eastAsia="楷体" w:cs="楷体"/>
          <w:color w:val="auto"/>
          <w:spacing w:val="-8"/>
          <w:highlight w:val="none"/>
        </w:rPr>
      </w:pPr>
      <w:r>
        <w:rPr>
          <w:color w:val="auto"/>
          <w:spacing w:val="-3"/>
          <w:highlight w:val="none"/>
        </w:rPr>
        <w:t>10、在本市城区范围内，纳入豁免清单内新建、改建及扩建</w:t>
      </w:r>
      <w:r>
        <w:rPr>
          <w:color w:val="auto"/>
          <w:spacing w:val="10"/>
          <w:highlight w:val="none"/>
        </w:rPr>
        <w:t xml:space="preserve"> </w:t>
      </w:r>
      <w:r>
        <w:rPr>
          <w:color w:val="auto"/>
          <w:spacing w:val="4"/>
          <w:highlight w:val="none"/>
        </w:rPr>
        <w:t>的建</w:t>
      </w:r>
      <w:r>
        <w:rPr>
          <w:rFonts w:hint="eastAsia"/>
          <w:color w:val="auto"/>
          <w:spacing w:val="4"/>
          <w:highlight w:val="none"/>
          <w:lang w:eastAsia="zh-CN"/>
        </w:rPr>
        <w:t>（</w:t>
      </w:r>
      <w:r>
        <w:rPr>
          <w:color w:val="auto"/>
          <w:spacing w:val="4"/>
          <w:highlight w:val="none"/>
        </w:rPr>
        <w:t>构</w:t>
      </w:r>
      <w:r>
        <w:rPr>
          <w:rFonts w:hint="eastAsia"/>
          <w:color w:val="auto"/>
          <w:spacing w:val="4"/>
          <w:highlight w:val="none"/>
          <w:lang w:eastAsia="zh-CN"/>
        </w:rPr>
        <w:t>）</w:t>
      </w:r>
      <w:r>
        <w:rPr>
          <w:color w:val="auto"/>
          <w:spacing w:val="4"/>
          <w:highlight w:val="none"/>
        </w:rPr>
        <w:t>筑物类、市政与公用设施类、道路与交通类、管网类</w:t>
      </w:r>
      <w:r>
        <w:rPr>
          <w:color w:val="auto"/>
          <w:spacing w:val="17"/>
          <w:highlight w:val="none"/>
        </w:rPr>
        <w:t xml:space="preserve"> </w:t>
      </w:r>
      <w:r>
        <w:rPr>
          <w:color w:val="auto"/>
          <w:spacing w:val="-8"/>
          <w:highlight w:val="none"/>
        </w:rPr>
        <w:t>等，建设单位或个人可以免予和无需办理工程规划许可证。</w:t>
      </w:r>
      <w:r>
        <w:rPr>
          <w:rFonts w:hint="eastAsia"/>
          <w:color w:val="auto"/>
          <w:spacing w:val="-8"/>
          <w:highlight w:val="none"/>
          <w:lang w:eastAsia="zh-CN"/>
        </w:rPr>
        <w:t>（</w:t>
      </w:r>
      <w:r>
        <w:rPr>
          <w:color w:val="auto"/>
          <w:spacing w:val="-8"/>
          <w:highlight w:val="none"/>
        </w:rPr>
        <w:t>《</w:t>
      </w:r>
      <w:r>
        <w:rPr>
          <w:rFonts w:hint="eastAsia" w:ascii="楷体" w:hAnsi="楷体" w:eastAsia="楷体" w:cs="楷体"/>
          <w:color w:val="auto"/>
          <w:spacing w:val="-8"/>
          <w:highlight w:val="none"/>
          <w:lang w:val="en-US" w:eastAsia="zh-CN"/>
        </w:rPr>
        <w:t>广水</w:t>
      </w:r>
      <w:r>
        <w:rPr>
          <w:rFonts w:ascii="楷体" w:hAnsi="楷体" w:eastAsia="楷体" w:cs="楷体"/>
          <w:color w:val="auto"/>
          <w:spacing w:val="-8"/>
          <w:highlight w:val="none"/>
        </w:rPr>
        <w:t>市自然资源和规划局关于公布第二批建设工程规划许可证豁免 清单的通知》随自然资规函〔2021〕22号</w:t>
      </w:r>
      <w:r>
        <w:rPr>
          <w:rFonts w:hint="eastAsia" w:ascii="楷体" w:hAnsi="楷体" w:eastAsia="楷体" w:cs="楷体"/>
          <w:color w:val="auto"/>
          <w:spacing w:val="-8"/>
          <w:highlight w:val="none"/>
          <w:lang w:eastAsia="zh-CN"/>
        </w:rPr>
        <w:t>）</w:t>
      </w:r>
    </w:p>
    <w:p w14:paraId="61279183">
      <w:pPr>
        <w:spacing w:before="71" w:line="221" w:lineRule="auto"/>
        <w:ind w:left="563"/>
        <w:outlineLvl w:val="0"/>
        <w:rPr>
          <w:rFonts w:ascii="黑体" w:hAnsi="黑体" w:eastAsia="黑体" w:cs="黑体"/>
          <w:sz w:val="24"/>
          <w:szCs w:val="24"/>
        </w:rPr>
      </w:pPr>
      <w:bookmarkStart w:id="10" w:name="bookmark3"/>
      <w:bookmarkEnd w:id="10"/>
      <w:r>
        <w:rPr>
          <w:rFonts w:ascii="黑体" w:hAnsi="黑体" w:eastAsia="黑体" w:cs="黑体"/>
          <w:b/>
          <w:bCs/>
          <w:spacing w:val="-11"/>
          <w:sz w:val="24"/>
          <w:szCs w:val="24"/>
        </w:rPr>
        <w:t>三、土地供应类政策</w:t>
      </w:r>
    </w:p>
    <w:p w14:paraId="5F1C06B4">
      <w:pPr>
        <w:pStyle w:val="2"/>
        <w:spacing w:before="47" w:line="219" w:lineRule="auto"/>
        <w:ind w:left="560"/>
        <w:sectPr>
          <w:footerReference r:id="rId12" w:type="default"/>
          <w:pgSz w:w="8390" w:h="5670"/>
          <w:pgMar w:top="400" w:right="887" w:bottom="748" w:left="749" w:header="0" w:footer="510" w:gutter="0"/>
          <w:pgNumType w:fmt="decimal"/>
          <w:cols w:space="720" w:num="1"/>
        </w:sectPr>
      </w:pPr>
      <w:r>
        <w:rPr>
          <w:spacing w:val="-4"/>
        </w:rPr>
        <w:t>11、优化土地供应政策。对附着于交通设施等公益性项</w:t>
      </w:r>
      <w:r>
        <w:rPr>
          <w:spacing w:val="-5"/>
        </w:rPr>
        <w:t>目且</w:t>
      </w:r>
    </w:p>
    <w:p w14:paraId="2BAD86AF">
      <w:pPr>
        <w:pStyle w:val="2"/>
        <w:spacing w:before="78" w:line="249" w:lineRule="auto"/>
        <w:ind w:right="83"/>
      </w:pPr>
      <w:r>
        <w:rPr>
          <w:spacing w:val="-3"/>
        </w:rPr>
        <w:t>不具备独立开发条件的经营性地下空间，探索以协议</w:t>
      </w:r>
      <w:r>
        <w:rPr>
          <w:spacing w:val="-4"/>
        </w:rPr>
        <w:t>方式出让。</w:t>
      </w:r>
      <w:r>
        <w:t xml:space="preserve"> </w:t>
      </w:r>
      <w:r>
        <w:rPr>
          <w:spacing w:val="-4"/>
        </w:rPr>
        <w:t>对依法登记的宅基地、乡镇企业用地、乡村公共设施和公益事业</w:t>
      </w:r>
      <w:r>
        <w:t xml:space="preserve"> </w:t>
      </w:r>
      <w:r>
        <w:rPr>
          <w:spacing w:val="-3"/>
        </w:rPr>
        <w:t>等农村集体建设用地，鼓励采取多种方式复合利用，</w:t>
      </w:r>
      <w:r>
        <w:rPr>
          <w:spacing w:val="-4"/>
        </w:rPr>
        <w:t>用于发展乡</w:t>
      </w:r>
      <w:r>
        <w:t xml:space="preserve"> </w:t>
      </w:r>
      <w:r>
        <w:rPr>
          <w:spacing w:val="-8"/>
        </w:rPr>
        <w:t>村民宿、农产品初加工、电子商务等农村产业</w:t>
      </w:r>
      <w:r>
        <w:rPr>
          <w:spacing w:val="-9"/>
        </w:rPr>
        <w:t>。</w:t>
      </w:r>
      <w:r>
        <w:rPr>
          <w:rFonts w:hint="eastAsia"/>
          <w:spacing w:val="-9"/>
          <w:lang w:eastAsia="zh-CN"/>
        </w:rPr>
        <w:t>（</w:t>
      </w:r>
      <w:r>
        <w:rPr>
          <w:rFonts w:ascii="楷体" w:hAnsi="楷体" w:eastAsia="楷体" w:cs="楷体"/>
          <w:spacing w:val="-8"/>
        </w:rPr>
        <w:t>《湖北省人民政 府办公厅关于印发深化自然资源管理改革服务高质量发展的若干 措施的通知》鄂政办发〔2022〕11号</w:t>
      </w:r>
      <w:r>
        <w:rPr>
          <w:rFonts w:hint="eastAsia" w:ascii="楷体" w:hAnsi="楷体" w:eastAsia="楷体" w:cs="楷体"/>
          <w:spacing w:val="-8"/>
          <w:lang w:eastAsia="zh-CN"/>
        </w:rPr>
        <w:t>）</w:t>
      </w:r>
    </w:p>
    <w:p w14:paraId="34C749D5">
      <w:pPr>
        <w:pStyle w:val="2"/>
        <w:spacing w:before="63" w:line="241" w:lineRule="auto"/>
        <w:ind w:left="3" w:firstLine="480"/>
        <w:rPr>
          <w:b w:val="0"/>
          <w:bCs w:val="0"/>
        </w:rPr>
      </w:pPr>
      <w:r>
        <w:rPr>
          <w:b w:val="0"/>
          <w:bCs w:val="0"/>
          <w:spacing w:val="-3"/>
        </w:rPr>
        <w:t>12、推进工业用地提质增效。经县</w:t>
      </w:r>
      <w:r>
        <w:rPr>
          <w:rFonts w:hint="eastAsia"/>
          <w:b w:val="0"/>
          <w:bCs w:val="0"/>
          <w:spacing w:val="-3"/>
          <w:lang w:eastAsia="zh-CN"/>
        </w:rPr>
        <w:t>（</w:t>
      </w:r>
      <w:r>
        <w:rPr>
          <w:b w:val="0"/>
          <w:bCs w:val="0"/>
          <w:spacing w:val="-3"/>
        </w:rPr>
        <w:t>市、区</w:t>
      </w:r>
      <w:r>
        <w:rPr>
          <w:rFonts w:hint="eastAsia"/>
          <w:b w:val="0"/>
          <w:bCs w:val="0"/>
          <w:spacing w:val="-3"/>
          <w:lang w:eastAsia="zh-CN"/>
        </w:rPr>
        <w:t>）</w:t>
      </w:r>
      <w:r>
        <w:rPr>
          <w:b w:val="0"/>
          <w:bCs w:val="0"/>
          <w:spacing w:val="-3"/>
        </w:rPr>
        <w:t>人民政府同意，</w:t>
      </w:r>
      <w:r>
        <w:rPr>
          <w:b w:val="0"/>
          <w:bCs w:val="0"/>
          <w:spacing w:val="5"/>
        </w:rPr>
        <w:t xml:space="preserve"> </w:t>
      </w:r>
      <w:r>
        <w:rPr>
          <w:b w:val="0"/>
          <w:bCs w:val="0"/>
          <w:spacing w:val="-6"/>
        </w:rPr>
        <w:t>工业项目的配套行政办公及生活服务设施，其用</w:t>
      </w:r>
      <w:r>
        <w:rPr>
          <w:b w:val="0"/>
          <w:bCs w:val="0"/>
          <w:spacing w:val="-7"/>
        </w:rPr>
        <w:t>地面积占项目总</w:t>
      </w:r>
    </w:p>
    <w:p w14:paraId="09151935">
      <w:pPr>
        <w:pStyle w:val="2"/>
        <w:spacing w:before="78" w:line="251" w:lineRule="auto"/>
        <w:jc w:val="both"/>
        <w:rPr>
          <w:rFonts w:ascii="楷体" w:hAnsi="楷体" w:eastAsia="楷体" w:cs="楷体"/>
          <w:spacing w:val="-8"/>
        </w:rPr>
      </w:pPr>
      <w:r>
        <w:rPr>
          <w:b w:val="0"/>
          <w:bCs w:val="0"/>
          <w:spacing w:val="8"/>
        </w:rPr>
        <w:t>用地面积的比例上限由7%提高到10%</w:t>
      </w:r>
      <w:r>
        <w:rPr>
          <w:rFonts w:hint="eastAsia"/>
          <w:b w:val="0"/>
          <w:bCs w:val="0"/>
          <w:spacing w:val="8"/>
          <w:lang w:eastAsia="zh-CN"/>
        </w:rPr>
        <w:t>，</w:t>
      </w:r>
      <w:r>
        <w:rPr>
          <w:b w:val="0"/>
          <w:bCs w:val="0"/>
          <w:spacing w:val="8"/>
        </w:rPr>
        <w:t>建筑面积占比上限</w:t>
      </w:r>
      <w:r>
        <w:rPr>
          <w:b w:val="0"/>
          <w:bCs w:val="0"/>
          <w:spacing w:val="7"/>
        </w:rPr>
        <w:t>由15%</w:t>
      </w:r>
      <w:r>
        <w:rPr>
          <w:b w:val="0"/>
          <w:bCs w:val="0"/>
        </w:rPr>
        <w:t xml:space="preserve"> </w:t>
      </w:r>
      <w:r>
        <w:rPr>
          <w:b w:val="0"/>
          <w:bCs w:val="0"/>
          <w:spacing w:val="-4"/>
        </w:rPr>
        <w:t>提高到20</w:t>
      </w:r>
      <w:r>
        <w:rPr>
          <w:rFonts w:ascii="楷体" w:hAnsi="楷体" w:eastAsia="楷体" w:cs="楷体"/>
          <w:b w:val="0"/>
          <w:bCs w:val="0"/>
          <w:spacing w:val="-4"/>
        </w:rPr>
        <w:t>%。</w:t>
      </w:r>
      <w:r>
        <w:rPr>
          <w:rFonts w:hint="eastAsia" w:ascii="楷体" w:hAnsi="楷体" w:eastAsia="楷体" w:cs="楷体"/>
          <w:b w:val="0"/>
          <w:bCs w:val="0"/>
          <w:spacing w:val="-4"/>
          <w:lang w:eastAsia="zh-CN"/>
        </w:rPr>
        <w:t>（</w:t>
      </w:r>
      <w:r>
        <w:rPr>
          <w:rFonts w:ascii="楷体" w:hAnsi="楷体" w:eastAsia="楷体" w:cs="楷体"/>
          <w:spacing w:val="-8"/>
        </w:rPr>
        <w:t>《湖北省人民政府办公厅关于印发深化自然资源管理改革服务高质量发展的若干措施的通知》鄂政办发〔2022〕11号</w:t>
      </w:r>
      <w:r>
        <w:rPr>
          <w:rFonts w:hint="eastAsia" w:ascii="楷体" w:hAnsi="楷体" w:eastAsia="楷体" w:cs="楷体"/>
          <w:spacing w:val="-8"/>
          <w:lang w:eastAsia="zh-CN"/>
        </w:rPr>
        <w:t>）</w:t>
      </w:r>
    </w:p>
    <w:p w14:paraId="0507B23E">
      <w:pPr>
        <w:pStyle w:val="2"/>
        <w:spacing w:before="65" w:line="219" w:lineRule="auto"/>
        <w:ind w:left="483"/>
      </w:pPr>
      <w:r>
        <w:rPr>
          <w:b w:val="0"/>
          <w:bCs w:val="0"/>
          <w:spacing w:val="-14"/>
        </w:rPr>
        <w:t>13、降低企业用地用房成本。深化工业用地“标准地”出让。</w:t>
      </w:r>
    </w:p>
    <w:p w14:paraId="739E88CB">
      <w:pPr>
        <w:spacing w:line="219" w:lineRule="auto"/>
        <w:sectPr>
          <w:footerReference r:id="rId13" w:type="default"/>
          <w:pgSz w:w="8390" w:h="5670"/>
          <w:pgMar w:top="400" w:right="803" w:bottom="746" w:left="869" w:header="0" w:footer="510" w:gutter="0"/>
          <w:pgNumType w:fmt="decimal"/>
          <w:cols w:space="720" w:num="1"/>
        </w:sectPr>
      </w:pPr>
    </w:p>
    <w:p w14:paraId="066C8889">
      <w:pPr>
        <w:spacing w:line="338" w:lineRule="auto"/>
        <w:rPr>
          <w:rFonts w:ascii="Arial"/>
          <w:sz w:val="21"/>
        </w:rPr>
      </w:pPr>
    </w:p>
    <w:p w14:paraId="54467E91">
      <w:pPr>
        <w:pStyle w:val="2"/>
        <w:spacing w:before="78" w:line="251" w:lineRule="auto"/>
        <w:jc w:val="both"/>
      </w:pPr>
      <w:r>
        <w:rPr>
          <w:spacing w:val="-4"/>
        </w:rPr>
        <w:t>在符合国土空间规划、不改变用途、确保安全的前提下，工业用</w:t>
      </w:r>
      <w:r>
        <w:rPr>
          <w:spacing w:val="9"/>
        </w:rPr>
        <w:t xml:space="preserve"> </w:t>
      </w:r>
      <w:r>
        <w:rPr>
          <w:spacing w:val="-4"/>
        </w:rPr>
        <w:t>地经批准在原用地范围内进行技术改造、建设多层</w:t>
      </w:r>
      <w:r>
        <w:rPr>
          <w:spacing w:val="-5"/>
        </w:rPr>
        <w:t>厂房、实施厂</w:t>
      </w:r>
      <w:r>
        <w:t xml:space="preserve">  </w:t>
      </w:r>
      <w:r>
        <w:rPr>
          <w:spacing w:val="-5"/>
        </w:rPr>
        <w:t>房改造加层或开发利用地下空间而提高容积率的，不再增收土地</w:t>
      </w:r>
      <w:r>
        <w:rPr>
          <w:spacing w:val="9"/>
        </w:rPr>
        <w:t xml:space="preserve">  </w:t>
      </w:r>
      <w:r>
        <w:rPr>
          <w:spacing w:val="1"/>
        </w:rPr>
        <w:t>价款。出让土地允许1年内分期缴纳土地出让金</w:t>
      </w:r>
      <w:r>
        <w:rPr>
          <w:rFonts w:hint="eastAsia"/>
          <w:spacing w:val="1"/>
          <w:lang w:eastAsia="zh-CN"/>
        </w:rPr>
        <w:t>（</w:t>
      </w:r>
      <w:r>
        <w:t xml:space="preserve">特殊项目2年内 </w:t>
      </w:r>
      <w:r>
        <w:rPr>
          <w:spacing w:val="4"/>
        </w:rPr>
        <w:t>缴清</w:t>
      </w:r>
      <w:r>
        <w:rPr>
          <w:rFonts w:hint="eastAsia"/>
          <w:spacing w:val="4"/>
          <w:lang w:eastAsia="zh-CN"/>
        </w:rPr>
        <w:t>），</w:t>
      </w:r>
      <w:r>
        <w:rPr>
          <w:spacing w:val="4"/>
        </w:rPr>
        <w:t>首次缴纳比例不低于50%</w:t>
      </w:r>
      <w:r>
        <w:rPr>
          <w:rFonts w:hint="eastAsia"/>
          <w:spacing w:val="4"/>
          <w:lang w:eastAsia="zh-CN"/>
        </w:rPr>
        <w:t>；</w:t>
      </w:r>
      <w:r>
        <w:rPr>
          <w:spacing w:val="4"/>
        </w:rPr>
        <w:t>采取先租后让、租让结合方式</w:t>
      </w:r>
      <w:r>
        <w:rPr>
          <w:spacing w:val="18"/>
        </w:rPr>
        <w:t xml:space="preserve"> </w:t>
      </w:r>
      <w:r>
        <w:t>供地需交纳的土地租金可延期至6个月内缴清；租赁国有土地从</w:t>
      </w:r>
      <w:r>
        <w:rPr>
          <w:spacing w:val="18"/>
        </w:rPr>
        <w:t xml:space="preserve"> </w:t>
      </w:r>
      <w:r>
        <w:rPr>
          <w:spacing w:val="-9"/>
        </w:rPr>
        <w:t>事生产经营活动的困难企业可申请减免不超过12个月的土地租金。</w:t>
      </w:r>
      <w:r>
        <w:rPr>
          <w:spacing w:val="18"/>
        </w:rPr>
        <w:t xml:space="preserve"> </w:t>
      </w:r>
      <w:r>
        <w:rPr>
          <w:rFonts w:hint="eastAsia"/>
          <w:spacing w:val="18"/>
          <w:lang w:eastAsia="zh-CN"/>
        </w:rPr>
        <w:t>（</w:t>
      </w:r>
      <w:r>
        <w:rPr>
          <w:rFonts w:ascii="楷体" w:hAnsi="楷体" w:eastAsia="楷体" w:cs="楷体"/>
          <w:spacing w:val="-8"/>
        </w:rPr>
        <w:t>《省自然资源厅关于印发强化自然资源要素保障服务扩投资稳增  长十条措施的通知》鄂自然资发〔2022〕6号</w:t>
      </w:r>
      <w:r>
        <w:rPr>
          <w:rFonts w:hint="eastAsia" w:ascii="楷体" w:hAnsi="楷体" w:eastAsia="楷体" w:cs="楷体"/>
          <w:spacing w:val="-8"/>
          <w:lang w:eastAsia="zh-CN"/>
        </w:rPr>
        <w:t>）</w:t>
      </w:r>
    </w:p>
    <w:p w14:paraId="6E3E608A">
      <w:pPr>
        <w:pStyle w:val="2"/>
        <w:spacing w:before="73" w:line="253" w:lineRule="auto"/>
        <w:ind w:right="29" w:firstLine="479"/>
        <w:jc w:val="both"/>
      </w:pPr>
      <w:r>
        <w:rPr>
          <w:spacing w:val="-4"/>
        </w:rPr>
        <w:t>14、落实临时用地政策。建设周期较长的能源、交通、水利</w:t>
      </w:r>
      <w:r>
        <w:rPr>
          <w:spacing w:val="5"/>
        </w:rPr>
        <w:t xml:space="preserve"> </w:t>
      </w:r>
      <w:r>
        <w:rPr>
          <w:spacing w:val="-4"/>
        </w:rPr>
        <w:t>等基础设施建设项目施工使用的临时用地，期</w:t>
      </w:r>
      <w:r>
        <w:rPr>
          <w:spacing w:val="-5"/>
        </w:rPr>
        <w:t>限不超过四年。直</w:t>
      </w:r>
      <w:r>
        <w:t xml:space="preserve"> </w:t>
      </w:r>
      <w:r>
        <w:rPr>
          <w:spacing w:val="-2"/>
        </w:rPr>
        <w:t>接服务于铁路工程施工的制梁场、拌合站，需临时使用土地的，</w:t>
      </w:r>
    </w:p>
    <w:p w14:paraId="315A81BC">
      <w:pPr>
        <w:spacing w:line="253" w:lineRule="auto"/>
        <w:sectPr>
          <w:footerReference r:id="rId14" w:type="default"/>
          <w:pgSz w:w="8390" w:h="5670"/>
          <w:pgMar w:top="400" w:right="799" w:bottom="748" w:left="880" w:header="0" w:footer="510" w:gutter="0"/>
          <w:pgNumType w:fmt="decimal"/>
          <w:cols w:space="720" w:num="1"/>
        </w:sectPr>
      </w:pPr>
    </w:p>
    <w:p w14:paraId="23A620A1">
      <w:pPr>
        <w:spacing w:line="351" w:lineRule="auto"/>
        <w:rPr>
          <w:rFonts w:ascii="Arial"/>
          <w:sz w:val="21"/>
        </w:rPr>
      </w:pPr>
    </w:p>
    <w:p w14:paraId="68279E18">
      <w:pPr>
        <w:pStyle w:val="2"/>
        <w:spacing w:before="78" w:line="246" w:lineRule="auto"/>
        <w:ind w:right="78"/>
        <w:jc w:val="both"/>
      </w:pPr>
      <w:r>
        <w:rPr>
          <w:spacing w:val="-4"/>
        </w:rPr>
        <w:t>其土地复垦方案通过论证，业主单位签订承诺书，明确复垦完成</w:t>
      </w:r>
      <w:r>
        <w:rPr>
          <w:spacing w:val="12"/>
        </w:rPr>
        <w:t xml:space="preserve"> </w:t>
      </w:r>
      <w:r>
        <w:rPr>
          <w:spacing w:val="-5"/>
        </w:rPr>
        <w:t>时限和恢复责任，确保能恢复种植条件的，可以占用耕地，不得</w:t>
      </w:r>
      <w:r>
        <w:rPr>
          <w:spacing w:val="8"/>
        </w:rPr>
        <w:t xml:space="preserve"> </w:t>
      </w:r>
      <w:r>
        <w:rPr>
          <w:spacing w:val="-9"/>
        </w:rPr>
        <w:t>占用永久基本农田。</w:t>
      </w:r>
      <w:r>
        <w:rPr>
          <w:rFonts w:hint="eastAsia"/>
          <w:spacing w:val="-9"/>
          <w:lang w:eastAsia="zh-CN"/>
        </w:rPr>
        <w:t>（</w:t>
      </w:r>
      <w:r>
        <w:rPr>
          <w:rFonts w:ascii="楷体" w:hAnsi="楷体" w:eastAsia="楷体" w:cs="楷体"/>
          <w:spacing w:val="-9"/>
        </w:rPr>
        <w:t>《</w:t>
      </w:r>
      <w:r>
        <w:rPr>
          <w:rFonts w:ascii="楷体" w:hAnsi="楷体" w:eastAsia="楷体" w:cs="楷体"/>
          <w:spacing w:val="-8"/>
        </w:rPr>
        <w:t>自然资源部关于积极做好用地用海要素保 障的通知》自然资发〔2022〕129号</w:t>
      </w:r>
      <w:r>
        <w:rPr>
          <w:rFonts w:hint="eastAsia" w:ascii="楷体" w:hAnsi="楷体" w:eastAsia="楷体" w:cs="楷体"/>
          <w:spacing w:val="-8"/>
          <w:lang w:eastAsia="zh-CN"/>
        </w:rPr>
        <w:t>）</w:t>
      </w:r>
    </w:p>
    <w:p w14:paraId="6E8FD618">
      <w:pPr>
        <w:pStyle w:val="2"/>
        <w:spacing w:before="58" w:line="247" w:lineRule="auto"/>
        <w:ind w:right="52" w:firstLine="490"/>
      </w:pPr>
      <w:r>
        <w:rPr>
          <w:spacing w:val="-3"/>
        </w:rPr>
        <w:t>15、优化重大基础设施项目划拨供地程序。在国土空</w:t>
      </w:r>
      <w:r>
        <w:rPr>
          <w:spacing w:val="-4"/>
        </w:rPr>
        <w:t>间规划</w:t>
      </w:r>
      <w:r>
        <w:t xml:space="preserve"> </w:t>
      </w:r>
      <w:r>
        <w:rPr>
          <w:spacing w:val="-3"/>
        </w:rPr>
        <w:t>确定的城市和村庄、集镇建设用地范围外的能源、交通、水利等</w:t>
      </w:r>
      <w:r>
        <w:rPr>
          <w:spacing w:val="4"/>
        </w:rPr>
        <w:t xml:space="preserve"> </w:t>
      </w:r>
      <w:r>
        <w:rPr>
          <w:spacing w:val="-4"/>
        </w:rPr>
        <w:t>重大基础设施项目，土地征收和农用地转用经批准实施后，直接</w:t>
      </w:r>
      <w:r>
        <w:rPr>
          <w:spacing w:val="10"/>
        </w:rPr>
        <w:t xml:space="preserve"> </w:t>
      </w:r>
      <w:r>
        <w:rPr>
          <w:spacing w:val="-8"/>
        </w:rPr>
        <w:t>核发国有土地使用权划拨决定书。</w:t>
      </w:r>
      <w:r>
        <w:rPr>
          <w:rFonts w:hint="eastAsia"/>
          <w:spacing w:val="-8"/>
          <w:lang w:eastAsia="zh-CN"/>
        </w:rPr>
        <w:t>（</w:t>
      </w:r>
      <w:r>
        <w:rPr>
          <w:rFonts w:ascii="楷体" w:hAnsi="楷体" w:eastAsia="楷体" w:cs="楷体"/>
          <w:spacing w:val="-8"/>
        </w:rPr>
        <w:t>《自然资源部关于积极做好用 地用海要素保障的通知》自然资发〔2022〕129号</w:t>
      </w:r>
      <w:r>
        <w:rPr>
          <w:rFonts w:hint="eastAsia" w:ascii="楷体" w:hAnsi="楷体" w:eastAsia="楷体" w:cs="楷体"/>
          <w:spacing w:val="-8"/>
          <w:lang w:eastAsia="zh-CN"/>
        </w:rPr>
        <w:t>）</w:t>
      </w:r>
    </w:p>
    <w:p w14:paraId="4A0604D5">
      <w:pPr>
        <w:pStyle w:val="2"/>
        <w:spacing w:before="64" w:line="242" w:lineRule="auto"/>
        <w:ind w:firstLine="480"/>
      </w:pPr>
      <w:r>
        <w:rPr>
          <w:spacing w:val="-10"/>
        </w:rPr>
        <w:t>16、各级自然资源主管部门要积极创造条件，提升行政效率，</w:t>
      </w:r>
      <w:r>
        <w:rPr>
          <w:spacing w:val="18"/>
        </w:rPr>
        <w:t xml:space="preserve"> </w:t>
      </w:r>
      <w:r>
        <w:rPr>
          <w:spacing w:val="-5"/>
        </w:rPr>
        <w:t>为相关企业申办测绘资质、使用基础测绘成果、导航电子地图送</w:t>
      </w:r>
      <w:r>
        <w:rPr>
          <w:spacing w:val="4"/>
        </w:rPr>
        <w:t xml:space="preserve">  </w:t>
      </w:r>
      <w:r>
        <w:rPr>
          <w:spacing w:val="-12"/>
        </w:rPr>
        <w:t>审以及政策咨询等提供便利。按照《中华人民共和国测绘法》《中</w:t>
      </w:r>
    </w:p>
    <w:p w14:paraId="24FB3C05">
      <w:pPr>
        <w:spacing w:line="242" w:lineRule="auto"/>
        <w:sectPr>
          <w:footerReference r:id="rId15" w:type="default"/>
          <w:pgSz w:w="8390" w:h="5670"/>
          <w:pgMar w:top="400" w:right="820" w:bottom="747" w:left="869" w:header="0" w:footer="513" w:gutter="0"/>
          <w:pgNumType w:fmt="decimal"/>
          <w:cols w:space="720" w:num="1"/>
        </w:sectPr>
      </w:pPr>
    </w:p>
    <w:p w14:paraId="0430DB3A">
      <w:pPr>
        <w:spacing w:line="337" w:lineRule="auto"/>
        <w:rPr>
          <w:rFonts w:ascii="Arial"/>
          <w:sz w:val="21"/>
        </w:rPr>
      </w:pPr>
    </w:p>
    <w:p w14:paraId="25D63576">
      <w:pPr>
        <w:pStyle w:val="2"/>
        <w:spacing w:before="78" w:line="250" w:lineRule="auto"/>
        <w:jc w:val="both"/>
      </w:pPr>
      <w:r>
        <w:rPr>
          <w:spacing w:val="-4"/>
        </w:rPr>
        <w:t>华人民共和国数据安全法》等法律法规规定，切实加强智能网联</w:t>
      </w:r>
      <w:r>
        <w:t xml:space="preserve">  </w:t>
      </w:r>
      <w:r>
        <w:rPr>
          <w:spacing w:val="-8"/>
        </w:rPr>
        <w:t>汽车新业态发展中涉及测绘活动及测绘地理信</w:t>
      </w:r>
      <w:r>
        <w:rPr>
          <w:spacing w:val="-9"/>
        </w:rPr>
        <w:t>息数据的监督管理，</w:t>
      </w:r>
      <w:r>
        <w:t xml:space="preserve"> </w:t>
      </w:r>
      <w:r>
        <w:rPr>
          <w:spacing w:val="-5"/>
        </w:rPr>
        <w:t>强化与有关部门的协同与信息通报，依法查</w:t>
      </w:r>
      <w:r>
        <w:rPr>
          <w:spacing w:val="-6"/>
        </w:rPr>
        <w:t>处有关违法违规行为</w:t>
      </w:r>
      <w:r>
        <w:t xml:space="preserve">  </w:t>
      </w:r>
      <w:r>
        <w:rPr>
          <w:spacing w:val="-8"/>
        </w:rPr>
        <w:t>在维护国家安全的前提下，促进智能网联汽车产业发展。</w:t>
      </w:r>
      <w:r>
        <w:rPr>
          <w:rFonts w:hint="eastAsia"/>
          <w:spacing w:val="-8"/>
          <w:lang w:eastAsia="zh-CN"/>
        </w:rPr>
        <w:t>（</w:t>
      </w:r>
      <w:r>
        <w:rPr>
          <w:rFonts w:ascii="楷体" w:hAnsi="楷体" w:eastAsia="楷体" w:cs="楷体"/>
          <w:spacing w:val="-8"/>
        </w:rPr>
        <w:t>《自然  资源部关于促进智能网联汽车发展维护测绘地理信息安全的通知》 自然资规〔2022〕1号</w:t>
      </w:r>
      <w:r>
        <w:rPr>
          <w:rFonts w:hint="eastAsia" w:ascii="楷体" w:hAnsi="楷体" w:eastAsia="楷体" w:cs="楷体"/>
          <w:spacing w:val="-8"/>
          <w:lang w:eastAsia="zh-CN"/>
        </w:rPr>
        <w:t>）</w:t>
      </w:r>
    </w:p>
    <w:p w14:paraId="3B6D5083">
      <w:pPr>
        <w:pStyle w:val="2"/>
        <w:spacing w:before="58" w:line="250" w:lineRule="auto"/>
        <w:ind w:right="79" w:firstLine="490"/>
        <w:jc w:val="both"/>
      </w:pPr>
      <w:r>
        <w:rPr>
          <w:spacing w:val="-12"/>
        </w:rPr>
        <w:t>17、缩小用地预审范围。以下情形不需申请办理用地预审，直</w:t>
      </w:r>
      <w:r>
        <w:rPr>
          <w:spacing w:val="5"/>
        </w:rPr>
        <w:t xml:space="preserve"> </w:t>
      </w:r>
      <w:r>
        <w:t>接申请办理农用地转用和土地征收：</w:t>
      </w:r>
      <w:r>
        <w:rPr>
          <w:rFonts w:hint="eastAsia"/>
          <w:lang w:eastAsia="zh-CN"/>
        </w:rPr>
        <w:t>（</w:t>
      </w:r>
      <w:r>
        <w:t>1</w:t>
      </w:r>
      <w:r>
        <w:rPr>
          <w:rFonts w:hint="eastAsia"/>
          <w:lang w:eastAsia="zh-CN"/>
        </w:rPr>
        <w:t>）</w:t>
      </w:r>
      <w:r>
        <w:rPr>
          <w:spacing w:val="-1"/>
        </w:rPr>
        <w:t>国土空间规划确定的城</w:t>
      </w:r>
      <w:r>
        <w:t xml:space="preserve"> </w:t>
      </w:r>
      <w:r>
        <w:rPr>
          <w:spacing w:val="-8"/>
        </w:rPr>
        <w:t>市和村庄、集镇建设用地范围内的建设项目用地；</w:t>
      </w:r>
      <w:r>
        <w:rPr>
          <w:rFonts w:hint="eastAsia"/>
          <w:spacing w:val="-8"/>
          <w:lang w:eastAsia="zh-CN"/>
        </w:rPr>
        <w:t>（</w:t>
      </w:r>
      <w:r>
        <w:rPr>
          <w:spacing w:val="-8"/>
        </w:rPr>
        <w:t>2</w:t>
      </w:r>
      <w:r>
        <w:rPr>
          <w:rFonts w:hint="eastAsia"/>
          <w:spacing w:val="-8"/>
          <w:lang w:eastAsia="zh-CN"/>
        </w:rPr>
        <w:t>）</w:t>
      </w:r>
      <w:r>
        <w:rPr>
          <w:spacing w:val="-8"/>
        </w:rPr>
        <w:t>油</w:t>
      </w:r>
      <w:r>
        <w:rPr>
          <w:spacing w:val="-9"/>
        </w:rPr>
        <w:t>气类“探</w:t>
      </w:r>
      <w:r>
        <w:t xml:space="preserve"> 采合一”和“探转采”钻井及其配套设施建</w:t>
      </w:r>
      <w:r>
        <w:rPr>
          <w:spacing w:val="-1"/>
        </w:rPr>
        <w:t>设用地；</w:t>
      </w:r>
      <w:r>
        <w:rPr>
          <w:rFonts w:hint="eastAsia"/>
          <w:spacing w:val="-1"/>
          <w:lang w:eastAsia="zh-CN"/>
        </w:rPr>
        <w:t>（</w:t>
      </w:r>
      <w:r>
        <w:rPr>
          <w:spacing w:val="-1"/>
        </w:rPr>
        <w:t>3</w:t>
      </w:r>
      <w:r>
        <w:rPr>
          <w:rFonts w:hint="eastAsia"/>
          <w:spacing w:val="-1"/>
          <w:lang w:eastAsia="zh-CN"/>
        </w:rPr>
        <w:t>）</w:t>
      </w:r>
      <w:r>
        <w:rPr>
          <w:spacing w:val="-1"/>
        </w:rPr>
        <w:t>具备直</w:t>
      </w:r>
      <w:r>
        <w:t xml:space="preserve"> 接出让采矿权条件、能够明确具体用地范围</w:t>
      </w:r>
      <w:r>
        <w:rPr>
          <w:spacing w:val="-1"/>
        </w:rPr>
        <w:t>的采矿用地；</w:t>
      </w:r>
      <w:r>
        <w:rPr>
          <w:rFonts w:hint="eastAsia"/>
          <w:spacing w:val="-1"/>
          <w:lang w:eastAsia="zh-CN"/>
        </w:rPr>
        <w:t>（</w:t>
      </w:r>
      <w:r>
        <w:rPr>
          <w:spacing w:val="-1"/>
        </w:rPr>
        <w:t>4</w:t>
      </w:r>
      <w:r>
        <w:rPr>
          <w:rFonts w:hint="eastAsia"/>
          <w:spacing w:val="-1"/>
          <w:lang w:eastAsia="zh-CN"/>
        </w:rPr>
        <w:t>）</w:t>
      </w:r>
      <w:r>
        <w:rPr>
          <w:spacing w:val="-1"/>
        </w:rPr>
        <w:t>露</w:t>
      </w:r>
      <w:r>
        <w:t xml:space="preserve"> 天煤矿接续用地；</w:t>
      </w:r>
      <w:r>
        <w:rPr>
          <w:rFonts w:hint="eastAsia"/>
          <w:lang w:eastAsia="zh-CN"/>
        </w:rPr>
        <w:t>（</w:t>
      </w:r>
      <w:r>
        <w:t>5</w:t>
      </w:r>
      <w:r>
        <w:rPr>
          <w:rFonts w:hint="eastAsia"/>
          <w:lang w:eastAsia="zh-CN"/>
        </w:rPr>
        <w:t>）</w:t>
      </w:r>
      <w:r>
        <w:t>水利水电项目涉及的淹没区用地。分期分</w:t>
      </w:r>
    </w:p>
    <w:p w14:paraId="0E742FD6">
      <w:pPr>
        <w:spacing w:line="250" w:lineRule="auto"/>
        <w:sectPr>
          <w:footerReference r:id="rId16" w:type="default"/>
          <w:pgSz w:w="8390" w:h="5670"/>
          <w:pgMar w:top="400" w:right="799" w:bottom="749" w:left="869" w:header="0" w:footer="510" w:gutter="0"/>
          <w:pgNumType w:fmt="decimal"/>
          <w:cols w:space="720" w:num="1"/>
        </w:sectPr>
      </w:pPr>
    </w:p>
    <w:p w14:paraId="3DBA8E94">
      <w:pPr>
        <w:spacing w:line="334" w:lineRule="auto"/>
        <w:rPr>
          <w:rFonts w:ascii="Arial"/>
          <w:sz w:val="21"/>
        </w:rPr>
      </w:pPr>
    </w:p>
    <w:p w14:paraId="0CDC68EC">
      <w:pPr>
        <w:pStyle w:val="2"/>
        <w:spacing w:before="81" w:line="238" w:lineRule="auto"/>
        <w:jc w:val="both"/>
        <w:rPr>
          <w:sz w:val="25"/>
          <w:szCs w:val="25"/>
        </w:rPr>
      </w:pPr>
      <w:r>
        <w:t>段办理农用地转用和土地征收。确需分期建设的项目，可根据可 行性研究报告确定的方案或可行性研究批复中明确的分期建设内 容，分期申请建设用地。</w:t>
      </w:r>
      <w:r>
        <w:rPr>
          <w:rFonts w:hint="eastAsia"/>
          <w:lang w:eastAsia="zh-CN"/>
        </w:rPr>
        <w:t>（</w:t>
      </w:r>
      <w:r>
        <w:rPr>
          <w:rFonts w:ascii="楷体" w:hAnsi="楷体" w:eastAsia="楷体" w:cs="楷体"/>
          <w:spacing w:val="-8"/>
        </w:rPr>
        <w:t>《自然资源部关于进一步做好用地用海 要素保障的通知》自然资发〔2023〕89号</w:t>
      </w:r>
      <w:r>
        <w:rPr>
          <w:rFonts w:hint="eastAsia" w:ascii="楷体" w:hAnsi="楷体" w:eastAsia="楷体" w:cs="楷体"/>
          <w:spacing w:val="-8"/>
          <w:lang w:eastAsia="zh-CN"/>
        </w:rPr>
        <w:t>）</w:t>
      </w:r>
    </w:p>
    <w:p w14:paraId="64B42B86">
      <w:pPr>
        <w:pStyle w:val="2"/>
        <w:keepNext w:val="0"/>
        <w:keepLines w:val="0"/>
        <w:pageBreakBefore w:val="0"/>
        <w:widowControl/>
        <w:numPr>
          <w:ilvl w:val="0"/>
          <w:numId w:val="1"/>
        </w:numPr>
        <w:kinsoku w:val="0"/>
        <w:wordWrap/>
        <w:overflowPunct/>
        <w:topLinePunct w:val="0"/>
        <w:autoSpaceDE w:val="0"/>
        <w:autoSpaceDN w:val="0"/>
        <w:bidi w:val="0"/>
        <w:adjustRightInd w:val="0"/>
        <w:snapToGrid w:val="0"/>
        <w:spacing w:line="238" w:lineRule="auto"/>
        <w:ind w:firstLine="480" w:firstLineChars="200"/>
        <w:jc w:val="both"/>
        <w:textAlignment w:val="baseline"/>
      </w:pPr>
      <w:r>
        <w:t>优化土地供应方式，产业用地可以采取长期租赁、先租 后让、租让结合、弹性年限方式供应，对符合国土空间规划，不能单独成宗开发建设的边角地、夹心地、插花地等零星土地，经 市、县人民政府同意，可采取协议出让方式供应。</w:t>
      </w:r>
      <w:r>
        <w:rPr>
          <w:rFonts w:hint="eastAsia"/>
          <w:lang w:eastAsia="zh-CN"/>
        </w:rPr>
        <w:t>（</w:t>
      </w:r>
      <w:r>
        <w:rPr>
          <w:rFonts w:ascii="楷体" w:hAnsi="楷体" w:eastAsia="楷体" w:cs="楷体"/>
          <w:spacing w:val="-8"/>
        </w:rPr>
        <w:t>《市人民政府 办公室印发关于更好服务市场主体推动经济稳健发展若干政策措 施的通知》随政办发〔2023〕17号</w:t>
      </w:r>
      <w:r>
        <w:rPr>
          <w:rFonts w:hint="eastAsia" w:ascii="楷体" w:hAnsi="楷体" w:eastAsia="楷体" w:cs="楷体"/>
          <w:spacing w:val="-8"/>
          <w:lang w:eastAsia="zh-CN"/>
        </w:rPr>
        <w:t>）</w:t>
      </w:r>
    </w:p>
    <w:p w14:paraId="4239F42C">
      <w:pPr>
        <w:pStyle w:val="2"/>
        <w:keepNext w:val="0"/>
        <w:keepLines w:val="0"/>
        <w:pageBreakBefore w:val="0"/>
        <w:widowControl/>
        <w:numPr>
          <w:ilvl w:val="0"/>
          <w:numId w:val="1"/>
        </w:numPr>
        <w:kinsoku w:val="0"/>
        <w:wordWrap/>
        <w:overflowPunct/>
        <w:topLinePunct w:val="0"/>
        <w:autoSpaceDE w:val="0"/>
        <w:autoSpaceDN w:val="0"/>
        <w:bidi w:val="0"/>
        <w:adjustRightInd w:val="0"/>
        <w:snapToGrid w:val="0"/>
        <w:spacing w:line="238" w:lineRule="auto"/>
        <w:ind w:firstLine="480" w:firstLineChars="200"/>
        <w:jc w:val="both"/>
        <w:textAlignment w:val="baseline"/>
        <w:rPr>
          <w:spacing w:val="-4"/>
        </w:rPr>
      </w:pPr>
      <w:r>
        <w:t>对列入省优先发展产业目录以及医疗器械、药品、防护品等工业项目，在不低于土地取得成本的情况下，可按所在地土</w:t>
      </w:r>
      <w:r>
        <w:rPr>
          <w:spacing w:val="-4"/>
        </w:rPr>
        <w:t>地等别相对应标准的70%确定出让底价。新出让土地可按不低于底价的10%确定竞买保证金，底价较高的项目，竞买保证金可分期缴纳，缴纳期限以土地出让公告为准，允许以银行保函代替</w:t>
      </w:r>
      <w:r>
        <w:rPr>
          <w:rFonts w:hint="eastAsia"/>
          <w:spacing w:val="-4"/>
          <w:lang w:eastAsia="zh-CN"/>
        </w:rPr>
        <w:t>竞</w:t>
      </w:r>
      <w:r>
        <w:rPr>
          <w:spacing w:val="-4"/>
        </w:rPr>
        <w:t xml:space="preserve"> 买保证金。</w:t>
      </w:r>
      <w:r>
        <w:rPr>
          <w:rFonts w:hint="eastAsia"/>
          <w:spacing w:val="-4"/>
          <w:lang w:eastAsia="zh-CN"/>
        </w:rPr>
        <w:t>（</w:t>
      </w:r>
      <w:r>
        <w:rPr>
          <w:rFonts w:ascii="楷体" w:hAnsi="楷体" w:eastAsia="楷体" w:cs="楷体"/>
          <w:spacing w:val="-8"/>
        </w:rPr>
        <w:t>《市人民政府办公室印发关于更好服务市场主体推动 经济稳健发展若干政策措施的通知》随政办发〔2023〕17号</w:t>
      </w:r>
      <w:r>
        <w:rPr>
          <w:rFonts w:hint="eastAsia" w:ascii="楷体" w:hAnsi="楷体" w:eastAsia="楷体" w:cs="楷体"/>
          <w:spacing w:val="-8"/>
          <w:lang w:eastAsia="zh-CN"/>
        </w:rPr>
        <w:t>）</w:t>
      </w:r>
    </w:p>
    <w:p w14:paraId="515DFBF9">
      <w:pPr>
        <w:pStyle w:val="2"/>
        <w:spacing w:before="62" w:line="250" w:lineRule="auto"/>
        <w:ind w:firstLine="450"/>
        <w:jc w:val="both"/>
      </w:pPr>
      <w:r>
        <w:rPr>
          <w:spacing w:val="-3"/>
        </w:rPr>
        <w:t>20、在产业用地更新时鼓励配置一定比例的其他关联产业功</w:t>
      </w:r>
      <w:r>
        <w:rPr>
          <w:spacing w:val="11"/>
        </w:rPr>
        <w:t xml:space="preserve"> </w:t>
      </w:r>
      <w:r>
        <w:rPr>
          <w:spacing w:val="-4"/>
        </w:rPr>
        <w:t>能和配套设施，促进产业转型升级和产业社区建设。为保障居民</w:t>
      </w:r>
      <w:r>
        <w:rPr>
          <w:spacing w:val="4"/>
        </w:rPr>
        <w:t xml:space="preserve"> </w:t>
      </w:r>
      <w:r>
        <w:rPr>
          <w:spacing w:val="-4"/>
        </w:rPr>
        <w:t>基本生活需求、补齐城市短板而实施的市政基础设施、公共服务</w:t>
      </w:r>
      <w:r>
        <w:rPr>
          <w:spacing w:val="2"/>
        </w:rPr>
        <w:t xml:space="preserve"> </w:t>
      </w:r>
      <w:r>
        <w:rPr>
          <w:spacing w:val="-4"/>
        </w:rPr>
        <w:t>设施、公共安全设施项目，以及老旧住宅成套化改造等项目，在</w:t>
      </w:r>
      <w:r>
        <w:rPr>
          <w:spacing w:val="4"/>
        </w:rPr>
        <w:t xml:space="preserve"> </w:t>
      </w:r>
      <w:r>
        <w:rPr>
          <w:spacing w:val="-3"/>
        </w:rPr>
        <w:t>对周边不产生负面影响的前提下，其新增建筑规模可</w:t>
      </w:r>
      <w:r>
        <w:rPr>
          <w:spacing w:val="-4"/>
        </w:rPr>
        <w:t>不受规划容</w:t>
      </w:r>
      <w:r>
        <w:t xml:space="preserve"> </w:t>
      </w:r>
      <w:r>
        <w:rPr>
          <w:spacing w:val="-4"/>
        </w:rPr>
        <w:t>积率指标的制约。在规划条件之外，对多保留不可移动文物和历</w:t>
      </w:r>
      <w:r>
        <w:rPr>
          <w:spacing w:val="6"/>
        </w:rPr>
        <w:t xml:space="preserve"> </w:t>
      </w:r>
      <w:r>
        <w:rPr>
          <w:spacing w:val="-4"/>
        </w:rPr>
        <w:t>史建筑、多无偿移交政府的公共服务设施等公益性贡献，其建筑</w:t>
      </w:r>
    </w:p>
    <w:p w14:paraId="4474EC66">
      <w:pPr>
        <w:spacing w:line="250" w:lineRule="auto"/>
        <w:sectPr>
          <w:footerReference r:id="rId17" w:type="default"/>
          <w:pgSz w:w="8390" w:h="5670"/>
          <w:pgMar w:top="400" w:right="887" w:bottom="749" w:left="869" w:header="0" w:footer="510" w:gutter="0"/>
          <w:pgNumType w:fmt="decimal"/>
          <w:cols w:space="720" w:num="1"/>
        </w:sectPr>
      </w:pPr>
    </w:p>
    <w:p w14:paraId="349F14F8">
      <w:pPr>
        <w:pStyle w:val="2"/>
        <w:spacing w:before="62" w:line="250" w:lineRule="auto"/>
        <w:jc w:val="both"/>
        <w:rPr>
          <w:spacing w:val="-4"/>
        </w:rPr>
      </w:pPr>
      <w:r>
        <w:rPr>
          <w:spacing w:val="-4"/>
        </w:rPr>
        <w:t>面积可按贡献的相应建筑面积补足。为满足安全、环保、无障碍 标准等要求，对于增设必要的楼梯、电梯、公共走廊、无障碍设 施、风道、外墙保温等附属设施以及景观休息设施等情形，其新 增建筑量可不计入规划容积率。在保障公共安全的前提下，尊重 历史、因地制宜，在城市更新中对建筑间距、建筑退距、建筑面 宽、建筑密度、日照标准、绿地率、机动车停车位等无法达到现 行标准和规范的情形，可通过技术措施以不低于现状条件为底线 进行更新，并鼓励对现行规划技术规范进行适应性优化完善。原 划拨土地使用权人申请办理协议出让，划拨土地使用权转让申请 办理协议出让，经依法批准，可采用协议出让方式办理出让手续，但《国有建设用地划拨决定书》、</w:t>
      </w:r>
      <w:r>
        <w:rPr>
          <w:rFonts w:hint="eastAsia"/>
          <w:spacing w:val="-4"/>
          <w:lang w:eastAsia="zh-CN"/>
        </w:rPr>
        <w:t>法律法规</w:t>
      </w:r>
      <w:r>
        <w:rPr>
          <w:spacing w:val="-4"/>
        </w:rPr>
        <w:t>、行政规定等明确应当收回国有建设用地使用权重新公开出让的除外。以租赁方</w:t>
      </w:r>
    </w:p>
    <w:p w14:paraId="54FA602E">
      <w:pPr>
        <w:pStyle w:val="2"/>
        <w:spacing w:before="62" w:line="250" w:lineRule="auto"/>
        <w:ind w:firstLine="450"/>
        <w:jc w:val="both"/>
        <w:rPr>
          <w:spacing w:val="-4"/>
        </w:rPr>
        <w:sectPr>
          <w:footerReference r:id="rId18" w:type="default"/>
          <w:pgSz w:w="8390" w:h="5670"/>
          <w:pgMar w:top="400" w:right="824" w:bottom="756" w:left="880" w:header="0" w:footer="507" w:gutter="0"/>
          <w:pgNumType w:fmt="decimal"/>
          <w:cols w:space="720" w:num="1"/>
        </w:sectPr>
      </w:pPr>
    </w:p>
    <w:p w14:paraId="14977BAC">
      <w:pPr>
        <w:pStyle w:val="2"/>
        <w:spacing w:before="78" w:line="252" w:lineRule="auto"/>
        <w:jc w:val="both"/>
      </w:pPr>
      <w:r>
        <w:rPr>
          <w:rFonts w:hint="eastAsia"/>
          <w:spacing w:val="-4"/>
          <w:lang w:val="en-US" w:eastAsia="zh-CN"/>
        </w:rPr>
        <w:t>式取</w:t>
      </w:r>
      <w:r>
        <w:rPr>
          <w:spacing w:val="-4"/>
        </w:rPr>
        <w:t>得土地的非商品住宅类更新项目，在租赁期</w:t>
      </w:r>
      <w:r>
        <w:rPr>
          <w:spacing w:val="-5"/>
        </w:rPr>
        <w:t>内依法依规完成更新</w:t>
      </w:r>
      <w:r>
        <w:rPr>
          <w:spacing w:val="-4"/>
        </w:rPr>
        <w:t>改造的，可在租赁期满后依法以协议出让方式取得土地。鼓励原土地使用权人依法以转让、经分割审批后部分转让或出租土地使用权等方式盘活利用。原划拨土地改造开发后用途仍符合《划拨用地目录》的，可继续按划拨方式使用。规</w:t>
      </w:r>
      <w:r>
        <w:rPr>
          <w:spacing w:val="-5"/>
        </w:rPr>
        <w:t>范土地复合利用。规</w:t>
      </w:r>
      <w:r>
        <w:rPr>
          <w:spacing w:val="-4"/>
        </w:rPr>
        <w:t>范土地复合利用，推动在城市更新中复合利用</w:t>
      </w:r>
      <w:r>
        <w:rPr>
          <w:spacing w:val="-5"/>
        </w:rPr>
        <w:t>、节约集约利用土</w:t>
      </w:r>
      <w:r>
        <w:rPr>
          <w:spacing w:val="-4"/>
        </w:rPr>
        <w:t>地，主要涉及土地用途和土地使用年限确定及土地价款计收。复合利用土地的用途可按主用途确定，主用途可依据建</w:t>
      </w:r>
      <w:r>
        <w:rPr>
          <w:spacing w:val="-5"/>
        </w:rPr>
        <w:t>筑面积占比</w:t>
      </w:r>
      <w:r>
        <w:rPr>
          <w:spacing w:val="-9"/>
        </w:rPr>
        <w:t>确定，也可依据功能的重要性确定。土地主用途与原用途一致的，</w:t>
      </w:r>
      <w:r>
        <w:rPr>
          <w:spacing w:val="-4"/>
        </w:rPr>
        <w:t>按土地原用途管理；土地主用途与原用途不一致的，依法办理土</w:t>
      </w:r>
      <w:r>
        <w:rPr>
          <w:spacing w:val="-5"/>
        </w:rPr>
        <w:t>地用途变更。复合利用土地的使用年限可根据土地用途</w:t>
      </w:r>
      <w:r>
        <w:rPr>
          <w:spacing w:val="-6"/>
        </w:rPr>
        <w:t>不同，分</w:t>
      </w:r>
      <w:r>
        <w:rPr>
          <w:spacing w:val="-4"/>
        </w:rPr>
        <w:t>别设定出让年期，但不得超过对应用途最高出让年期。复合</w:t>
      </w:r>
    </w:p>
    <w:p w14:paraId="7321DF3D">
      <w:pPr>
        <w:spacing w:line="252" w:lineRule="auto"/>
        <w:sectPr>
          <w:footerReference r:id="rId19" w:type="default"/>
          <w:pgSz w:w="8390" w:h="5670"/>
          <w:pgMar w:top="400" w:right="810" w:bottom="749" w:left="869" w:header="0" w:footer="510" w:gutter="0"/>
          <w:pgNumType w:fmt="decimal"/>
          <w:cols w:space="720" w:num="1"/>
        </w:sectPr>
      </w:pPr>
    </w:p>
    <w:p w14:paraId="358B4AA8">
      <w:pPr>
        <w:pStyle w:val="2"/>
        <w:spacing w:before="78" w:line="252" w:lineRule="auto"/>
        <w:jc w:val="both"/>
        <w:rPr>
          <w:spacing w:val="-4"/>
        </w:rPr>
      </w:pPr>
      <w:r>
        <w:rPr>
          <w:rFonts w:hint="eastAsia"/>
          <w:spacing w:val="-4"/>
          <w:lang w:val="en-US" w:eastAsia="zh-CN"/>
        </w:rPr>
        <w:t>利用</w:t>
      </w:r>
      <w:r>
        <w:rPr>
          <w:spacing w:val="-4"/>
        </w:rPr>
        <w:t>土地的出让底价按不同用途土地分项评估后确定。细化土地使用</w:t>
      </w:r>
      <w:r>
        <w:rPr>
          <w:spacing w:val="-5"/>
        </w:rPr>
        <w:t>年限和年期。在城市更新中为适应市场需求，鼓励灵活确定土地</w:t>
      </w:r>
      <w:r>
        <w:rPr>
          <w:spacing w:val="-4"/>
        </w:rPr>
        <w:t>出让年限和租赁年期。对城市更新项目重新组织</w:t>
      </w:r>
      <w:r>
        <w:rPr>
          <w:spacing w:val="-5"/>
        </w:rPr>
        <w:t>国有建设用地使</w:t>
      </w:r>
      <w:r>
        <w:rPr>
          <w:spacing w:val="-4"/>
        </w:rPr>
        <w:t>用权出让的，可以重新设定出让年限。为适应产业发</w:t>
      </w:r>
      <w:r>
        <w:rPr>
          <w:spacing w:val="-5"/>
        </w:rPr>
        <w:t>展的实际需</w:t>
      </w:r>
      <w:r>
        <w:rPr>
          <w:spacing w:val="-4"/>
        </w:rPr>
        <w:t>要，城市更新可考虑采用少于法定最高出让年限或租赁年期供应产业用地，并允许根据需要予以续期，包括续期在</w:t>
      </w:r>
      <w:r>
        <w:rPr>
          <w:spacing w:val="-5"/>
        </w:rPr>
        <w:t>内的总年限不</w:t>
      </w:r>
      <w:r>
        <w:rPr>
          <w:spacing w:val="-4"/>
        </w:rPr>
        <w:t>得超过该用途土地的法定最高出让年限或租赁年期。实施差别化</w:t>
      </w:r>
      <w:r>
        <w:rPr>
          <w:spacing w:val="-5"/>
        </w:rPr>
        <w:t>税费计收。以“无收益、不缴税”为原则，城市更新项目可依法</w:t>
      </w:r>
      <w:r>
        <w:rPr>
          <w:spacing w:val="-4"/>
        </w:rPr>
        <w:t>享受行政事业性收费减免和税收优惠政策，同</w:t>
      </w:r>
      <w:r>
        <w:rPr>
          <w:spacing w:val="-5"/>
        </w:rPr>
        <w:t>时加强对国有建设</w:t>
      </w:r>
      <w:r>
        <w:rPr>
          <w:spacing w:val="-4"/>
        </w:rPr>
        <w:t>用地使用税的征管。对在城市更新项目中提供</w:t>
      </w:r>
      <w:r>
        <w:rPr>
          <w:spacing w:val="-5"/>
        </w:rPr>
        <w:t>公益性建设、实施</w:t>
      </w:r>
      <w:r>
        <w:rPr>
          <w:spacing w:val="-4"/>
        </w:rPr>
        <w:t>产业转型升级的，鼓励相应土地在流转中适度减免土地增值税或</w:t>
      </w:r>
      <w:r>
        <w:rPr>
          <w:spacing w:val="-2"/>
        </w:rPr>
        <w:t>降低所得税税率。探索差别化的国有建设用地使用税税收政策，</w:t>
      </w:r>
      <w:r>
        <w:rPr>
          <w:spacing w:val="-4"/>
        </w:rPr>
        <w:t>对闲置和低效的城镇用地加强国有建设用地使用税的征管，</w:t>
      </w:r>
    </w:p>
    <w:p w14:paraId="583490D9">
      <w:pPr>
        <w:pStyle w:val="2"/>
        <w:spacing w:before="78" w:line="252" w:lineRule="auto"/>
        <w:jc w:val="both"/>
        <w:rPr>
          <w:spacing w:val="-4"/>
        </w:rPr>
      </w:pPr>
    </w:p>
    <w:p w14:paraId="110EF147">
      <w:pPr>
        <w:pStyle w:val="2"/>
        <w:spacing w:before="78" w:line="252" w:lineRule="auto"/>
        <w:jc w:val="both"/>
      </w:pPr>
      <w:r>
        <w:rPr>
          <w:spacing w:val="-4"/>
        </w:rPr>
        <w:t>促进土地高效利用。优化地价计收规则。鼓励在城市更新中优化完善</w:t>
      </w:r>
      <w:r>
        <w:rPr>
          <w:spacing w:val="-8"/>
        </w:rPr>
        <w:t>地价计收规则。改变用途后，补缴土地价款的</w:t>
      </w:r>
      <w:r>
        <w:rPr>
          <w:spacing w:val="-9"/>
        </w:rPr>
        <w:t>计收，可以分区域、</w:t>
      </w:r>
      <w:r>
        <w:rPr>
          <w:spacing w:val="5"/>
        </w:rPr>
        <w:t>用地类别，制定以公示地价</w:t>
      </w:r>
      <w:r>
        <w:rPr>
          <w:rFonts w:hint="eastAsia"/>
          <w:spacing w:val="5"/>
          <w:lang w:eastAsia="zh-CN"/>
        </w:rPr>
        <w:t>（</w:t>
      </w:r>
      <w:r>
        <w:rPr>
          <w:spacing w:val="5"/>
        </w:rPr>
        <w:t>或市场评估价</w:t>
      </w:r>
      <w:r>
        <w:rPr>
          <w:rFonts w:hint="eastAsia"/>
          <w:spacing w:val="5"/>
          <w:lang w:eastAsia="zh-CN"/>
        </w:rPr>
        <w:t>）</w:t>
      </w:r>
      <w:r>
        <w:rPr>
          <w:spacing w:val="5"/>
        </w:rPr>
        <w:t>的一定比例</w:t>
      </w:r>
      <w:r>
        <w:rPr>
          <w:spacing w:val="4"/>
        </w:rPr>
        <w:t>核定的</w:t>
      </w:r>
      <w:r>
        <w:rPr>
          <w:spacing w:val="-5"/>
        </w:rPr>
        <w:t>统一规则。综合考虑城市更新项目土地整理投入、移交的公益用</w:t>
      </w:r>
      <w:r>
        <w:rPr>
          <w:spacing w:val="-4"/>
        </w:rPr>
        <w:t>地或建筑面积、配建基础设施和公共服务设施以及多地块联动改造等成本，以市场评估价为基础按程序确定土地价款。现有工业用地在符合规划、不改变用途的前提下提高土地利用率和增加容</w:t>
      </w:r>
      <w:r>
        <w:rPr>
          <w:spacing w:val="-8"/>
        </w:rPr>
        <w:t>积率的，不再增收土地价款。</w:t>
      </w:r>
      <w:r>
        <w:rPr>
          <w:rFonts w:hint="eastAsia"/>
          <w:spacing w:val="-8"/>
          <w:lang w:eastAsia="zh-CN"/>
        </w:rPr>
        <w:t>（</w:t>
      </w:r>
      <w:r>
        <w:rPr>
          <w:rFonts w:ascii="楷体" w:hAnsi="楷体" w:eastAsia="楷体" w:cs="楷体"/>
          <w:spacing w:val="-8"/>
        </w:rPr>
        <w:t>《支持城市更新的规划与土地政策指引</w:t>
      </w:r>
      <w:r>
        <w:rPr>
          <w:rFonts w:hint="eastAsia" w:ascii="楷体" w:hAnsi="楷体" w:eastAsia="楷体" w:cs="楷体"/>
          <w:spacing w:val="-8"/>
          <w:lang w:eastAsia="zh-CN"/>
        </w:rPr>
        <w:t>（</w:t>
      </w:r>
      <w:r>
        <w:rPr>
          <w:rFonts w:ascii="楷体" w:hAnsi="楷体" w:eastAsia="楷体" w:cs="楷体"/>
          <w:spacing w:val="-8"/>
        </w:rPr>
        <w:t>2023版</w:t>
      </w:r>
      <w:r>
        <w:rPr>
          <w:rFonts w:hint="eastAsia" w:ascii="楷体" w:hAnsi="楷体" w:eastAsia="楷体" w:cs="楷体"/>
          <w:spacing w:val="-8"/>
          <w:lang w:eastAsia="zh-CN"/>
        </w:rPr>
        <w:t>）</w:t>
      </w:r>
      <w:r>
        <w:rPr>
          <w:rFonts w:ascii="楷体" w:hAnsi="楷体" w:eastAsia="楷体" w:cs="楷体"/>
          <w:spacing w:val="-8"/>
        </w:rPr>
        <w:t>》自然资办发〔2023〕47号</w:t>
      </w:r>
      <w:r>
        <w:rPr>
          <w:rFonts w:hint="eastAsia" w:ascii="楷体" w:hAnsi="楷体" w:eastAsia="楷体" w:cs="楷体"/>
          <w:spacing w:val="-8"/>
          <w:lang w:eastAsia="zh-CN"/>
        </w:rPr>
        <w:t>）</w:t>
      </w:r>
    </w:p>
    <w:p w14:paraId="59CC11D1">
      <w:pPr>
        <w:pStyle w:val="2"/>
        <w:spacing w:before="61" w:line="249" w:lineRule="auto"/>
        <w:ind w:left="3" w:right="89" w:firstLine="450"/>
        <w:rPr>
          <w:b w:val="0"/>
          <w:bCs w:val="0"/>
        </w:rPr>
      </w:pPr>
      <w:r>
        <w:rPr>
          <w:b w:val="0"/>
          <w:bCs w:val="0"/>
          <w:spacing w:val="-9"/>
        </w:rPr>
        <w:t>21、加大第4代住宅等高品质产品供给，对开发企业配</w:t>
      </w:r>
      <w:r>
        <w:rPr>
          <w:b w:val="0"/>
          <w:bCs w:val="0"/>
          <w:spacing w:val="-10"/>
        </w:rPr>
        <w:t>置高于</w:t>
      </w:r>
      <w:r>
        <w:rPr>
          <w:b w:val="0"/>
          <w:bCs w:val="0"/>
        </w:rPr>
        <w:t xml:space="preserve"> </w:t>
      </w:r>
      <w:r>
        <w:rPr>
          <w:b w:val="0"/>
          <w:bCs w:val="0"/>
          <w:spacing w:val="-7"/>
        </w:rPr>
        <w:t>现行标准规范建设的公共配套设施给予免计容奖励，对“空中花</w:t>
      </w:r>
    </w:p>
    <w:p w14:paraId="40B830DA">
      <w:pPr>
        <w:spacing w:line="249" w:lineRule="auto"/>
        <w:rPr>
          <w:b w:val="0"/>
          <w:bCs w:val="0"/>
        </w:rPr>
        <w:sectPr>
          <w:footerReference r:id="rId20" w:type="default"/>
          <w:pgSz w:w="8390" w:h="5670"/>
          <w:pgMar w:top="400" w:right="799" w:bottom="749" w:left="869" w:header="0" w:footer="510" w:gutter="0"/>
          <w:pgNumType w:fmt="decimal"/>
          <w:cols w:space="720" w:num="1"/>
        </w:sectPr>
      </w:pPr>
    </w:p>
    <w:p w14:paraId="1A9B749A">
      <w:pPr>
        <w:spacing w:line="350" w:lineRule="auto"/>
        <w:rPr>
          <w:rFonts w:ascii="Arial"/>
          <w:b w:val="0"/>
          <w:bCs w:val="0"/>
          <w:sz w:val="21"/>
        </w:rPr>
      </w:pPr>
    </w:p>
    <w:p w14:paraId="49A35A28">
      <w:pPr>
        <w:pStyle w:val="2"/>
        <w:spacing w:before="78" w:line="246" w:lineRule="auto"/>
        <w:ind w:right="90"/>
        <w:jc w:val="both"/>
        <w:rPr>
          <w:rFonts w:ascii="仿宋" w:hAnsi="仿宋" w:eastAsia="仿宋" w:cs="仿宋"/>
        </w:rPr>
      </w:pPr>
      <w:r>
        <w:rPr>
          <w:b w:val="0"/>
          <w:bCs w:val="0"/>
          <w:spacing w:val="-12"/>
        </w:rPr>
        <w:t>园”“开放式露台”“风雨连廊”等不计入容积率。已公</w:t>
      </w:r>
      <w:r>
        <w:rPr>
          <w:b w:val="0"/>
          <w:bCs w:val="0"/>
          <w:spacing w:val="-13"/>
        </w:rPr>
        <w:t>示且未开</w:t>
      </w:r>
      <w:r>
        <w:rPr>
          <w:b w:val="0"/>
          <w:bCs w:val="0"/>
        </w:rPr>
        <w:t xml:space="preserve"> </w:t>
      </w:r>
      <w:r>
        <w:rPr>
          <w:b w:val="0"/>
          <w:bCs w:val="0"/>
          <w:spacing w:val="-4"/>
        </w:rPr>
        <w:t>工的房地产开发项目在不改变用地性质和容积率的前提</w:t>
      </w:r>
      <w:r>
        <w:rPr>
          <w:spacing w:val="-4"/>
        </w:rPr>
        <w:t>下，允许</w:t>
      </w:r>
      <w:r>
        <w:t xml:space="preserve"> </w:t>
      </w:r>
      <w:r>
        <w:rPr>
          <w:spacing w:val="-8"/>
        </w:rPr>
        <w:t>调整住房套型结构。</w:t>
      </w:r>
      <w:r>
        <w:rPr>
          <w:rFonts w:hint="eastAsia"/>
          <w:spacing w:val="-8"/>
          <w:lang w:eastAsia="zh-CN"/>
        </w:rPr>
        <w:t>（</w:t>
      </w:r>
      <w:r>
        <w:rPr>
          <w:rFonts w:ascii="楷体" w:hAnsi="楷体" w:eastAsia="楷体" w:cs="楷体"/>
          <w:spacing w:val="-8"/>
        </w:rPr>
        <w:t>《湖北省人民政府办公厅印发关于进一步保 障和改善民生若干措施的通知》鄂政办发〔2023〕41号</w:t>
      </w:r>
      <w:r>
        <w:rPr>
          <w:rFonts w:hint="eastAsia" w:ascii="楷体" w:hAnsi="楷体" w:eastAsia="楷体" w:cs="楷体"/>
          <w:spacing w:val="-8"/>
          <w:lang w:eastAsia="zh-CN"/>
        </w:rPr>
        <w:t>）</w:t>
      </w:r>
    </w:p>
    <w:p w14:paraId="393AE948">
      <w:pPr>
        <w:spacing w:before="54" w:line="221" w:lineRule="auto"/>
        <w:ind w:left="473"/>
        <w:outlineLvl w:val="0"/>
        <w:rPr>
          <w:rFonts w:ascii="黑体" w:hAnsi="黑体" w:eastAsia="黑体" w:cs="黑体"/>
          <w:sz w:val="24"/>
          <w:szCs w:val="24"/>
        </w:rPr>
      </w:pPr>
      <w:bookmarkStart w:id="11" w:name="bookmark4"/>
      <w:bookmarkEnd w:id="11"/>
      <w:r>
        <w:rPr>
          <w:rFonts w:ascii="黑体" w:hAnsi="黑体" w:eastAsia="黑体" w:cs="黑体"/>
          <w:b/>
          <w:bCs/>
          <w:spacing w:val="-13"/>
          <w:sz w:val="24"/>
          <w:szCs w:val="24"/>
        </w:rPr>
        <w:t>四、生态修复类政策</w:t>
      </w:r>
    </w:p>
    <w:p w14:paraId="536E52FD">
      <w:pPr>
        <w:pStyle w:val="2"/>
        <w:spacing w:before="48" w:line="250" w:lineRule="auto"/>
        <w:ind w:firstLine="440"/>
        <w:jc w:val="both"/>
        <w:sectPr>
          <w:footerReference r:id="rId21" w:type="default"/>
          <w:pgSz w:w="8390" w:h="5670"/>
          <w:pgMar w:top="400" w:right="820" w:bottom="749" w:left="869" w:header="0" w:footer="510" w:gutter="0"/>
          <w:pgNumType w:fmt="decimal"/>
          <w:cols w:space="720" w:num="1"/>
        </w:sectPr>
      </w:pPr>
      <w:r>
        <w:rPr>
          <w:spacing w:val="-3"/>
        </w:rPr>
        <w:t>22、生态保护修复方案和自然资源资产配置方案可以同步编</w:t>
      </w:r>
      <w:r>
        <w:rPr>
          <w:spacing w:val="18"/>
        </w:rPr>
        <w:t xml:space="preserve"> </w:t>
      </w:r>
      <w:r>
        <w:rPr>
          <w:spacing w:val="-4"/>
        </w:rPr>
        <w:t>制，在通过公开竞争的方式下，可以一并签订生态保护修复协议</w:t>
      </w:r>
      <w:r>
        <w:rPr>
          <w:spacing w:val="2"/>
        </w:rPr>
        <w:t xml:space="preserve"> </w:t>
      </w:r>
      <w:r>
        <w:rPr>
          <w:spacing w:val="-9"/>
        </w:rPr>
        <w:t>和土地出让合同等自然资源资产配置协议。在符合国土空间规划、</w:t>
      </w:r>
      <w:r>
        <w:t xml:space="preserve"> </w:t>
      </w:r>
      <w:r>
        <w:rPr>
          <w:spacing w:val="-4"/>
        </w:rPr>
        <w:t>土壤环境质量要求和不改变土地</w:t>
      </w:r>
      <w:r>
        <w:rPr>
          <w:rFonts w:hint="eastAsia"/>
          <w:spacing w:val="-4"/>
          <w:lang w:eastAsia="zh-CN"/>
        </w:rPr>
        <w:t>使用权</w:t>
      </w:r>
      <w:r>
        <w:rPr>
          <w:spacing w:val="-4"/>
        </w:rPr>
        <w:t>的前提下，经依法批准</w:t>
      </w:r>
      <w:r>
        <w:rPr>
          <w:spacing w:val="2"/>
        </w:rPr>
        <w:t xml:space="preserve"> </w:t>
      </w:r>
      <w:r>
        <w:rPr>
          <w:spacing w:val="-4"/>
        </w:rPr>
        <w:t>并按市场价补缴土地出让价款后，矿山企业可将依法取得的国有</w:t>
      </w:r>
      <w:r>
        <w:rPr>
          <w:spacing w:val="3"/>
        </w:rPr>
        <w:t xml:space="preserve"> </w:t>
      </w:r>
      <w:r>
        <w:rPr>
          <w:spacing w:val="-4"/>
        </w:rPr>
        <w:t>建设用地修复后用于工业、商业、服务业等经营性用途。项目区</w:t>
      </w:r>
      <w:r>
        <w:rPr>
          <w:spacing w:val="11"/>
        </w:rPr>
        <w:t xml:space="preserve"> </w:t>
      </w:r>
      <w:r>
        <w:rPr>
          <w:spacing w:val="-2"/>
        </w:rPr>
        <w:t>内，规划为建设用地的宗地可以按法定程序办理建设用地手续；</w:t>
      </w:r>
    </w:p>
    <w:p w14:paraId="3DA537C2">
      <w:pPr>
        <w:pStyle w:val="2"/>
        <w:spacing w:before="78" w:line="248" w:lineRule="auto"/>
        <w:jc w:val="both"/>
        <w:rPr>
          <w:rFonts w:ascii="楷体" w:hAnsi="楷体" w:eastAsia="楷体" w:cs="楷体"/>
        </w:rPr>
      </w:pPr>
      <w:bookmarkStart w:id="12" w:name="bookmark9"/>
      <w:bookmarkEnd w:id="12"/>
      <w:r>
        <w:rPr>
          <w:rFonts w:ascii="宋体" w:hAnsi="宋体" w:eastAsia="宋体" w:cs="宋体"/>
          <w:snapToGrid w:val="0"/>
          <w:color w:val="000000"/>
          <w:spacing w:val="-4"/>
          <w:kern w:val="0"/>
          <w:sz w:val="24"/>
          <w:szCs w:val="24"/>
          <w:lang w:val="en-US" w:eastAsia="en-US" w:bidi="ar-SA"/>
        </w:rPr>
        <w:t>全域国土综合整治、林草类项目修复后还可另行利用不超过修复  面积3%的土地面积，通过点状供地方式从事工业、旅游、康养、 体育、设施农业等产业开发。</w:t>
      </w:r>
      <w:r>
        <w:rPr>
          <w:rFonts w:hint="eastAsia" w:cs="宋体"/>
          <w:snapToGrid w:val="0"/>
          <w:color w:val="000000"/>
          <w:spacing w:val="-4"/>
          <w:kern w:val="0"/>
          <w:sz w:val="24"/>
          <w:szCs w:val="24"/>
          <w:lang w:val="en-US" w:eastAsia="zh-CN" w:bidi="ar-SA"/>
        </w:rPr>
        <w:t>（</w:t>
      </w:r>
      <w:r>
        <w:rPr>
          <w:rFonts w:ascii="楷体" w:hAnsi="楷体" w:eastAsia="楷体" w:cs="楷体"/>
          <w:spacing w:val="-8"/>
        </w:rPr>
        <w:t>《省自然资源厅印发关于鼓励和支  持社会资本参与生态保护修复若干措施的通知》鄂自然资函</w:t>
      </w:r>
      <w:r>
        <w:rPr>
          <w:rFonts w:hint="eastAsia" w:ascii="楷体" w:hAnsi="楷体" w:eastAsia="楷体" w:cs="楷体"/>
          <w:spacing w:val="-8"/>
          <w:lang w:eastAsia="zh-CN"/>
        </w:rPr>
        <w:t>〔2022〕252号）</w:t>
      </w:r>
    </w:p>
    <w:p w14:paraId="62F1D027">
      <w:pPr>
        <w:pStyle w:val="2"/>
        <w:spacing w:before="55" w:line="249" w:lineRule="auto"/>
        <w:ind w:left="3" w:right="109" w:firstLine="440"/>
        <w:jc w:val="both"/>
        <w:rPr>
          <w:b w:val="0"/>
          <w:bCs w:val="0"/>
        </w:rPr>
      </w:pPr>
      <w:r>
        <w:rPr>
          <w:b w:val="0"/>
          <w:bCs w:val="0"/>
          <w:spacing w:val="-5"/>
        </w:rPr>
        <w:t>23、根据生态保护修复方案及其工程设计，社会资本通过实</w:t>
      </w:r>
      <w:r>
        <w:rPr>
          <w:b w:val="0"/>
          <w:bCs w:val="0"/>
          <w:spacing w:val="6"/>
        </w:rPr>
        <w:t xml:space="preserve"> </w:t>
      </w:r>
      <w:r>
        <w:rPr>
          <w:b w:val="0"/>
          <w:bCs w:val="0"/>
          <w:spacing w:val="-7"/>
        </w:rPr>
        <w:t>施生态保护修复项目产生的耕地占补、增减挂钩等指标，按照社</w:t>
      </w:r>
      <w:r>
        <w:rPr>
          <w:b w:val="0"/>
          <w:bCs w:val="0"/>
          <w:spacing w:val="17"/>
        </w:rPr>
        <w:t xml:space="preserve"> </w:t>
      </w:r>
      <w:r>
        <w:rPr>
          <w:b w:val="0"/>
          <w:bCs w:val="0"/>
          <w:spacing w:val="-6"/>
        </w:rPr>
        <w:t>会资本的投资和回报相挂钩原则，可以赋予社会投资者一定比例</w:t>
      </w:r>
      <w:r>
        <w:rPr>
          <w:b w:val="0"/>
          <w:bCs w:val="0"/>
        </w:rPr>
        <w:t xml:space="preserve"> </w:t>
      </w:r>
      <w:r>
        <w:rPr>
          <w:b w:val="0"/>
          <w:bCs w:val="0"/>
          <w:spacing w:val="-7"/>
        </w:rPr>
        <w:t>的专属指标，专属指标在省域内可自用或者优先纳入公共资源交</w:t>
      </w:r>
      <w:r>
        <w:rPr>
          <w:b w:val="0"/>
          <w:bCs w:val="0"/>
          <w:spacing w:val="17"/>
        </w:rPr>
        <w:t xml:space="preserve"> </w:t>
      </w:r>
      <w:r>
        <w:rPr>
          <w:b w:val="0"/>
          <w:bCs w:val="0"/>
          <w:spacing w:val="-11"/>
        </w:rPr>
        <w:t>易平台交易。</w:t>
      </w:r>
      <w:r>
        <w:rPr>
          <w:rFonts w:hint="eastAsia"/>
          <w:b w:val="0"/>
          <w:bCs w:val="0"/>
          <w:spacing w:val="-11"/>
          <w:lang w:eastAsia="zh-CN"/>
        </w:rPr>
        <w:t>（</w:t>
      </w:r>
      <w:r>
        <w:rPr>
          <w:rFonts w:ascii="楷体" w:hAnsi="楷体" w:eastAsia="楷体" w:cs="楷体"/>
          <w:spacing w:val="-8"/>
        </w:rPr>
        <w:t>《省自然资源厅印发关于鼓励和支持社会资本参与 生态保护修复若干措施的通知》鄂自然资函〔2022〕252号</w:t>
      </w:r>
      <w:r>
        <w:rPr>
          <w:rFonts w:hint="eastAsia" w:ascii="楷体" w:hAnsi="楷体" w:eastAsia="楷体" w:cs="楷体"/>
          <w:spacing w:val="-8"/>
          <w:lang w:eastAsia="zh-CN"/>
        </w:rPr>
        <w:t>）</w:t>
      </w:r>
    </w:p>
    <w:p w14:paraId="3D1AEA60">
      <w:pPr>
        <w:pStyle w:val="2"/>
        <w:spacing w:before="69" w:line="219" w:lineRule="auto"/>
        <w:ind w:left="443"/>
        <w:rPr>
          <w:b w:val="0"/>
          <w:bCs w:val="0"/>
        </w:rPr>
      </w:pPr>
      <w:r>
        <w:rPr>
          <w:b w:val="0"/>
          <w:bCs w:val="0"/>
          <w:spacing w:val="-5"/>
        </w:rPr>
        <w:t>24、对生态保护修复项目施工中产生的土石料，可以无偿用</w:t>
      </w:r>
    </w:p>
    <w:p w14:paraId="526024E5">
      <w:pPr>
        <w:spacing w:line="219" w:lineRule="auto"/>
        <w:rPr>
          <w:b w:val="0"/>
          <w:bCs w:val="0"/>
        </w:rPr>
        <w:sectPr>
          <w:footerReference r:id="rId22" w:type="default"/>
          <w:pgSz w:w="8390" w:h="5670"/>
          <w:pgMar w:top="400" w:right="784" w:bottom="749" w:left="869" w:header="0" w:footer="510" w:gutter="0"/>
          <w:pgNumType w:fmt="decimal"/>
          <w:cols w:space="720" w:num="1"/>
        </w:sectPr>
      </w:pPr>
    </w:p>
    <w:p w14:paraId="72B48656">
      <w:pPr>
        <w:spacing w:line="332" w:lineRule="auto"/>
        <w:rPr>
          <w:rFonts w:ascii="Arial"/>
          <w:sz w:val="21"/>
        </w:rPr>
      </w:pPr>
    </w:p>
    <w:p w14:paraId="6D86EAF0">
      <w:pPr>
        <w:pStyle w:val="2"/>
        <w:spacing w:before="81"/>
        <w:ind w:right="47"/>
        <w:jc w:val="both"/>
        <w:rPr>
          <w:sz w:val="25"/>
          <w:szCs w:val="25"/>
        </w:rPr>
      </w:pPr>
      <w:r>
        <w:rPr>
          <w:spacing w:val="-14"/>
          <w:sz w:val="24"/>
          <w:szCs w:val="24"/>
        </w:rPr>
        <w:t>于本工程，确有剩余的，可对外进行销售，由县级人民政府纳入</w:t>
      </w:r>
      <w:r>
        <w:rPr>
          <w:spacing w:val="11"/>
          <w:sz w:val="24"/>
          <w:szCs w:val="24"/>
        </w:rPr>
        <w:t xml:space="preserve"> </w:t>
      </w:r>
      <w:r>
        <w:rPr>
          <w:spacing w:val="-14"/>
          <w:sz w:val="24"/>
          <w:szCs w:val="24"/>
        </w:rPr>
        <w:t>公共资源交易平台，实行收支两条线，属于社会投资主体的合理</w:t>
      </w:r>
      <w:r>
        <w:rPr>
          <w:spacing w:val="9"/>
          <w:sz w:val="24"/>
          <w:szCs w:val="24"/>
        </w:rPr>
        <w:t xml:space="preserve"> </w:t>
      </w:r>
      <w:bookmarkStart w:id="13" w:name="bookmark10"/>
      <w:bookmarkEnd w:id="13"/>
      <w:r>
        <w:rPr>
          <w:spacing w:val="-18"/>
          <w:sz w:val="24"/>
          <w:szCs w:val="24"/>
        </w:rPr>
        <w:t>收益，在签订修复协议时予以明确。</w:t>
      </w:r>
      <w:r>
        <w:rPr>
          <w:rFonts w:hint="eastAsia"/>
          <w:spacing w:val="-18"/>
          <w:sz w:val="24"/>
          <w:szCs w:val="24"/>
          <w:lang w:eastAsia="zh-CN"/>
        </w:rPr>
        <w:t>（</w:t>
      </w:r>
      <w:r>
        <w:rPr>
          <w:rFonts w:ascii="楷体" w:hAnsi="楷体" w:eastAsia="楷体" w:cs="楷体"/>
          <w:spacing w:val="-8"/>
        </w:rPr>
        <w:t>《省自然资源厅印发关于鼓 励和支持社会资本参与生态保护修复若干措施的通知》鄂自然资 函〔2022〕252号</w:t>
      </w:r>
      <w:r>
        <w:rPr>
          <w:rFonts w:hint="eastAsia" w:ascii="楷体" w:hAnsi="楷体" w:eastAsia="楷体" w:cs="楷体"/>
          <w:spacing w:val="-8"/>
          <w:lang w:eastAsia="zh-CN"/>
        </w:rPr>
        <w:t>）</w:t>
      </w:r>
    </w:p>
    <w:p w14:paraId="61C3E065">
      <w:pPr>
        <w:pStyle w:val="2"/>
        <w:spacing w:before="53" w:line="241" w:lineRule="auto"/>
        <w:ind w:firstLine="440"/>
        <w:jc w:val="both"/>
        <w:rPr>
          <w:rFonts w:ascii="楷体" w:hAnsi="楷体" w:eastAsia="楷体" w:cs="楷体"/>
          <w:spacing w:val="-8"/>
        </w:rPr>
      </w:pPr>
      <w:r>
        <w:rPr>
          <w:spacing w:val="-12"/>
          <w:sz w:val="24"/>
          <w:szCs w:val="24"/>
        </w:rPr>
        <w:t>25、创新林木采伐管理机制。项目区内，人工商品林自主采</w:t>
      </w:r>
      <w:r>
        <w:rPr>
          <w:spacing w:val="3"/>
          <w:sz w:val="24"/>
          <w:szCs w:val="24"/>
        </w:rPr>
        <w:t xml:space="preserve"> </w:t>
      </w:r>
      <w:r>
        <w:rPr>
          <w:spacing w:val="-14"/>
          <w:sz w:val="24"/>
          <w:szCs w:val="24"/>
        </w:rPr>
        <w:t>伐，允许社会资本科学编制简易森林经营方案，对具有一定经营</w:t>
      </w:r>
      <w:r>
        <w:rPr>
          <w:spacing w:val="16"/>
          <w:sz w:val="24"/>
          <w:szCs w:val="24"/>
        </w:rPr>
        <w:t xml:space="preserve"> </w:t>
      </w:r>
      <w:r>
        <w:rPr>
          <w:spacing w:val="-14"/>
          <w:sz w:val="24"/>
          <w:szCs w:val="24"/>
        </w:rPr>
        <w:t>规模的企业可单独编制森林采伐限额，经审批可依法依规自主采</w:t>
      </w:r>
      <w:r>
        <w:rPr>
          <w:spacing w:val="11"/>
          <w:sz w:val="24"/>
          <w:szCs w:val="24"/>
        </w:rPr>
        <w:t xml:space="preserve"> </w:t>
      </w:r>
      <w:r>
        <w:rPr>
          <w:spacing w:val="-14"/>
          <w:sz w:val="24"/>
          <w:szCs w:val="24"/>
        </w:rPr>
        <w:t>伐；采伐经济林、能源林、竹林以及非林地上的林木，可依据森</w:t>
      </w:r>
      <w:r>
        <w:rPr>
          <w:spacing w:val="12"/>
          <w:sz w:val="24"/>
          <w:szCs w:val="24"/>
        </w:rPr>
        <w:t xml:space="preserve"> </w:t>
      </w:r>
      <w:r>
        <w:rPr>
          <w:spacing w:val="-20"/>
          <w:sz w:val="24"/>
          <w:szCs w:val="24"/>
        </w:rPr>
        <w:t>林经营方案或规划自行设计，依法依规自主决定采伐林龄和方式。</w:t>
      </w:r>
      <w:r>
        <w:rPr>
          <w:spacing w:val="4"/>
          <w:sz w:val="25"/>
          <w:szCs w:val="25"/>
        </w:rPr>
        <w:t xml:space="preserve"> </w:t>
      </w:r>
      <w:r>
        <w:rPr>
          <w:rFonts w:hint="eastAsia"/>
          <w:spacing w:val="4"/>
          <w:sz w:val="25"/>
          <w:szCs w:val="25"/>
          <w:lang w:eastAsia="zh-CN"/>
        </w:rPr>
        <w:t>（</w:t>
      </w:r>
      <w:r>
        <w:rPr>
          <w:rFonts w:ascii="楷体" w:hAnsi="楷体" w:eastAsia="楷体" w:cs="楷体"/>
          <w:spacing w:val="-8"/>
        </w:rPr>
        <w:t>《省自然资源厅印发关于鼓励和支持社会资本参与生态保护修复 若干措施的通知》鄂自然资函〔2022〕252号</w:t>
      </w:r>
      <w:r>
        <w:rPr>
          <w:rFonts w:hint="eastAsia" w:ascii="楷体" w:hAnsi="楷体" w:eastAsia="楷体" w:cs="楷体"/>
          <w:spacing w:val="-8"/>
          <w:lang w:eastAsia="zh-CN"/>
        </w:rPr>
        <w:t>）</w:t>
      </w:r>
    </w:p>
    <w:p w14:paraId="33C772A9">
      <w:pPr>
        <w:spacing w:line="241" w:lineRule="auto"/>
        <w:rPr>
          <w:rFonts w:ascii="仿宋" w:hAnsi="仿宋" w:eastAsia="仿宋" w:cs="仿宋"/>
          <w:sz w:val="25"/>
          <w:szCs w:val="25"/>
        </w:rPr>
        <w:sectPr>
          <w:footerReference r:id="rId23" w:type="default"/>
          <w:pgSz w:w="8390" w:h="5670"/>
          <w:pgMar w:top="400" w:right="844" w:bottom="756" w:left="869" w:header="0" w:footer="507" w:gutter="0"/>
          <w:pgNumType w:fmt="decimal"/>
          <w:cols w:space="720" w:num="1"/>
        </w:sectPr>
      </w:pPr>
    </w:p>
    <w:p w14:paraId="4381899F">
      <w:pPr>
        <w:pStyle w:val="2"/>
        <w:spacing w:before="74" w:line="259" w:lineRule="auto"/>
        <w:ind w:firstLine="460"/>
        <w:rPr>
          <w:sz w:val="23"/>
          <w:szCs w:val="23"/>
        </w:rPr>
      </w:pPr>
      <w:r>
        <w:rPr>
          <w:rFonts w:ascii="宋体" w:hAnsi="宋体" w:eastAsia="宋体" w:cs="宋体"/>
          <w:snapToGrid w:val="0"/>
          <w:color w:val="000000"/>
          <w:spacing w:val="-14"/>
          <w:kern w:val="0"/>
          <w:sz w:val="24"/>
          <w:szCs w:val="24"/>
          <w:lang w:val="en-US" w:eastAsia="en-US" w:bidi="ar-SA"/>
        </w:rPr>
        <w:t>26、各地政府要加大生态修复领域引导资金的投入，激励社  会资本参与生态修复的积极性。探索通过PPP 等模式引入社会资  本开展生态保护修复，符合条件的可按规定享受环境保护、节能  节水等相应税收优惠政策。</w:t>
      </w:r>
      <w:r>
        <w:rPr>
          <w:rFonts w:hint="eastAsia" w:cs="宋体"/>
          <w:snapToGrid w:val="0"/>
          <w:color w:val="000000"/>
          <w:spacing w:val="-14"/>
          <w:kern w:val="0"/>
          <w:sz w:val="24"/>
          <w:szCs w:val="24"/>
          <w:lang w:val="en-US" w:eastAsia="zh-CN" w:bidi="ar-SA"/>
        </w:rPr>
        <w:t>（</w:t>
      </w:r>
      <w:r>
        <w:rPr>
          <w:rFonts w:ascii="楷体" w:hAnsi="楷体" w:eastAsia="楷体" w:cs="楷体"/>
          <w:spacing w:val="-8"/>
        </w:rPr>
        <w:t>《省自然资源厅印发关于鼓励和支持  社会资本参与生态保护修复若干措施的通知》鄂自然资函</w:t>
      </w:r>
      <w:r>
        <w:rPr>
          <w:rFonts w:hint="eastAsia" w:ascii="楷体" w:hAnsi="楷体" w:eastAsia="楷体" w:cs="楷体"/>
          <w:spacing w:val="-8"/>
          <w:lang w:eastAsia="zh-CN"/>
        </w:rPr>
        <w:t>〔2022〕252号）</w:t>
      </w:r>
    </w:p>
    <w:p w14:paraId="7739F0AF">
      <w:pPr>
        <w:pStyle w:val="2"/>
        <w:spacing w:before="71" w:line="258" w:lineRule="auto"/>
        <w:ind w:left="9" w:right="104" w:firstLine="440"/>
        <w:rPr>
          <w:sz w:val="23"/>
          <w:szCs w:val="23"/>
        </w:rPr>
      </w:pPr>
      <w:r>
        <w:rPr>
          <w:rFonts w:ascii="宋体" w:hAnsi="宋体" w:eastAsia="宋体" w:cs="宋体"/>
          <w:snapToGrid w:val="0"/>
          <w:color w:val="000000"/>
          <w:spacing w:val="-14"/>
          <w:kern w:val="0"/>
          <w:sz w:val="24"/>
          <w:szCs w:val="24"/>
          <w:lang w:val="en-US" w:eastAsia="en-US" w:bidi="ar-SA"/>
        </w:rPr>
        <w:t>27、矿业权人可按要求自行编制“三合一”方案，也可委托 有关机构编制，全省各级自然资源管理部门不得以任何形式要求 矿业权人必须委托特定中介机构提供服务。</w:t>
      </w:r>
      <w:r>
        <w:rPr>
          <w:rFonts w:hint="eastAsia" w:cs="宋体"/>
          <w:snapToGrid w:val="0"/>
          <w:color w:val="000000"/>
          <w:spacing w:val="-14"/>
          <w:kern w:val="0"/>
          <w:sz w:val="24"/>
          <w:szCs w:val="24"/>
          <w:lang w:val="en-US" w:eastAsia="zh-CN" w:bidi="ar-SA"/>
        </w:rPr>
        <w:t>（</w:t>
      </w:r>
      <w:r>
        <w:rPr>
          <w:rFonts w:ascii="楷体" w:hAnsi="楷体" w:eastAsia="楷体" w:cs="楷体"/>
          <w:spacing w:val="-8"/>
        </w:rPr>
        <w:t>《省自然资源厅关于 进一步加强矿产资源开发利用及生态复绿方案编制及审查管理的 通知》鄂自然资函〔2023〕612号</w:t>
      </w:r>
      <w:r>
        <w:rPr>
          <w:rFonts w:hint="eastAsia" w:ascii="楷体" w:hAnsi="楷体" w:eastAsia="楷体" w:cs="楷体"/>
          <w:spacing w:val="-8"/>
          <w:lang w:eastAsia="zh-CN"/>
        </w:rPr>
        <w:t>）</w:t>
      </w:r>
    </w:p>
    <w:p w14:paraId="7AE9F6DC">
      <w:pPr>
        <w:pStyle w:val="2"/>
        <w:spacing w:before="71" w:line="258" w:lineRule="auto"/>
        <w:ind w:left="9" w:right="104" w:firstLine="440"/>
        <w:rPr>
          <w:rFonts w:ascii="宋体" w:hAnsi="宋体" w:eastAsia="宋体" w:cs="宋体"/>
          <w:snapToGrid w:val="0"/>
          <w:color w:val="000000"/>
          <w:spacing w:val="-14"/>
          <w:kern w:val="0"/>
          <w:sz w:val="24"/>
          <w:szCs w:val="24"/>
          <w:lang w:val="en-US" w:eastAsia="en-US" w:bidi="ar-SA"/>
        </w:rPr>
        <w:sectPr>
          <w:footerReference r:id="rId24" w:type="default"/>
          <w:pgSz w:w="8390" w:h="5670"/>
          <w:pgMar w:top="400" w:right="775" w:bottom="713" w:left="859" w:header="0" w:footer="524" w:gutter="0"/>
          <w:pgNumType w:fmt="decimal"/>
          <w:cols w:space="720" w:num="1"/>
        </w:sectPr>
      </w:pPr>
      <w:r>
        <w:rPr>
          <w:spacing w:val="8"/>
          <w:sz w:val="23"/>
          <w:szCs w:val="23"/>
        </w:rPr>
        <w:t>2</w:t>
      </w:r>
      <w:r>
        <w:rPr>
          <w:rFonts w:ascii="宋体" w:hAnsi="宋体" w:eastAsia="宋体" w:cs="宋体"/>
          <w:snapToGrid w:val="0"/>
          <w:color w:val="000000"/>
          <w:spacing w:val="-14"/>
          <w:kern w:val="0"/>
          <w:sz w:val="24"/>
          <w:szCs w:val="24"/>
          <w:lang w:val="en-US" w:eastAsia="en-US" w:bidi="ar-SA"/>
        </w:rPr>
        <w:t>8、矿业权人申请“三合一”方案审查，应按照采矿权的出</w:t>
      </w:r>
    </w:p>
    <w:p w14:paraId="47137537">
      <w:pPr>
        <w:pStyle w:val="2"/>
        <w:spacing w:before="71" w:line="258" w:lineRule="auto"/>
        <w:ind w:right="104"/>
        <w:rPr>
          <w:rFonts w:ascii="楷体" w:hAnsi="楷体" w:eastAsia="楷体" w:cs="楷体"/>
        </w:rPr>
      </w:pPr>
      <w:r>
        <w:rPr>
          <w:rFonts w:ascii="宋体" w:hAnsi="宋体" w:eastAsia="宋体" w:cs="宋体"/>
          <w:snapToGrid w:val="0"/>
          <w:color w:val="000000"/>
          <w:spacing w:val="-14"/>
          <w:kern w:val="0"/>
          <w:sz w:val="24"/>
          <w:szCs w:val="24"/>
          <w:lang w:val="en-US" w:eastAsia="en-US" w:bidi="ar-SA"/>
        </w:rPr>
        <w:t>让登记权限，报相应的自然资源管理部门，由该自然资源管理部 门组织或委托相关机构组织专家进行审查。审查经费列入各级部 门预算，不得向矿山企业或编制单位收取方案审查费用。</w:t>
      </w:r>
      <w:r>
        <w:rPr>
          <w:rFonts w:hint="eastAsia" w:cs="宋体"/>
          <w:snapToGrid w:val="0"/>
          <w:color w:val="000000"/>
          <w:spacing w:val="-14"/>
          <w:kern w:val="0"/>
          <w:sz w:val="24"/>
          <w:szCs w:val="24"/>
          <w:lang w:val="en-US" w:eastAsia="zh-CN" w:bidi="ar-SA"/>
        </w:rPr>
        <w:t>（</w:t>
      </w:r>
      <w:r>
        <w:rPr>
          <w:rFonts w:ascii="楷体" w:hAnsi="楷体" w:eastAsia="楷体" w:cs="楷体"/>
          <w:spacing w:val="-8"/>
        </w:rPr>
        <w:t>《省自 然资源厅关于进一步加强矿产资源开发利用及生态复绿方案编制 及审查管理的通知》鄂自然资函〔2023〕612号</w:t>
      </w:r>
      <w:r>
        <w:rPr>
          <w:rFonts w:hint="eastAsia" w:ascii="楷体" w:hAnsi="楷体" w:eastAsia="楷体" w:cs="楷体"/>
          <w:spacing w:val="-8"/>
          <w:lang w:eastAsia="zh-CN"/>
        </w:rPr>
        <w:t>）</w:t>
      </w:r>
    </w:p>
    <w:p w14:paraId="2FAFC3B5">
      <w:pPr>
        <w:spacing w:before="60" w:line="221" w:lineRule="auto"/>
        <w:ind w:left="463"/>
        <w:outlineLvl w:val="0"/>
        <w:rPr>
          <w:rFonts w:ascii="黑体" w:hAnsi="黑体" w:eastAsia="黑体" w:cs="黑体"/>
          <w:sz w:val="24"/>
          <w:szCs w:val="24"/>
        </w:rPr>
      </w:pPr>
      <w:bookmarkStart w:id="14" w:name="bookmark5"/>
      <w:bookmarkEnd w:id="14"/>
      <w:r>
        <w:rPr>
          <w:rFonts w:ascii="黑体" w:hAnsi="黑体" w:eastAsia="黑体" w:cs="黑体"/>
          <w:b/>
          <w:bCs/>
          <w:spacing w:val="-9"/>
          <w:sz w:val="24"/>
          <w:szCs w:val="24"/>
        </w:rPr>
        <w:t>五、矿产资源类政策</w:t>
      </w:r>
    </w:p>
    <w:p w14:paraId="21D2B6E7">
      <w:pPr>
        <w:pStyle w:val="2"/>
        <w:spacing w:before="78" w:line="248" w:lineRule="auto"/>
        <w:ind w:right="89"/>
        <w:jc w:val="both"/>
        <w:rPr>
          <w:rFonts w:ascii="楷体" w:hAnsi="楷体" w:eastAsia="楷体" w:cs="楷体"/>
          <w:spacing w:val="-8"/>
        </w:rPr>
        <w:sectPr>
          <w:footerReference r:id="rId25" w:type="default"/>
          <w:pgSz w:w="8390" w:h="5670"/>
          <w:pgMar w:top="400" w:right="809" w:bottom="749" w:left="869" w:header="0" w:footer="510" w:gutter="0"/>
          <w:pgNumType w:fmt="decimal"/>
          <w:cols w:space="720" w:num="1"/>
        </w:sectPr>
      </w:pPr>
      <w:r>
        <w:rPr>
          <w:spacing w:val="-3"/>
        </w:rPr>
        <w:t>29、鼓励创新支持政策。各地要探索完善绿色矿山建设激励</w:t>
      </w:r>
      <w:r>
        <w:rPr>
          <w:spacing w:val="18"/>
        </w:rPr>
        <w:t xml:space="preserve"> </w:t>
      </w:r>
      <w:r>
        <w:rPr>
          <w:spacing w:val="-1"/>
        </w:rPr>
        <w:t>约束政策，加大用地、用矿、金融等政策支持。在矿业权出让、</w:t>
      </w:r>
      <w:r>
        <w:rPr>
          <w:spacing w:val="17"/>
        </w:rPr>
        <w:t xml:space="preserve"> </w:t>
      </w:r>
      <w:r>
        <w:rPr>
          <w:spacing w:val="-4"/>
        </w:rPr>
        <w:t>整合及办理建设用地、用林、用草等手续时，依法依规对绿色矿</w:t>
      </w:r>
      <w:r>
        <w:rPr>
          <w:spacing w:val="11"/>
        </w:rPr>
        <w:t xml:space="preserve"> </w:t>
      </w:r>
      <w:r>
        <w:rPr>
          <w:spacing w:val="-4"/>
        </w:rPr>
        <w:t>山企业予以支持。符合协议出让情形的矿业权</w:t>
      </w:r>
      <w:r>
        <w:rPr>
          <w:spacing w:val="-5"/>
        </w:rPr>
        <w:t>，允许优先以协议</w:t>
      </w:r>
      <w:r>
        <w:t xml:space="preserve">  </w:t>
      </w:r>
      <w:r>
        <w:rPr>
          <w:spacing w:val="-8"/>
        </w:rPr>
        <w:t>出让方式有偿出让给绿色矿山。</w:t>
      </w:r>
      <w:r>
        <w:rPr>
          <w:rFonts w:hint="eastAsia"/>
          <w:spacing w:val="-8"/>
          <w:lang w:eastAsia="zh-CN"/>
        </w:rPr>
        <w:t>（</w:t>
      </w:r>
      <w:r>
        <w:rPr>
          <w:rFonts w:ascii="楷体" w:hAnsi="楷体" w:eastAsia="楷体" w:cs="楷体"/>
          <w:spacing w:val="-8"/>
        </w:rPr>
        <w:t>《自然资源部生态环境部财政部  国家市场监督管理总局国家金融监督管理总局中国证券监督管理</w:t>
      </w:r>
    </w:p>
    <w:p w14:paraId="1A501C85">
      <w:pPr>
        <w:pStyle w:val="2"/>
        <w:spacing w:before="78" w:line="248" w:lineRule="auto"/>
        <w:ind w:right="89"/>
        <w:jc w:val="both"/>
        <w:rPr>
          <w:rFonts w:ascii="楷体" w:hAnsi="楷体" w:eastAsia="楷体" w:cs="楷体"/>
          <w:spacing w:val="-8"/>
        </w:rPr>
      </w:pPr>
      <w:r>
        <w:rPr>
          <w:rFonts w:ascii="楷体" w:hAnsi="楷体" w:eastAsia="楷体" w:cs="楷体"/>
          <w:spacing w:val="-8"/>
        </w:rPr>
        <w:t>委员会国家林业和草原局关于进一步加强绿色矿山建设的通知》</w:t>
      </w:r>
    </w:p>
    <w:p w14:paraId="6D604FA5">
      <w:pPr>
        <w:pStyle w:val="2"/>
        <w:spacing w:before="78" w:line="248" w:lineRule="auto"/>
        <w:ind w:right="89"/>
        <w:jc w:val="both"/>
        <w:rPr>
          <w:rFonts w:ascii="楷体" w:hAnsi="楷体" w:eastAsia="楷体" w:cs="楷体"/>
          <w:spacing w:val="-8"/>
        </w:rPr>
      </w:pPr>
      <w:r>
        <w:rPr>
          <w:rFonts w:ascii="楷体" w:hAnsi="楷体" w:eastAsia="楷体" w:cs="楷体"/>
          <w:spacing w:val="-8"/>
        </w:rPr>
        <w:t>自然资规〔2024〕1号</w:t>
      </w:r>
      <w:r>
        <w:rPr>
          <w:rFonts w:hint="eastAsia" w:ascii="楷体" w:hAnsi="楷体" w:eastAsia="楷体" w:cs="楷体"/>
          <w:spacing w:val="-8"/>
          <w:lang w:eastAsia="zh-CN"/>
        </w:rPr>
        <w:t>）</w:t>
      </w:r>
    </w:p>
    <w:p w14:paraId="6498D3AA">
      <w:pPr>
        <w:spacing w:before="34" w:line="221" w:lineRule="auto"/>
        <w:ind w:left="573"/>
        <w:outlineLvl w:val="0"/>
        <w:rPr>
          <w:rFonts w:ascii="黑体" w:hAnsi="黑体" w:eastAsia="黑体" w:cs="黑体"/>
          <w:sz w:val="24"/>
          <w:szCs w:val="24"/>
        </w:rPr>
      </w:pPr>
      <w:bookmarkStart w:id="15" w:name="bookmark6"/>
      <w:bookmarkEnd w:id="15"/>
      <w:r>
        <w:rPr>
          <w:rFonts w:ascii="黑体" w:hAnsi="黑体" w:eastAsia="黑体" w:cs="黑体"/>
          <w:b/>
          <w:bCs/>
          <w:spacing w:val="-9"/>
          <w:sz w:val="24"/>
          <w:szCs w:val="24"/>
        </w:rPr>
        <w:t>六、不动产登记类政策</w:t>
      </w:r>
    </w:p>
    <w:p w14:paraId="26A61FD8">
      <w:pPr>
        <w:pStyle w:val="2"/>
        <w:spacing w:before="78" w:line="248" w:lineRule="auto"/>
        <w:ind w:right="89" w:firstLine="468" w:firstLineChars="200"/>
        <w:jc w:val="both"/>
        <w:rPr>
          <w:rFonts w:ascii="楷体" w:hAnsi="楷体" w:eastAsia="楷体" w:cs="楷体"/>
          <w:spacing w:val="-8"/>
        </w:rPr>
        <w:sectPr>
          <w:footerReference r:id="rId26" w:type="default"/>
          <w:pgSz w:w="8390" w:h="5670"/>
          <w:pgMar w:top="400" w:right="773" w:bottom="748" w:left="749" w:header="0" w:footer="510" w:gutter="0"/>
          <w:pgNumType w:fmt="decimal"/>
          <w:cols w:space="720" w:num="1"/>
        </w:sectPr>
      </w:pPr>
      <w:r>
        <w:rPr>
          <w:spacing w:val="-3"/>
        </w:rPr>
        <w:t>30、不动产登记机构免收小微企业不动产登记费，</w:t>
      </w:r>
      <w:r>
        <w:rPr>
          <w:spacing w:val="-4"/>
        </w:rPr>
        <w:t>应当依据</w:t>
      </w:r>
      <w:r>
        <w:t xml:space="preserve"> </w:t>
      </w:r>
      <w:r>
        <w:rPr>
          <w:spacing w:val="-8"/>
        </w:rPr>
        <w:t>《关于印发中小企业划型标准规定的通知》</w:t>
      </w:r>
      <w:r>
        <w:rPr>
          <w:rFonts w:hint="eastAsia"/>
          <w:spacing w:val="-8"/>
          <w:lang w:eastAsia="zh-CN"/>
        </w:rPr>
        <w:t>（</w:t>
      </w:r>
      <w:r>
        <w:rPr>
          <w:spacing w:val="-8"/>
        </w:rPr>
        <w:t>工信部联企业</w:t>
      </w:r>
      <w:r>
        <w:rPr>
          <w:rFonts w:hint="eastAsia"/>
          <w:spacing w:val="-8"/>
          <w:lang w:eastAsia="zh-CN"/>
        </w:rPr>
        <w:t>〔2011〕300号</w:t>
      </w:r>
      <w:r>
        <w:rPr>
          <w:rFonts w:hint="eastAsia"/>
          <w:spacing w:val="4"/>
          <w:lang w:eastAsia="zh-CN"/>
        </w:rPr>
        <w:t>）</w:t>
      </w:r>
      <w:r>
        <w:rPr>
          <w:spacing w:val="4"/>
        </w:rPr>
        <w:t>规定的小微企业标准，通过告知企业书面承诺</w:t>
      </w:r>
      <w:r>
        <w:rPr>
          <w:rFonts w:hint="eastAsia"/>
          <w:spacing w:val="4"/>
          <w:lang w:eastAsia="zh-CN"/>
        </w:rPr>
        <w:t>（</w:t>
      </w:r>
      <w:r>
        <w:rPr>
          <w:spacing w:val="4"/>
        </w:rPr>
        <w:t>承诺书样</w:t>
      </w:r>
      <w:r>
        <w:rPr>
          <w:spacing w:val="5"/>
        </w:rPr>
        <w:t>本见附件</w:t>
      </w:r>
      <w:r>
        <w:rPr>
          <w:rFonts w:hint="eastAsia"/>
          <w:spacing w:val="5"/>
          <w:lang w:eastAsia="zh-CN"/>
        </w:rPr>
        <w:t>）</w:t>
      </w:r>
      <w:r>
        <w:rPr>
          <w:spacing w:val="5"/>
        </w:rPr>
        <w:t>的方式实施。企业做出书面承诺后，不动</w:t>
      </w:r>
      <w:r>
        <w:rPr>
          <w:spacing w:val="4"/>
        </w:rPr>
        <w:t>产登记机构</w:t>
      </w:r>
      <w:r>
        <w:t xml:space="preserve"> 即免收相应的不动产登记费，不得要求企业另行提供属于小微企</w:t>
      </w:r>
      <w:r>
        <w:rPr>
          <w:spacing w:val="9"/>
        </w:rPr>
        <w:t xml:space="preserve"> </w:t>
      </w:r>
      <w:r>
        <w:t>业的证明材料。个体工商户凭工商营业执照直接免收不动产登记</w:t>
      </w:r>
      <w:r>
        <w:rPr>
          <w:spacing w:val="10"/>
        </w:rPr>
        <w:t xml:space="preserve"> </w:t>
      </w:r>
      <w:r>
        <w:t>费无需承诺。非小微企业或者不动产登记机构已履行告知义务但</w:t>
      </w:r>
      <w:r>
        <w:rPr>
          <w:spacing w:val="9"/>
        </w:rPr>
        <w:t xml:space="preserve"> </w:t>
      </w:r>
      <w:r>
        <w:rPr>
          <w:spacing w:val="-5"/>
        </w:rPr>
        <w:t>企业不愿做出书面承诺的，依法依规收取不动产登记费。</w:t>
      </w:r>
      <w:r>
        <w:rPr>
          <w:rFonts w:hint="eastAsia"/>
          <w:spacing w:val="-5"/>
          <w:lang w:eastAsia="zh-CN"/>
        </w:rPr>
        <w:t>（</w:t>
      </w:r>
      <w:r>
        <w:rPr>
          <w:rFonts w:ascii="楷体" w:hAnsi="楷体" w:eastAsia="楷体" w:cs="楷体"/>
          <w:spacing w:val="-8"/>
        </w:rPr>
        <w:t>《自然 资源部自然资源确权登记局关于进-步做好免收小微企业不动产登</w:t>
      </w:r>
    </w:p>
    <w:p w14:paraId="5265F06C">
      <w:pPr>
        <w:pStyle w:val="2"/>
        <w:spacing w:before="78" w:line="248" w:lineRule="auto"/>
        <w:ind w:right="89"/>
        <w:jc w:val="both"/>
        <w:rPr>
          <w:rFonts w:ascii="楷体" w:hAnsi="楷体" w:eastAsia="楷体" w:cs="楷体"/>
          <w:spacing w:val="-8"/>
        </w:rPr>
      </w:pPr>
      <w:r>
        <w:rPr>
          <w:rFonts w:ascii="楷体" w:hAnsi="楷体" w:eastAsia="楷体" w:cs="楷体"/>
          <w:spacing w:val="-8"/>
        </w:rPr>
        <w:t>记费工作的通知》自然资登记函〔2021〕2号</w:t>
      </w:r>
      <w:r>
        <w:rPr>
          <w:rFonts w:hint="eastAsia" w:ascii="楷体" w:hAnsi="楷体" w:eastAsia="楷体" w:cs="楷体"/>
          <w:spacing w:val="-8"/>
          <w:lang w:eastAsia="zh-CN"/>
        </w:rPr>
        <w:t>）</w:t>
      </w:r>
    </w:p>
    <w:p w14:paraId="06AC67A5">
      <w:pPr>
        <w:pStyle w:val="2"/>
        <w:spacing w:before="63" w:line="266" w:lineRule="auto"/>
        <w:ind w:firstLine="450"/>
        <w:jc w:val="both"/>
        <w:rPr>
          <w:rFonts w:hint="default"/>
          <w:sz w:val="23"/>
          <w:szCs w:val="23"/>
          <w:lang w:val="en-US"/>
        </w:rPr>
        <w:sectPr>
          <w:headerReference r:id="rId27" w:type="default"/>
          <w:footerReference r:id="rId28" w:type="default"/>
          <w:pgSz w:w="8390" w:h="5670"/>
          <w:pgMar w:top="400" w:right="683" w:bottom="713" w:left="869" w:header="0" w:footer="524" w:gutter="0"/>
          <w:pgNumType w:fmt="decimal"/>
          <w:cols w:space="720" w:num="1"/>
        </w:sectPr>
      </w:pPr>
      <w:r>
        <w:t>31、“带押过户”是指依据《</w:t>
      </w:r>
      <w:r>
        <w:rPr>
          <w:rFonts w:hint="eastAsia"/>
          <w:lang w:eastAsia="zh-CN"/>
        </w:rPr>
        <w:t>中华人民共和国民法典</w:t>
      </w:r>
      <w:r>
        <w:t>》第四百零六条“抵押期间，抵押人可以转让抵押财产。当事人另有约定的，按照其约定”的规定，在申请办理已抵押不动产转移登记时，无需提前归还旧贷款、注销抵押登记，即可完成过户、再次抵押和发放新贷款等手续，实现不动产登记和抵押贷款的有效衔接。“带押过户”主要适用于在银行业金融机构存在未结清的按揭贷款，且按揭贷款当前无逾期。</w:t>
      </w:r>
      <w:r>
        <w:rPr>
          <w:spacing w:val="7"/>
          <w:sz w:val="23"/>
          <w:szCs w:val="23"/>
        </w:rPr>
        <w:t>根据《</w:t>
      </w:r>
      <w:r>
        <w:rPr>
          <w:rFonts w:ascii="楷体" w:hAnsi="楷体" w:eastAsia="楷体" w:cs="楷体"/>
          <w:spacing w:val="-8"/>
        </w:rPr>
        <w:t>自然资源部关于做好不动产抵押权登记工作的通知》</w:t>
      </w:r>
      <w:r>
        <w:rPr>
          <w:rFonts w:hint="eastAsia" w:ascii="楷体" w:hAnsi="楷体" w:eastAsia="楷体" w:cs="楷体"/>
          <w:spacing w:val="-8"/>
          <w:lang w:eastAsia="zh-CN"/>
        </w:rPr>
        <w:t>（</w:t>
      </w:r>
      <w:r>
        <w:rPr>
          <w:rFonts w:ascii="楷体" w:hAnsi="楷体" w:eastAsia="楷体" w:cs="楷体"/>
          <w:spacing w:val="-8"/>
        </w:rPr>
        <w:t>自然资发</w:t>
      </w:r>
      <w:r>
        <w:rPr>
          <w:rFonts w:hint="eastAsia" w:ascii="楷体" w:hAnsi="楷体" w:eastAsia="楷体" w:cs="楷体"/>
          <w:spacing w:val="-8"/>
          <w:lang w:eastAsia="zh-CN"/>
        </w:rPr>
        <w:t>〔2021〕54号</w:t>
      </w:r>
      <w:r>
        <w:rPr>
          <w:rFonts w:ascii="楷体" w:hAnsi="楷体" w:eastAsia="楷体" w:cs="楷体"/>
          <w:spacing w:val="-8"/>
        </w:rPr>
        <w:t>〕</w:t>
      </w:r>
      <w:r>
        <w:rPr>
          <w:spacing w:val="6"/>
          <w:sz w:val="23"/>
          <w:szCs w:val="23"/>
        </w:rPr>
        <w:t>。</w:t>
      </w:r>
      <w:r>
        <w:t>不动产登记簿已记载禁止或限制转让抵押不动产的约定，或者《</w:t>
      </w:r>
      <w:r>
        <w:rPr>
          <w:rFonts w:hint="eastAsia"/>
          <w:lang w:eastAsia="zh-CN"/>
        </w:rPr>
        <w:t>中华人民共和国民法典</w:t>
      </w:r>
      <w:r>
        <w:t>》实施前已经办理抵押登记的，应当由当事人协商一致再行办理。各地要在已有工作的基础上，根据当地“带押过户”推行情况、模式及配套措</w:t>
      </w:r>
      <w:r>
        <w:rPr>
          <w:rFonts w:hint="eastAsia"/>
          <w:spacing w:val="-18"/>
          <w:sz w:val="25"/>
          <w:szCs w:val="25"/>
          <w:lang w:val="en-US" w:eastAsia="zh-CN"/>
        </w:rPr>
        <w:t>施情</w:t>
      </w:r>
    </w:p>
    <w:p w14:paraId="3A9AE9B4">
      <w:pPr>
        <w:pStyle w:val="2"/>
        <w:spacing w:before="82" w:line="241" w:lineRule="auto"/>
        <w:jc w:val="both"/>
        <w:rPr>
          <w:sz w:val="25"/>
          <w:szCs w:val="25"/>
        </w:rPr>
      </w:pPr>
      <w:r>
        <w:rPr>
          <w:rFonts w:hint="eastAsia"/>
          <w:spacing w:val="-18"/>
          <w:sz w:val="25"/>
          <w:szCs w:val="25"/>
          <w:lang w:val="en-US" w:eastAsia="zh-CN"/>
        </w:rPr>
        <w:t>况，</w:t>
      </w:r>
      <w:r>
        <w:rPr>
          <w:spacing w:val="-18"/>
          <w:sz w:val="25"/>
          <w:szCs w:val="25"/>
        </w:rPr>
        <w:t>深入探索，以点带面，积极做好“带押过户”。要推动省</w:t>
      </w:r>
      <w:r>
        <w:rPr>
          <w:spacing w:val="-19"/>
          <w:sz w:val="25"/>
          <w:szCs w:val="25"/>
        </w:rPr>
        <w:t>会城市、</w:t>
      </w:r>
      <w:r>
        <w:rPr>
          <w:spacing w:val="-10"/>
          <w:sz w:val="25"/>
          <w:szCs w:val="25"/>
        </w:rPr>
        <w:t>计划单列市率先实现，并逐步向其他市县拓展；要推动同一银行</w:t>
      </w:r>
      <w:r>
        <w:rPr>
          <w:spacing w:val="-9"/>
          <w:sz w:val="25"/>
          <w:szCs w:val="25"/>
        </w:rPr>
        <w:t>业金融机构率先实现，并逐步向跨银行业金融</w:t>
      </w:r>
      <w:r>
        <w:rPr>
          <w:spacing w:val="-10"/>
          <w:sz w:val="25"/>
          <w:szCs w:val="25"/>
        </w:rPr>
        <w:t>机构拓展；要推动</w:t>
      </w:r>
      <w:r>
        <w:rPr>
          <w:spacing w:val="-14"/>
          <w:sz w:val="25"/>
          <w:szCs w:val="25"/>
        </w:rPr>
        <w:t>住宅类不动产率先实现，并逐步向工业、商业等类型不动产拓展。</w:t>
      </w:r>
      <w:r>
        <w:rPr>
          <w:spacing w:val="-10"/>
          <w:sz w:val="25"/>
          <w:szCs w:val="25"/>
        </w:rPr>
        <w:t>实现地域范围、金融机构和不动产类型全覆盖，常态化开展“带</w:t>
      </w:r>
      <w:r>
        <w:rPr>
          <w:spacing w:val="-13"/>
          <w:sz w:val="25"/>
          <w:szCs w:val="25"/>
        </w:rPr>
        <w:t>押过户”服务。</w:t>
      </w:r>
      <w:r>
        <w:rPr>
          <w:rFonts w:hint="eastAsia"/>
          <w:spacing w:val="-13"/>
          <w:sz w:val="25"/>
          <w:szCs w:val="25"/>
          <w:lang w:eastAsia="zh-CN"/>
        </w:rPr>
        <w:t>（</w:t>
      </w:r>
      <w:r>
        <w:rPr>
          <w:rFonts w:ascii="楷体" w:hAnsi="楷体" w:eastAsia="楷体" w:cs="楷体"/>
          <w:spacing w:val="-8"/>
        </w:rPr>
        <w:t>《自然资源部中国银行保险监督管理委员会关于协同做好不动产“带押过户”便民利企服务的通知》自然资发〔2023〕29号</w:t>
      </w:r>
      <w:r>
        <w:rPr>
          <w:rFonts w:hint="eastAsia" w:ascii="楷体" w:hAnsi="楷体" w:eastAsia="楷体" w:cs="楷体"/>
          <w:spacing w:val="-8"/>
          <w:lang w:eastAsia="zh-CN"/>
        </w:rPr>
        <w:t>）</w:t>
      </w:r>
    </w:p>
    <w:p w14:paraId="69C9583C">
      <w:pPr>
        <w:pStyle w:val="2"/>
        <w:spacing w:before="67" w:line="237" w:lineRule="auto"/>
        <w:ind w:left="128" w:right="103" w:firstLine="450"/>
        <w:jc w:val="both"/>
        <w:rPr>
          <w:rFonts w:ascii="楷体" w:hAnsi="楷体" w:eastAsia="楷体" w:cs="楷体"/>
          <w:b w:val="0"/>
          <w:bCs w:val="0"/>
          <w:snapToGrid w:val="0"/>
          <w:color w:val="000000"/>
          <w:spacing w:val="-17"/>
          <w:kern w:val="0"/>
          <w:sz w:val="24"/>
          <w:szCs w:val="24"/>
          <w:lang w:val="en-US" w:eastAsia="en-US" w:bidi="ar-SA"/>
        </w:rPr>
      </w:pPr>
      <w:r>
        <w:rPr>
          <w:b w:val="0"/>
          <w:bCs w:val="0"/>
          <w:spacing w:val="-15"/>
          <w:sz w:val="25"/>
          <w:szCs w:val="25"/>
        </w:rPr>
        <w:t>32、将房地产开发企业“办结不动产首次登记”列入《商品</w:t>
      </w:r>
      <w:r>
        <w:rPr>
          <w:b w:val="0"/>
          <w:bCs w:val="0"/>
          <w:sz w:val="25"/>
          <w:szCs w:val="25"/>
        </w:rPr>
        <w:t xml:space="preserve"> </w:t>
      </w:r>
      <w:r>
        <w:rPr>
          <w:b w:val="0"/>
          <w:bCs w:val="0"/>
          <w:spacing w:val="-13"/>
          <w:sz w:val="25"/>
          <w:szCs w:val="25"/>
        </w:rPr>
        <w:t>房买卖合同</w:t>
      </w:r>
      <w:r>
        <w:rPr>
          <w:rFonts w:hint="eastAsia"/>
          <w:b w:val="0"/>
          <w:bCs w:val="0"/>
          <w:spacing w:val="-13"/>
          <w:sz w:val="25"/>
          <w:szCs w:val="25"/>
          <w:lang w:eastAsia="zh-CN"/>
        </w:rPr>
        <w:t>（</w:t>
      </w:r>
      <w:r>
        <w:rPr>
          <w:b w:val="0"/>
          <w:bCs w:val="0"/>
          <w:spacing w:val="-13"/>
          <w:sz w:val="25"/>
          <w:szCs w:val="25"/>
        </w:rPr>
        <w:t>预售</w:t>
      </w:r>
      <w:r>
        <w:rPr>
          <w:rFonts w:hint="eastAsia"/>
          <w:b w:val="0"/>
          <w:bCs w:val="0"/>
          <w:spacing w:val="-13"/>
          <w:sz w:val="25"/>
          <w:szCs w:val="25"/>
          <w:lang w:eastAsia="zh-CN"/>
        </w:rPr>
        <w:t>）</w:t>
      </w:r>
      <w:r>
        <w:rPr>
          <w:b w:val="0"/>
          <w:bCs w:val="0"/>
          <w:spacing w:val="-13"/>
          <w:sz w:val="25"/>
          <w:szCs w:val="25"/>
        </w:rPr>
        <w:t>》</w:t>
      </w:r>
      <w:r>
        <w:rPr>
          <w:rFonts w:hint="eastAsia"/>
          <w:b w:val="0"/>
          <w:bCs w:val="0"/>
          <w:spacing w:val="-13"/>
          <w:sz w:val="25"/>
          <w:szCs w:val="25"/>
          <w:lang w:eastAsia="zh-CN"/>
        </w:rPr>
        <w:t>，</w:t>
      </w:r>
      <w:r>
        <w:rPr>
          <w:b w:val="0"/>
          <w:bCs w:val="0"/>
          <w:spacing w:val="-13"/>
          <w:sz w:val="25"/>
          <w:szCs w:val="25"/>
        </w:rPr>
        <w:t>作为商品房交付条件之一，实现购房者在</w:t>
      </w:r>
      <w:r>
        <w:rPr>
          <w:b w:val="0"/>
          <w:bCs w:val="0"/>
          <w:spacing w:val="-17"/>
          <w:sz w:val="25"/>
          <w:szCs w:val="25"/>
        </w:rPr>
        <w:t>结清房款、缴清相关税费的情况下，在房屋交付的同时即可申请</w:t>
      </w:r>
      <w:r>
        <w:rPr>
          <w:b w:val="0"/>
          <w:bCs w:val="0"/>
          <w:spacing w:val="6"/>
          <w:sz w:val="25"/>
          <w:szCs w:val="25"/>
        </w:rPr>
        <w:t xml:space="preserve"> </w:t>
      </w:r>
      <w:r>
        <w:rPr>
          <w:b w:val="0"/>
          <w:bCs w:val="0"/>
          <w:spacing w:val="-29"/>
          <w:sz w:val="25"/>
          <w:szCs w:val="25"/>
        </w:rPr>
        <w:t>办理《不动产权证书》。</w:t>
      </w:r>
      <w:r>
        <w:rPr>
          <w:rFonts w:hint="eastAsia"/>
          <w:b w:val="0"/>
          <w:bCs w:val="0"/>
          <w:spacing w:val="-29"/>
          <w:sz w:val="25"/>
          <w:szCs w:val="25"/>
          <w:lang w:eastAsia="zh-CN"/>
        </w:rPr>
        <w:t>（</w:t>
      </w:r>
      <w:r>
        <w:rPr>
          <w:rFonts w:ascii="楷体" w:hAnsi="楷体" w:eastAsia="楷体" w:cs="楷体"/>
          <w:b w:val="0"/>
          <w:bCs w:val="0"/>
          <w:snapToGrid w:val="0"/>
          <w:color w:val="000000"/>
          <w:spacing w:val="-17"/>
          <w:kern w:val="0"/>
          <w:sz w:val="24"/>
          <w:szCs w:val="24"/>
          <w:lang w:val="en-US" w:eastAsia="en-US" w:bidi="ar-SA"/>
        </w:rPr>
        <w:t>《市自然资源和规划局、市住房和城乡建</w:t>
      </w:r>
    </w:p>
    <w:p w14:paraId="32049121">
      <w:pPr>
        <w:spacing w:line="237" w:lineRule="auto"/>
        <w:rPr>
          <w:b w:val="0"/>
          <w:bCs w:val="0"/>
          <w:sz w:val="25"/>
          <w:szCs w:val="25"/>
        </w:rPr>
        <w:sectPr>
          <w:headerReference r:id="rId29" w:type="default"/>
          <w:footerReference r:id="rId30" w:type="default"/>
          <w:pgSz w:w="8390" w:h="5670"/>
          <w:pgMar w:top="400" w:right="794" w:bottom="755" w:left="744" w:header="0" w:footer="507" w:gutter="0"/>
          <w:pgNumType w:fmt="decimal"/>
          <w:cols w:space="720" w:num="1"/>
        </w:sectPr>
      </w:pPr>
    </w:p>
    <w:p w14:paraId="46D1CFE2">
      <w:pPr>
        <w:spacing w:line="338" w:lineRule="auto"/>
        <w:rPr>
          <w:rFonts w:ascii="Arial"/>
          <w:b w:val="0"/>
          <w:bCs w:val="0"/>
          <w:sz w:val="21"/>
        </w:rPr>
      </w:pPr>
    </w:p>
    <w:p w14:paraId="43840790">
      <w:pPr>
        <w:spacing w:before="78" w:line="222" w:lineRule="auto"/>
        <w:ind w:left="119"/>
        <w:rPr>
          <w:rFonts w:ascii="楷体" w:hAnsi="楷体" w:eastAsia="楷体" w:cs="楷体"/>
          <w:b w:val="0"/>
          <w:bCs w:val="0"/>
          <w:spacing w:val="-17"/>
          <w:sz w:val="24"/>
          <w:szCs w:val="24"/>
        </w:rPr>
      </w:pPr>
      <w:r>
        <w:rPr>
          <w:rFonts w:ascii="楷体" w:hAnsi="楷体" w:eastAsia="楷体" w:cs="楷体"/>
          <w:b w:val="0"/>
          <w:bCs w:val="0"/>
          <w:spacing w:val="-17"/>
          <w:sz w:val="24"/>
          <w:szCs w:val="24"/>
        </w:rPr>
        <w:t>设局关于印发随州市新建商品房“交房即办证”实施方案的通知》</w:t>
      </w:r>
      <w:r>
        <w:rPr>
          <w:rFonts w:hint="eastAsia" w:ascii="楷体" w:hAnsi="楷体" w:eastAsia="楷体" w:cs="楷体"/>
          <w:b w:val="0"/>
          <w:bCs w:val="0"/>
          <w:spacing w:val="-17"/>
          <w:sz w:val="24"/>
          <w:szCs w:val="24"/>
          <w:lang w:eastAsia="zh-CN"/>
        </w:rPr>
        <w:t>）</w:t>
      </w:r>
    </w:p>
    <w:p w14:paraId="74000555">
      <w:pPr>
        <w:pStyle w:val="5"/>
        <w:keepNext w:val="0"/>
        <w:keepLines w:val="0"/>
        <w:widowControl/>
        <w:suppressLineNumbers w:val="0"/>
        <w:spacing w:before="0" w:beforeAutospacing="0" w:after="0" w:afterAutospacing="0"/>
        <w:ind w:left="0" w:right="0" w:firstLine="0"/>
        <w:jc w:val="left"/>
        <w:rPr>
          <w:rFonts w:hint="default" w:ascii="楷体" w:hAnsi="楷体" w:eastAsia="楷体" w:cs="楷体"/>
          <w:b w:val="0"/>
          <w:bCs w:val="0"/>
          <w:spacing w:val="-17"/>
          <w:sz w:val="24"/>
          <w:szCs w:val="24"/>
          <w:lang w:val="en-US" w:eastAsia="zh-CN"/>
        </w:rPr>
      </w:pPr>
      <w:r>
        <w:rPr>
          <w:rFonts w:hint="eastAsia" w:ascii="楷体" w:hAnsi="楷体" w:eastAsia="楷体" w:cs="楷体"/>
          <w:b w:val="0"/>
          <w:bCs w:val="0"/>
          <w:spacing w:val="-17"/>
          <w:sz w:val="24"/>
          <w:szCs w:val="24"/>
          <w:lang w:val="en-US" w:eastAsia="zh-CN"/>
        </w:rPr>
        <w:t xml:space="preserve">    </w:t>
      </w:r>
      <w:r>
        <w:rPr>
          <w:rFonts w:hint="eastAsia" w:ascii="宋体" w:hAnsi="宋体" w:eastAsia="宋体" w:cs="宋体"/>
          <w:snapToGrid w:val="0"/>
          <w:color w:val="000000"/>
          <w:spacing w:val="-10"/>
          <w:kern w:val="0"/>
          <w:sz w:val="25"/>
          <w:szCs w:val="25"/>
          <w:lang w:val="en-US" w:eastAsia="zh-CN" w:bidi="ar-SA"/>
        </w:rPr>
        <w:t>33、公民、法人或其他组织（以下简称申请人）办理政务服务事项时，政务服务部门一次性告知其所申请事项的事项所依据的主要法律法规、规章的名称和相关条款；准予办理应当具备的条件、标准和技术要求；申请材料的名称、提交方式和期限；申请人作出承诺的时限和法律效力，以及逾期不作出承诺、作出不实承诺和违反承诺的法律后果；行政机关应当告知的其他内容等，申请人以书面（含电子文本）形式承诺其符合办理条件并承担相应违反承诺的后果，或申请人在缺少次要要件并承诺能够在规定期限内提供相应材料，相关政务服务部门直接作出同意决定的方式。</w:t>
      </w:r>
      <w:r>
        <w:rPr>
          <w:rFonts w:hint="eastAsia" w:ascii="楷体" w:hAnsi="楷体" w:eastAsia="楷体" w:cs="楷体"/>
          <w:b w:val="0"/>
          <w:bCs w:val="0"/>
          <w:snapToGrid w:val="0"/>
          <w:color w:val="000000"/>
          <w:spacing w:val="-17"/>
          <w:kern w:val="0"/>
          <w:sz w:val="24"/>
          <w:szCs w:val="24"/>
          <w:lang w:val="en-US" w:eastAsia="zh-CN" w:bidi="ar-SA"/>
        </w:rPr>
        <w:t>（</w:t>
      </w:r>
      <w:r>
        <w:rPr>
          <w:rFonts w:hint="eastAsia" w:ascii="楷体" w:hAnsi="楷体" w:eastAsia="楷体" w:cs="楷体"/>
          <w:b w:val="0"/>
          <w:bCs w:val="0"/>
          <w:snapToGrid w:val="0"/>
          <w:color w:val="000000"/>
          <w:spacing w:val="-17"/>
          <w:kern w:val="0"/>
          <w:sz w:val="24"/>
          <w:szCs w:val="24"/>
          <w:lang w:val="en-US" w:eastAsia="en-US" w:bidi="ar-SA"/>
        </w:rPr>
        <w:t>随州市推进政府职能转变和</w:t>
      </w:r>
      <w:r>
        <w:rPr>
          <w:rFonts w:hint="eastAsia" w:ascii="楷体" w:hAnsi="楷体" w:eastAsia="楷体" w:cs="楷体"/>
          <w:b w:val="0"/>
          <w:bCs w:val="0"/>
          <w:snapToGrid w:val="0"/>
          <w:color w:val="000000"/>
          <w:spacing w:val="-17"/>
          <w:kern w:val="0"/>
          <w:sz w:val="24"/>
          <w:szCs w:val="24"/>
          <w:lang w:val="en-US" w:eastAsia="zh-CN" w:bidi="ar-SA"/>
        </w:rPr>
        <w:t>“放管服”改革</w:t>
      </w:r>
      <w:r>
        <w:rPr>
          <w:rFonts w:hint="eastAsia" w:ascii="楷体" w:hAnsi="楷体" w:eastAsia="楷体" w:cs="楷体"/>
          <w:b w:val="0"/>
          <w:bCs w:val="0"/>
          <w:snapToGrid w:val="0"/>
          <w:color w:val="000000"/>
          <w:spacing w:val="-17"/>
          <w:kern w:val="0"/>
          <w:sz w:val="24"/>
          <w:szCs w:val="24"/>
          <w:lang w:val="en-US" w:eastAsia="en-US" w:bidi="ar-SA"/>
        </w:rPr>
        <w:t>协调小组办公室关于印发随职转办发〔2023〕1号《随州市推行政务服务告知承诺制和容缺受理服务实施方案》的通知</w:t>
      </w:r>
      <w:r>
        <w:rPr>
          <w:rFonts w:hint="eastAsia" w:ascii="楷体" w:hAnsi="楷体" w:eastAsia="楷体" w:cs="楷体"/>
          <w:b w:val="0"/>
          <w:bCs w:val="0"/>
          <w:snapToGrid w:val="0"/>
          <w:color w:val="000000"/>
          <w:spacing w:val="-17"/>
          <w:kern w:val="0"/>
          <w:sz w:val="24"/>
          <w:szCs w:val="24"/>
          <w:lang w:val="en-US" w:eastAsia="zh-CN" w:bidi="ar-SA"/>
        </w:rPr>
        <w:t>）</w:t>
      </w:r>
    </w:p>
    <w:p w14:paraId="5E5B52A6">
      <w:pPr>
        <w:pStyle w:val="2"/>
        <w:spacing w:before="50" w:line="249" w:lineRule="auto"/>
        <w:ind w:right="103" w:firstLine="570"/>
        <w:rPr>
          <w:rFonts w:ascii="楷体" w:hAnsi="楷体" w:eastAsia="楷体" w:cs="楷体"/>
          <w:spacing w:val="-8"/>
        </w:rPr>
      </w:pPr>
      <w:r>
        <w:rPr>
          <w:b w:val="0"/>
          <w:bCs w:val="0"/>
          <w:spacing w:val="-10"/>
        </w:rPr>
        <w:t>3</w:t>
      </w:r>
      <w:r>
        <w:rPr>
          <w:rFonts w:hint="eastAsia"/>
          <w:b w:val="0"/>
          <w:bCs w:val="0"/>
          <w:spacing w:val="-10"/>
          <w:lang w:val="en-US" w:eastAsia="zh-CN"/>
        </w:rPr>
        <w:t>4</w:t>
      </w:r>
      <w:r>
        <w:rPr>
          <w:b w:val="0"/>
          <w:bCs w:val="0"/>
          <w:spacing w:val="-10"/>
        </w:rPr>
        <w:t>、</w:t>
      </w:r>
      <w:r>
        <w:rPr>
          <w:b w:val="0"/>
          <w:bCs w:val="0"/>
          <w:spacing w:val="-7"/>
        </w:rPr>
        <w:t>将购买方办证与销售方缴税相“分离”</w:t>
      </w:r>
      <w:r>
        <w:rPr>
          <w:rFonts w:hint="eastAsia"/>
          <w:b w:val="0"/>
          <w:bCs w:val="0"/>
          <w:spacing w:val="-7"/>
          <w:lang w:eastAsia="zh-CN"/>
        </w:rPr>
        <w:t>，</w:t>
      </w:r>
      <w:r>
        <w:rPr>
          <w:b w:val="0"/>
          <w:bCs w:val="0"/>
          <w:spacing w:val="-7"/>
        </w:rPr>
        <w:t>按规定对销售方</w:t>
      </w:r>
      <w:r>
        <w:rPr>
          <w:rFonts w:ascii="楷体" w:hAnsi="楷体" w:eastAsia="楷体" w:cs="楷体"/>
          <w:b w:val="0"/>
          <w:bCs w:val="0"/>
        </w:rPr>
        <w:t xml:space="preserve"> </w:t>
      </w:r>
      <w:r>
        <w:rPr>
          <w:b w:val="0"/>
          <w:bCs w:val="0"/>
          <w:spacing w:val="-7"/>
        </w:rPr>
        <w:t>应纳税费进行追缴，解决群众办证难的问题。</w:t>
      </w:r>
      <w:r>
        <w:rPr>
          <w:rFonts w:hint="eastAsia"/>
          <w:b w:val="0"/>
          <w:bCs w:val="0"/>
          <w:spacing w:val="-7"/>
          <w:lang w:eastAsia="zh-CN"/>
        </w:rPr>
        <w:t>（</w:t>
      </w:r>
      <w:r>
        <w:rPr>
          <w:rFonts w:ascii="楷体" w:hAnsi="楷体" w:eastAsia="楷体" w:cs="楷体"/>
          <w:spacing w:val="-8"/>
        </w:rPr>
        <w:t>随州市自然资源和 规划局、随州市税务局国家税务总局关于印发《随州市不动产登 记“票税分离”“证缴分离”改革项目实施方案》随自然资规函 〔2023〕34号</w:t>
      </w:r>
      <w:r>
        <w:rPr>
          <w:rFonts w:hint="eastAsia" w:ascii="楷体" w:hAnsi="楷体" w:eastAsia="楷体" w:cs="楷体"/>
          <w:spacing w:val="-8"/>
          <w:lang w:eastAsia="zh-CN"/>
        </w:rPr>
        <w:t>）</w:t>
      </w:r>
    </w:p>
    <w:p w14:paraId="18AFA55D">
      <w:pPr>
        <w:pStyle w:val="2"/>
        <w:spacing w:before="50" w:line="249" w:lineRule="auto"/>
        <w:ind w:right="103" w:firstLine="570"/>
        <w:rPr>
          <w:rFonts w:hint="eastAsia" w:ascii="楷体" w:hAnsi="楷体" w:eastAsia="楷体" w:cs="楷体"/>
          <w:spacing w:val="-8"/>
          <w:lang w:val="en-US" w:eastAsia="zh-CN"/>
        </w:rPr>
      </w:pPr>
      <w:r>
        <w:rPr>
          <w:rFonts w:hint="eastAsia" w:ascii="楷体" w:hAnsi="楷体" w:eastAsia="楷体" w:cs="楷体"/>
          <w:spacing w:val="-8"/>
          <w:lang w:val="en-US" w:eastAsia="zh-CN"/>
        </w:rPr>
        <w:t>3</w:t>
      </w:r>
      <w:r>
        <w:rPr>
          <w:rFonts w:hint="eastAsia"/>
          <w:b w:val="0"/>
          <w:bCs w:val="0"/>
          <w:spacing w:val="-7"/>
          <w:lang w:val="en-US" w:eastAsia="zh-CN"/>
        </w:rPr>
        <w:t>5、</w:t>
      </w:r>
      <w:r>
        <w:rPr>
          <w:rFonts w:hint="eastAsia"/>
          <w:b w:val="0"/>
          <w:bCs w:val="0"/>
          <w:spacing w:val="-7"/>
        </w:rPr>
        <w:t>按照不动产登记综合窗口改革要求，对不动产登记“一窗受理”窗口优化调整，全面规范设置“一窗受理”综合窗口，实行“一窗受理、并行办理”封闭运行，推行全市不动产登记大厅统一服务标准</w:t>
      </w:r>
      <w:r>
        <w:rPr>
          <w:rFonts w:hint="eastAsia"/>
          <w:b w:val="0"/>
          <w:bCs w:val="0"/>
          <w:spacing w:val="-7"/>
          <w:lang w:eastAsia="zh-CN"/>
        </w:rPr>
        <w:t>（</w:t>
      </w:r>
      <w:r>
        <w:rPr>
          <w:rFonts w:hint="eastAsia"/>
          <w:b w:val="0"/>
          <w:bCs w:val="0"/>
          <w:spacing w:val="-7"/>
        </w:rPr>
        <w:t>包括窗口设置，服务指南，办结时限，办事流程</w:t>
      </w:r>
      <w:r>
        <w:rPr>
          <w:rFonts w:hint="eastAsia"/>
          <w:b w:val="0"/>
          <w:bCs w:val="0"/>
          <w:spacing w:val="-7"/>
          <w:lang w:eastAsia="zh-CN"/>
        </w:rPr>
        <w:t>）；</w:t>
      </w:r>
      <w:r>
        <w:rPr>
          <w:rFonts w:hint="eastAsia"/>
          <w:b w:val="0"/>
          <w:bCs w:val="0"/>
          <w:spacing w:val="-7"/>
        </w:rPr>
        <w:t>设置不动产登记志愿服务台，负责咨询、一次性告知、引导及帮办代办服务；不动产登记、税务、住建部门发挥业务协同作用，实行“一套资料、一次申请、一窗受理、并行办理、一窗出件”</w:t>
      </w:r>
      <w:r>
        <w:rPr>
          <w:rFonts w:hint="eastAsia"/>
          <w:b w:val="0"/>
          <w:bCs w:val="0"/>
          <w:spacing w:val="-7"/>
          <w:lang w:eastAsia="zh-CN"/>
        </w:rPr>
        <w:t>，</w:t>
      </w:r>
      <w:r>
        <w:rPr>
          <w:rFonts w:hint="eastAsia"/>
          <w:b w:val="0"/>
          <w:bCs w:val="0"/>
          <w:spacing w:val="-7"/>
        </w:rPr>
        <w:t>线下窗口与线上窗口服务标准一致。</w:t>
      </w:r>
      <w:r>
        <w:rPr>
          <w:rFonts w:hint="eastAsia" w:ascii="楷体" w:hAnsi="楷体" w:eastAsia="楷体" w:cs="楷体"/>
          <w:spacing w:val="-8"/>
          <w:lang w:val="en-US" w:eastAsia="zh-CN"/>
        </w:rPr>
        <w:t>（</w:t>
      </w:r>
      <w:r>
        <w:rPr>
          <w:rFonts w:hint="eastAsia" w:ascii="楷体" w:hAnsi="楷体" w:eastAsia="楷体" w:cs="楷体"/>
          <w:spacing w:val="-8"/>
        </w:rPr>
        <w:t>广水市自然资源和规划局国家税务总局</w:t>
      </w:r>
      <w:r>
        <w:rPr>
          <w:rFonts w:hint="eastAsia" w:ascii="楷体" w:hAnsi="楷体" w:eastAsia="楷体" w:cs="楷体"/>
          <w:spacing w:val="-8"/>
          <w:lang w:val="en-US" w:eastAsia="zh-CN"/>
        </w:rPr>
        <w:t>、</w:t>
      </w:r>
      <w:r>
        <w:rPr>
          <w:rFonts w:hint="eastAsia" w:ascii="楷体" w:hAnsi="楷体" w:eastAsia="楷体" w:cs="楷体"/>
          <w:spacing w:val="-8"/>
        </w:rPr>
        <w:t>广水市务局</w:t>
      </w:r>
      <w:r>
        <w:rPr>
          <w:rFonts w:hint="eastAsia" w:ascii="楷体" w:hAnsi="楷体" w:eastAsia="楷体" w:cs="楷体"/>
          <w:spacing w:val="-8"/>
          <w:lang w:eastAsia="zh-CN"/>
        </w:rPr>
        <w:t>、</w:t>
      </w:r>
      <w:r>
        <w:rPr>
          <w:rFonts w:hint="eastAsia" w:ascii="楷体" w:hAnsi="楷体" w:eastAsia="楷体" w:cs="楷体"/>
          <w:spacing w:val="-8"/>
        </w:rPr>
        <w:t>广水市住房和城乡建设局</w:t>
      </w:r>
      <w:r>
        <w:rPr>
          <w:rFonts w:hint="eastAsia" w:ascii="楷体" w:hAnsi="楷体" w:eastAsia="楷体" w:cs="楷体"/>
          <w:spacing w:val="-8"/>
          <w:lang w:eastAsia="zh-CN"/>
        </w:rPr>
        <w:t>《</w:t>
      </w:r>
      <w:r>
        <w:rPr>
          <w:rFonts w:hint="eastAsia" w:ascii="楷体" w:hAnsi="楷体" w:eastAsia="楷体" w:cs="楷体"/>
          <w:spacing w:val="-8"/>
        </w:rPr>
        <w:t>关于进一步规范不动产登记“一窗受理并行办理”服务的通知</w:t>
      </w:r>
      <w:r>
        <w:rPr>
          <w:rFonts w:hint="eastAsia" w:ascii="楷体" w:hAnsi="楷体" w:eastAsia="楷体" w:cs="楷体"/>
          <w:spacing w:val="-8"/>
          <w:lang w:eastAsia="zh-CN"/>
        </w:rPr>
        <w:t>》</w:t>
      </w:r>
      <w:r>
        <w:rPr>
          <w:rFonts w:hint="eastAsia" w:ascii="楷体" w:hAnsi="楷体" w:eastAsia="楷体" w:cs="楷体"/>
          <w:spacing w:val="-8"/>
          <w:lang w:val="en-US" w:eastAsia="zh-CN"/>
        </w:rPr>
        <w:t>）</w:t>
      </w:r>
    </w:p>
    <w:p w14:paraId="475AD056">
      <w:pPr>
        <w:pStyle w:val="2"/>
        <w:spacing w:before="50" w:line="249" w:lineRule="auto"/>
        <w:ind w:right="103" w:firstLine="570"/>
        <w:rPr>
          <w:rFonts w:hint="eastAsia" w:ascii="楷体" w:hAnsi="楷体" w:eastAsia="楷体" w:cs="楷体"/>
          <w:spacing w:val="-8"/>
          <w:lang w:val="en-US" w:eastAsia="zh-CN"/>
        </w:rPr>
      </w:pPr>
      <w:r>
        <w:rPr>
          <w:rFonts w:hint="eastAsia" w:ascii="楷体" w:hAnsi="楷体" w:eastAsia="楷体" w:cs="楷体"/>
          <w:spacing w:val="-8"/>
          <w:lang w:val="en-US" w:eastAsia="zh-CN"/>
        </w:rPr>
        <w:t>36.</w:t>
      </w:r>
      <w:r>
        <w:rPr>
          <w:rFonts w:hint="eastAsia"/>
          <w:b w:val="0"/>
          <w:bCs w:val="0"/>
          <w:spacing w:val="-7"/>
        </w:rPr>
        <w:t>不动产登记电子证照包括《不动产权证书》《不动产登记证明》</w:t>
      </w:r>
      <w:r>
        <w:rPr>
          <w:rFonts w:hint="eastAsia"/>
          <w:b w:val="0"/>
          <w:bCs w:val="0"/>
          <w:spacing w:val="-7"/>
          <w:lang w:eastAsia="zh-CN"/>
        </w:rPr>
        <w:t>，</w:t>
      </w:r>
      <w:r>
        <w:rPr>
          <w:rFonts w:hint="eastAsia"/>
          <w:b w:val="0"/>
          <w:bCs w:val="0"/>
          <w:spacing w:val="-7"/>
        </w:rPr>
        <w:t>加盖电子印章的不动产登记电子证照与纸质版《不动产权证书》《不动产登记证明》具有同等法律效力。不动产权利人登录鄂汇办APP</w:t>
      </w:r>
      <w:r>
        <w:rPr>
          <w:rFonts w:hint="eastAsia"/>
          <w:b w:val="0"/>
          <w:bCs w:val="0"/>
          <w:spacing w:val="-7"/>
          <w:lang w:eastAsia="zh-CN"/>
        </w:rPr>
        <w:t>，</w:t>
      </w:r>
      <w:r>
        <w:rPr>
          <w:rFonts w:hint="eastAsia"/>
          <w:b w:val="0"/>
          <w:bCs w:val="0"/>
          <w:spacing w:val="-7"/>
        </w:rPr>
        <w:t>进入电子卡包可查看《不动产权证书</w:t>
      </w:r>
      <w:r>
        <w:rPr>
          <w:rFonts w:hint="eastAsia"/>
          <w:b w:val="0"/>
          <w:bCs w:val="0"/>
          <w:spacing w:val="-7"/>
          <w:lang w:eastAsia="zh-CN"/>
        </w:rPr>
        <w:t>》《</w:t>
      </w:r>
      <w:r>
        <w:rPr>
          <w:rFonts w:hint="eastAsia"/>
          <w:b w:val="0"/>
          <w:bCs w:val="0"/>
          <w:spacing w:val="-7"/>
        </w:rPr>
        <w:t>不动产登记证明》的电子证照并保存。金融机构可登录“互联网+不动产登记”平台，查看《不动产登记证明》的电子证照并下载保存。</w:t>
      </w:r>
      <w:r>
        <w:rPr>
          <w:rFonts w:hint="eastAsia" w:ascii="楷体" w:hAnsi="楷体" w:eastAsia="楷体" w:cs="楷体"/>
          <w:spacing w:val="-8"/>
          <w:lang w:val="en-US" w:eastAsia="zh-CN"/>
        </w:rPr>
        <w:t>（</w:t>
      </w:r>
      <w:r>
        <w:rPr>
          <w:rFonts w:hint="eastAsia" w:ascii="楷体" w:hAnsi="楷体" w:eastAsia="楷体" w:cs="楷体"/>
          <w:spacing w:val="-8"/>
        </w:rPr>
        <w:t>广水市政务服务和大数据管理局</w:t>
      </w:r>
      <w:r>
        <w:rPr>
          <w:rFonts w:hint="eastAsia" w:ascii="楷体" w:hAnsi="楷体" w:eastAsia="楷体" w:cs="楷体"/>
          <w:spacing w:val="-8"/>
          <w:lang w:eastAsia="zh-CN"/>
        </w:rPr>
        <w:t>、</w:t>
      </w:r>
      <w:r>
        <w:rPr>
          <w:rFonts w:hint="eastAsia" w:ascii="楷体" w:hAnsi="楷体" w:eastAsia="楷体" w:cs="楷体"/>
          <w:spacing w:val="-8"/>
        </w:rPr>
        <w:t>广水市自然资源和规划局</w:t>
      </w:r>
      <w:r>
        <w:rPr>
          <w:rFonts w:hint="eastAsia" w:ascii="楷体" w:hAnsi="楷体" w:eastAsia="楷体" w:cs="楷体"/>
          <w:spacing w:val="-8"/>
          <w:lang w:eastAsia="zh-CN"/>
        </w:rPr>
        <w:t>《</w:t>
      </w:r>
      <w:r>
        <w:rPr>
          <w:rFonts w:hint="eastAsia" w:ascii="楷体" w:hAnsi="楷体" w:eastAsia="楷体" w:cs="楷体"/>
          <w:spacing w:val="-8"/>
        </w:rPr>
        <w:t>关于推广应用不动产登记电子证照的通告</w:t>
      </w:r>
      <w:r>
        <w:rPr>
          <w:rFonts w:hint="eastAsia" w:ascii="楷体" w:hAnsi="楷体" w:eastAsia="楷体" w:cs="楷体"/>
          <w:spacing w:val="-8"/>
          <w:lang w:eastAsia="zh-CN"/>
        </w:rPr>
        <w:t>》</w:t>
      </w:r>
      <w:r>
        <w:rPr>
          <w:rFonts w:hint="eastAsia" w:ascii="楷体" w:hAnsi="楷体" w:eastAsia="楷体" w:cs="楷体"/>
          <w:spacing w:val="-8"/>
          <w:lang w:val="en-US" w:eastAsia="zh-CN"/>
        </w:rPr>
        <w:t>）</w:t>
      </w:r>
    </w:p>
    <w:p w14:paraId="2D9893B4">
      <w:pPr>
        <w:pStyle w:val="5"/>
        <w:keepNext w:val="0"/>
        <w:keepLines w:val="0"/>
        <w:widowControl/>
        <w:numPr>
          <w:ilvl w:val="0"/>
          <w:numId w:val="0"/>
        </w:numPr>
        <w:suppressLineNumbers w:val="0"/>
        <w:spacing w:before="0" w:beforeAutospacing="0" w:after="0" w:afterAutospacing="0"/>
        <w:ind w:left="0" w:leftChars="0" w:right="0" w:rightChars="0" w:firstLine="452" w:firstLineChars="200"/>
        <w:rPr>
          <w:rFonts w:hint="eastAsia" w:ascii="楷体" w:hAnsi="楷体" w:eastAsia="楷体" w:cs="楷体"/>
          <w:snapToGrid w:val="0"/>
          <w:color w:val="000000"/>
          <w:spacing w:val="-8"/>
          <w:kern w:val="0"/>
          <w:sz w:val="24"/>
          <w:szCs w:val="24"/>
          <w:lang w:val="en-US" w:eastAsia="zh-CN" w:bidi="ar-SA"/>
        </w:rPr>
      </w:pPr>
      <w:r>
        <w:rPr>
          <w:rFonts w:hint="eastAsia" w:ascii="宋体" w:hAnsi="宋体" w:eastAsia="宋体" w:cs="宋体"/>
          <w:b w:val="0"/>
          <w:bCs w:val="0"/>
          <w:snapToGrid w:val="0"/>
          <w:color w:val="000000"/>
          <w:spacing w:val="-7"/>
          <w:kern w:val="0"/>
          <w:sz w:val="24"/>
          <w:szCs w:val="24"/>
          <w:lang w:val="en-US" w:eastAsia="zh-CN" w:bidi="ar-SA"/>
        </w:rPr>
        <w:t>37、</w:t>
      </w:r>
      <w:r>
        <w:rPr>
          <w:rFonts w:hint="eastAsia" w:ascii="宋体" w:hAnsi="宋体" w:eastAsia="宋体" w:cs="宋体"/>
          <w:b w:val="0"/>
          <w:bCs w:val="0"/>
          <w:snapToGrid w:val="0"/>
          <w:color w:val="000000"/>
          <w:spacing w:val="-7"/>
          <w:kern w:val="0"/>
          <w:sz w:val="24"/>
          <w:szCs w:val="24"/>
          <w:lang w:val="en-US" w:eastAsia="en-US" w:bidi="ar-SA"/>
        </w:rPr>
        <w:t>容缺受理。申请人申请办理不动产登记业务时，在缺少非关键性申请材料或非关键性申请材料存在瑕疵的情况下，经申请人书面申请并承诺期限内补齐的，不动产登记机构可先行容缺受理并出具容缺受理回执，待申请人承诺期限内补齐材料后完成登簿，补正材料的时间不计入登记事项的办理时限。关键性材料是指，首次登记中的不动产权属来源材料；转移登记中的证明转移事项的材料；非公证继承</w:t>
      </w:r>
      <w:r>
        <w:rPr>
          <w:rFonts w:hint="eastAsia" w:ascii="宋体" w:hAnsi="宋体" w:eastAsia="宋体" w:cs="宋体"/>
          <w:b w:val="0"/>
          <w:bCs w:val="0"/>
          <w:snapToGrid w:val="0"/>
          <w:color w:val="000000"/>
          <w:spacing w:val="-7"/>
          <w:kern w:val="0"/>
          <w:sz w:val="24"/>
          <w:szCs w:val="24"/>
          <w:lang w:val="en-US" w:eastAsia="zh-CN" w:bidi="ar-SA"/>
        </w:rPr>
        <w:t>（</w:t>
      </w:r>
      <w:r>
        <w:rPr>
          <w:rFonts w:hint="eastAsia" w:ascii="宋体" w:hAnsi="宋体" w:eastAsia="宋体" w:cs="宋体"/>
          <w:b w:val="0"/>
          <w:bCs w:val="0"/>
          <w:snapToGrid w:val="0"/>
          <w:color w:val="000000"/>
          <w:spacing w:val="-7"/>
          <w:kern w:val="0"/>
          <w:sz w:val="24"/>
          <w:szCs w:val="24"/>
          <w:lang w:val="en-US" w:eastAsia="en-US" w:bidi="ar-SA"/>
        </w:rPr>
        <w:t>受遗赠</w:t>
      </w:r>
      <w:r>
        <w:rPr>
          <w:rFonts w:hint="eastAsia" w:ascii="宋体" w:hAnsi="宋体" w:eastAsia="宋体" w:cs="宋体"/>
          <w:b w:val="0"/>
          <w:bCs w:val="0"/>
          <w:snapToGrid w:val="0"/>
          <w:color w:val="000000"/>
          <w:spacing w:val="-7"/>
          <w:kern w:val="0"/>
          <w:sz w:val="24"/>
          <w:szCs w:val="24"/>
          <w:lang w:val="en-US" w:eastAsia="zh-CN" w:bidi="ar-SA"/>
        </w:rPr>
        <w:t>）</w:t>
      </w:r>
      <w:r>
        <w:rPr>
          <w:rFonts w:hint="eastAsia" w:ascii="宋体" w:hAnsi="宋体" w:eastAsia="宋体" w:cs="宋体"/>
          <w:b w:val="0"/>
          <w:bCs w:val="0"/>
          <w:snapToGrid w:val="0"/>
          <w:color w:val="000000"/>
          <w:spacing w:val="-7"/>
          <w:kern w:val="0"/>
          <w:sz w:val="24"/>
          <w:szCs w:val="24"/>
          <w:lang w:val="en-US" w:eastAsia="en-US" w:bidi="ar-SA"/>
        </w:rPr>
        <w:t>登记中确定死亡事实、继承协议、继承人范围的材料等</w:t>
      </w:r>
      <w:r>
        <w:rPr>
          <w:rFonts w:hint="eastAsia" w:ascii="宋体" w:hAnsi="宋体" w:eastAsia="宋体" w:cs="宋体"/>
          <w:b w:val="0"/>
          <w:bCs w:val="0"/>
          <w:snapToGrid w:val="0"/>
          <w:color w:val="000000"/>
          <w:spacing w:val="-7"/>
          <w:kern w:val="0"/>
          <w:sz w:val="24"/>
          <w:szCs w:val="24"/>
          <w:lang w:val="en-US" w:eastAsia="zh-CN" w:bidi="ar-SA"/>
        </w:rPr>
        <w:t>。</w:t>
      </w:r>
      <w:r>
        <w:rPr>
          <w:rFonts w:hint="eastAsia" w:ascii="宋体" w:hAnsi="宋体" w:eastAsia="宋体" w:cs="宋体"/>
          <w:b w:val="0"/>
          <w:bCs w:val="0"/>
          <w:snapToGrid w:val="0"/>
          <w:color w:val="000000"/>
          <w:spacing w:val="-7"/>
          <w:kern w:val="0"/>
          <w:sz w:val="24"/>
          <w:szCs w:val="24"/>
          <w:lang w:val="en-US" w:eastAsia="en-US" w:bidi="ar-SA"/>
        </w:rPr>
        <w:t>告知承诺制。告知承诺制是指在不动产登记过程中，申请人穷尽调查取证手段仍无法获取的证明材料，如死亡证明、亲属关系证明等材料，可以通过书面告知承诺的方式代替。告知承诺制应当遵循自愿、诚信原则，不得损害国家、集体或他人合法权益。书面承诺若有隐瞒实际情况，给他人造成损失的，需承担包括经济赔偿、信用惩戒等在内的相关法律责任。</w:t>
      </w:r>
      <w:r>
        <w:rPr>
          <w:rFonts w:hint="eastAsia" w:ascii="楷体" w:hAnsi="楷体" w:eastAsia="楷体" w:cs="楷体"/>
          <w:snapToGrid w:val="0"/>
          <w:color w:val="000000"/>
          <w:spacing w:val="-8"/>
          <w:kern w:val="0"/>
          <w:sz w:val="24"/>
          <w:szCs w:val="24"/>
          <w:lang w:val="en-US" w:eastAsia="zh-CN" w:bidi="ar-SA"/>
        </w:rPr>
        <w:t>（</w:t>
      </w:r>
      <w:r>
        <w:rPr>
          <w:rFonts w:hint="eastAsia" w:ascii="楷体" w:hAnsi="楷体" w:eastAsia="楷体" w:cs="楷体"/>
          <w:snapToGrid w:val="0"/>
          <w:color w:val="000000"/>
          <w:spacing w:val="-8"/>
          <w:kern w:val="0"/>
          <w:sz w:val="24"/>
          <w:szCs w:val="24"/>
          <w:lang w:val="en-US" w:eastAsia="en-US" w:bidi="ar-SA"/>
        </w:rPr>
        <w:t>广水市自然资源和规划局</w:t>
      </w:r>
      <w:r>
        <w:rPr>
          <w:rFonts w:hint="eastAsia" w:ascii="楷体" w:hAnsi="楷体" w:eastAsia="楷体" w:cs="楷体"/>
          <w:snapToGrid w:val="0"/>
          <w:color w:val="000000"/>
          <w:spacing w:val="-8"/>
          <w:kern w:val="0"/>
          <w:sz w:val="24"/>
          <w:szCs w:val="24"/>
          <w:lang w:val="en-US" w:eastAsia="zh-CN" w:bidi="ar-SA"/>
        </w:rPr>
        <w:t>《</w:t>
      </w:r>
      <w:r>
        <w:rPr>
          <w:rFonts w:hint="eastAsia" w:ascii="楷体" w:hAnsi="楷体" w:eastAsia="楷体" w:cs="楷体"/>
          <w:snapToGrid w:val="0"/>
          <w:color w:val="000000"/>
          <w:spacing w:val="-8"/>
          <w:kern w:val="0"/>
          <w:sz w:val="24"/>
          <w:szCs w:val="24"/>
          <w:lang w:val="en-US" w:eastAsia="en-US" w:bidi="ar-SA"/>
        </w:rPr>
        <w:t>关于推行不动产登记告知承诺制和容缺受理服务的实施方案</w:t>
      </w:r>
      <w:r>
        <w:rPr>
          <w:rFonts w:hint="eastAsia" w:ascii="楷体" w:hAnsi="楷体" w:eastAsia="楷体" w:cs="楷体"/>
          <w:snapToGrid w:val="0"/>
          <w:color w:val="000000"/>
          <w:spacing w:val="-8"/>
          <w:kern w:val="0"/>
          <w:sz w:val="24"/>
          <w:szCs w:val="24"/>
          <w:lang w:val="en-US" w:eastAsia="zh-CN" w:bidi="ar-SA"/>
        </w:rPr>
        <w:t>》）</w:t>
      </w:r>
    </w:p>
    <w:p w14:paraId="12DC9CDF">
      <w:pPr>
        <w:pStyle w:val="5"/>
        <w:keepNext w:val="0"/>
        <w:keepLines w:val="0"/>
        <w:widowControl/>
        <w:numPr>
          <w:ilvl w:val="0"/>
          <w:numId w:val="0"/>
        </w:numPr>
        <w:suppressLineNumbers w:val="0"/>
        <w:spacing w:before="0" w:beforeAutospacing="0" w:after="0" w:afterAutospacing="0"/>
        <w:ind w:left="0" w:leftChars="0" w:right="0" w:rightChars="0" w:firstLine="452" w:firstLineChars="200"/>
        <w:rPr>
          <w:rFonts w:hint="eastAsia" w:ascii="楷体" w:hAnsi="楷体" w:eastAsia="楷体" w:cs="楷体"/>
          <w:snapToGrid w:val="0"/>
          <w:color w:val="000000"/>
          <w:spacing w:val="-8"/>
          <w:kern w:val="0"/>
          <w:sz w:val="24"/>
          <w:szCs w:val="24"/>
          <w:lang w:val="en-US" w:eastAsia="zh-CN" w:bidi="ar-SA"/>
        </w:rPr>
      </w:pPr>
      <w:r>
        <w:rPr>
          <w:rFonts w:hint="eastAsia" w:ascii="宋体" w:hAnsi="宋体" w:eastAsia="宋体" w:cs="宋体"/>
          <w:b w:val="0"/>
          <w:bCs w:val="0"/>
          <w:snapToGrid w:val="0"/>
          <w:color w:val="000000"/>
          <w:spacing w:val="-7"/>
          <w:kern w:val="0"/>
          <w:sz w:val="24"/>
          <w:szCs w:val="24"/>
          <w:lang w:val="en-US" w:eastAsia="zh-CN" w:bidi="ar-SA"/>
        </w:rPr>
        <w:t>38、</w:t>
      </w:r>
      <w:r>
        <w:rPr>
          <w:rFonts w:hint="eastAsia" w:ascii="宋体" w:hAnsi="宋体" w:eastAsia="宋体" w:cs="宋体"/>
          <w:b w:val="0"/>
          <w:bCs w:val="0"/>
          <w:snapToGrid w:val="0"/>
          <w:color w:val="000000"/>
          <w:spacing w:val="-7"/>
          <w:kern w:val="0"/>
          <w:sz w:val="24"/>
          <w:szCs w:val="24"/>
          <w:lang w:val="en-US" w:eastAsia="en-US" w:bidi="ar-SA"/>
        </w:rPr>
        <w:t>帮办服务：帮助申请人办理不动产登记提供办事引导、政策咨询、材料预审、填表指导、部门协调、上门走访等服务。代办服务：指导申请人熟悉委托代办不动产登记流程，接受申请人委托代为提交申请材料办理，实时跟踪办理进度，对进展情况进行跟踪记录并及时向申请人反馈。</w:t>
      </w:r>
      <w:r>
        <w:rPr>
          <w:rFonts w:hint="eastAsia" w:ascii="楷体" w:hAnsi="楷体" w:eastAsia="楷体" w:cs="楷体"/>
          <w:snapToGrid w:val="0"/>
          <w:color w:val="000000"/>
          <w:spacing w:val="-8"/>
          <w:kern w:val="0"/>
          <w:sz w:val="24"/>
          <w:szCs w:val="24"/>
          <w:lang w:val="en-US" w:eastAsia="zh-CN" w:bidi="ar-SA"/>
        </w:rPr>
        <w:t>（</w:t>
      </w:r>
      <w:r>
        <w:rPr>
          <w:rFonts w:hint="eastAsia" w:ascii="楷体" w:hAnsi="楷体" w:eastAsia="楷体" w:cs="楷体"/>
          <w:snapToGrid w:val="0"/>
          <w:color w:val="000000"/>
          <w:spacing w:val="-8"/>
          <w:kern w:val="0"/>
          <w:sz w:val="24"/>
          <w:szCs w:val="24"/>
          <w:lang w:val="en-US" w:eastAsia="en-US" w:bidi="ar-SA"/>
        </w:rPr>
        <w:t>广水市自然资源和规划局</w:t>
      </w:r>
      <w:r>
        <w:rPr>
          <w:rFonts w:hint="eastAsia" w:ascii="楷体" w:hAnsi="楷体" w:eastAsia="楷体" w:cs="楷体"/>
          <w:snapToGrid w:val="0"/>
          <w:color w:val="000000"/>
          <w:spacing w:val="-8"/>
          <w:kern w:val="0"/>
          <w:sz w:val="24"/>
          <w:szCs w:val="24"/>
          <w:lang w:val="en-US" w:eastAsia="zh-CN" w:bidi="ar-SA"/>
        </w:rPr>
        <w:t>、</w:t>
      </w:r>
      <w:r>
        <w:rPr>
          <w:rFonts w:hint="eastAsia" w:ascii="楷体" w:hAnsi="楷体" w:eastAsia="楷体" w:cs="楷体"/>
          <w:snapToGrid w:val="0"/>
          <w:color w:val="000000"/>
          <w:spacing w:val="-8"/>
          <w:kern w:val="0"/>
          <w:sz w:val="24"/>
          <w:szCs w:val="24"/>
          <w:lang w:val="en-US" w:eastAsia="en-US" w:bidi="ar-SA"/>
        </w:rPr>
        <w:t>市自然资源和规划局</w:t>
      </w:r>
      <w:r>
        <w:rPr>
          <w:rFonts w:hint="eastAsia" w:ascii="楷体" w:hAnsi="楷体" w:eastAsia="楷体" w:cs="楷体"/>
          <w:snapToGrid w:val="0"/>
          <w:color w:val="000000"/>
          <w:spacing w:val="-8"/>
          <w:kern w:val="0"/>
          <w:sz w:val="24"/>
          <w:szCs w:val="24"/>
          <w:lang w:val="en-US" w:eastAsia="zh-CN" w:bidi="ar-SA"/>
        </w:rPr>
        <w:t>《</w:t>
      </w:r>
      <w:r>
        <w:rPr>
          <w:rFonts w:hint="eastAsia" w:ascii="楷体" w:hAnsi="楷体" w:eastAsia="楷体" w:cs="楷体"/>
          <w:snapToGrid w:val="0"/>
          <w:color w:val="000000"/>
          <w:spacing w:val="-8"/>
          <w:kern w:val="0"/>
          <w:sz w:val="24"/>
          <w:szCs w:val="24"/>
          <w:lang w:val="en-US" w:eastAsia="en-US" w:bidi="ar-SA"/>
        </w:rPr>
        <w:t>关于为申请人提供不动产登记帮办代办服务的通知</w:t>
      </w:r>
      <w:r>
        <w:rPr>
          <w:rFonts w:hint="eastAsia" w:ascii="楷体" w:hAnsi="楷体" w:eastAsia="楷体" w:cs="楷体"/>
          <w:snapToGrid w:val="0"/>
          <w:color w:val="000000"/>
          <w:spacing w:val="-8"/>
          <w:kern w:val="0"/>
          <w:sz w:val="24"/>
          <w:szCs w:val="24"/>
          <w:lang w:val="en-US" w:eastAsia="zh-CN" w:bidi="ar-SA"/>
        </w:rPr>
        <w:t>》）</w:t>
      </w:r>
    </w:p>
    <w:p w14:paraId="5915B94C">
      <w:pPr>
        <w:pStyle w:val="5"/>
        <w:keepNext w:val="0"/>
        <w:keepLines w:val="0"/>
        <w:widowControl/>
        <w:numPr>
          <w:ilvl w:val="0"/>
          <w:numId w:val="0"/>
        </w:numPr>
        <w:suppressLineNumbers w:val="0"/>
        <w:spacing w:before="0" w:beforeAutospacing="0" w:after="0" w:afterAutospacing="0"/>
        <w:ind w:left="0" w:leftChars="0" w:right="0" w:rightChars="0" w:firstLine="448" w:firstLineChars="200"/>
        <w:rPr>
          <w:rFonts w:hint="eastAsia" w:ascii="楷体" w:hAnsi="楷体" w:eastAsia="楷体" w:cs="楷体"/>
          <w:snapToGrid w:val="0"/>
          <w:color w:val="000000"/>
          <w:spacing w:val="-8"/>
          <w:kern w:val="0"/>
          <w:sz w:val="24"/>
          <w:szCs w:val="24"/>
          <w:lang w:val="en-US" w:eastAsia="zh-CN" w:bidi="ar-SA"/>
        </w:rPr>
      </w:pPr>
      <w:r>
        <w:rPr>
          <w:rFonts w:hint="eastAsia" w:ascii="楷体" w:hAnsi="楷体" w:eastAsia="楷体" w:cs="楷体"/>
          <w:snapToGrid w:val="0"/>
          <w:color w:val="000000"/>
          <w:spacing w:val="-8"/>
          <w:kern w:val="0"/>
          <w:sz w:val="24"/>
          <w:szCs w:val="24"/>
          <w:lang w:val="en-US" w:eastAsia="zh-CN" w:bidi="ar-SA"/>
        </w:rPr>
        <w:t>39、</w:t>
      </w:r>
      <w:r>
        <w:rPr>
          <w:rFonts w:hint="eastAsia" w:ascii="宋体" w:hAnsi="宋体" w:eastAsia="宋体" w:cs="宋体"/>
          <w:b w:val="0"/>
          <w:bCs w:val="0"/>
          <w:snapToGrid w:val="0"/>
          <w:color w:val="000000"/>
          <w:spacing w:val="-7"/>
          <w:kern w:val="0"/>
          <w:sz w:val="24"/>
          <w:szCs w:val="24"/>
          <w:lang w:val="en-US" w:eastAsia="en-US" w:bidi="ar-SA"/>
        </w:rPr>
        <w:t>当事人按揭购买预售商品房的，买卖双方可在签订买卖合同环节一并约定由购房人单方或买卖双方共同申请办理预告登记等事项，依法申请办理预购商品房预告登记。将预购商品房预告登记事项纳入备案合同条款，明确出卖人应配合办理商品房预告登记。对于全款购买预售商品房的，依据预告登记约定，购房人可自行办理预购商品房预告登记。对于按揭</w:t>
      </w:r>
      <w:r>
        <w:rPr>
          <w:rFonts w:hint="eastAsia" w:ascii="宋体" w:hAnsi="宋体" w:eastAsia="宋体" w:cs="宋体"/>
          <w:b w:val="0"/>
          <w:bCs w:val="0"/>
          <w:snapToGrid w:val="0"/>
          <w:color w:val="000000"/>
          <w:spacing w:val="-7"/>
          <w:kern w:val="0"/>
          <w:sz w:val="24"/>
          <w:szCs w:val="24"/>
          <w:lang w:val="en-US" w:eastAsia="zh-CN" w:bidi="ar-SA"/>
        </w:rPr>
        <w:t>（</w:t>
      </w:r>
      <w:r>
        <w:rPr>
          <w:rFonts w:hint="eastAsia" w:ascii="宋体" w:hAnsi="宋体" w:eastAsia="宋体" w:cs="宋体"/>
          <w:b w:val="0"/>
          <w:bCs w:val="0"/>
          <w:snapToGrid w:val="0"/>
          <w:color w:val="000000"/>
          <w:spacing w:val="-7"/>
          <w:kern w:val="0"/>
          <w:sz w:val="24"/>
          <w:szCs w:val="24"/>
          <w:lang w:val="en-US" w:eastAsia="en-US" w:bidi="ar-SA"/>
        </w:rPr>
        <w:t>含住房公积金贷款</w:t>
      </w:r>
      <w:r>
        <w:rPr>
          <w:rFonts w:hint="eastAsia" w:ascii="宋体" w:hAnsi="宋体" w:eastAsia="宋体" w:cs="宋体"/>
          <w:b w:val="0"/>
          <w:bCs w:val="0"/>
          <w:snapToGrid w:val="0"/>
          <w:color w:val="000000"/>
          <w:spacing w:val="-7"/>
          <w:kern w:val="0"/>
          <w:sz w:val="24"/>
          <w:szCs w:val="24"/>
          <w:lang w:val="en-US" w:eastAsia="zh-CN" w:bidi="ar-SA"/>
        </w:rPr>
        <w:t>）</w:t>
      </w:r>
      <w:r>
        <w:rPr>
          <w:rFonts w:hint="eastAsia" w:ascii="宋体" w:hAnsi="宋体" w:eastAsia="宋体" w:cs="宋体"/>
          <w:b w:val="0"/>
          <w:bCs w:val="0"/>
          <w:snapToGrid w:val="0"/>
          <w:color w:val="000000"/>
          <w:spacing w:val="-7"/>
          <w:kern w:val="0"/>
          <w:sz w:val="24"/>
          <w:szCs w:val="24"/>
          <w:lang w:val="en-US" w:eastAsia="en-US" w:bidi="ar-SA"/>
        </w:rPr>
        <w:t>购买预售商品房的，依据预告登记约定，可申请办理预购商品房预告登记、抵押预告登记的组合登记。</w:t>
      </w:r>
      <w:r>
        <w:rPr>
          <w:rFonts w:hint="eastAsia" w:ascii="楷体" w:hAnsi="楷体" w:eastAsia="楷体" w:cs="楷体"/>
          <w:snapToGrid w:val="0"/>
          <w:color w:val="000000"/>
          <w:spacing w:val="-8"/>
          <w:kern w:val="0"/>
          <w:sz w:val="24"/>
          <w:szCs w:val="24"/>
          <w:lang w:val="en-US" w:eastAsia="zh-CN" w:bidi="ar-SA"/>
        </w:rPr>
        <w:t>（</w:t>
      </w:r>
      <w:r>
        <w:rPr>
          <w:rFonts w:hint="eastAsia" w:ascii="楷体" w:hAnsi="楷体" w:eastAsia="楷体" w:cs="楷体"/>
          <w:snapToGrid w:val="0"/>
          <w:color w:val="000000"/>
          <w:spacing w:val="-8"/>
          <w:kern w:val="0"/>
          <w:sz w:val="24"/>
          <w:szCs w:val="24"/>
          <w:lang w:val="en-US" w:eastAsia="en-US" w:bidi="ar-SA"/>
        </w:rPr>
        <w:t>广水市优化营商环境工作领导小组办公室</w:t>
      </w:r>
      <w:r>
        <w:rPr>
          <w:rFonts w:hint="eastAsia" w:ascii="楷体" w:hAnsi="楷体" w:eastAsia="楷体" w:cs="楷体"/>
          <w:snapToGrid w:val="0"/>
          <w:color w:val="000000"/>
          <w:spacing w:val="-8"/>
          <w:kern w:val="0"/>
          <w:sz w:val="24"/>
          <w:szCs w:val="24"/>
          <w:lang w:val="en-US" w:eastAsia="zh-CN" w:bidi="ar-SA"/>
        </w:rPr>
        <w:t>《</w:t>
      </w:r>
      <w:r>
        <w:rPr>
          <w:rFonts w:hint="eastAsia" w:ascii="楷体" w:hAnsi="楷体" w:eastAsia="楷体" w:cs="楷体"/>
          <w:snapToGrid w:val="0"/>
          <w:color w:val="000000"/>
          <w:spacing w:val="-8"/>
          <w:kern w:val="0"/>
          <w:sz w:val="24"/>
          <w:szCs w:val="24"/>
          <w:lang w:val="en-US" w:eastAsia="en-US" w:bidi="ar-SA"/>
        </w:rPr>
        <w:t>关于印发广水市预购商品房双预告登记转本登记办理实施方案的通知</w:t>
      </w:r>
      <w:r>
        <w:rPr>
          <w:rFonts w:hint="eastAsia" w:ascii="楷体" w:hAnsi="楷体" w:eastAsia="楷体" w:cs="楷体"/>
          <w:snapToGrid w:val="0"/>
          <w:color w:val="000000"/>
          <w:spacing w:val="-8"/>
          <w:kern w:val="0"/>
          <w:sz w:val="24"/>
          <w:szCs w:val="24"/>
          <w:lang w:val="en-US" w:eastAsia="zh-CN" w:bidi="ar-SA"/>
        </w:rPr>
        <w:t>》）</w:t>
      </w:r>
    </w:p>
    <w:p w14:paraId="671E25F3">
      <w:pPr>
        <w:pStyle w:val="5"/>
        <w:keepNext w:val="0"/>
        <w:keepLines w:val="0"/>
        <w:widowControl/>
        <w:numPr>
          <w:ilvl w:val="0"/>
          <w:numId w:val="0"/>
        </w:numPr>
        <w:suppressLineNumbers w:val="0"/>
        <w:spacing w:before="0" w:beforeAutospacing="0" w:after="0" w:afterAutospacing="0"/>
        <w:ind w:left="0" w:leftChars="0" w:right="0" w:rightChars="0" w:firstLine="448" w:firstLineChars="200"/>
        <w:rPr>
          <w:rFonts w:hint="eastAsia" w:ascii="楷体" w:hAnsi="楷体" w:eastAsia="楷体" w:cs="楷体"/>
          <w:snapToGrid w:val="0"/>
          <w:color w:val="000000"/>
          <w:spacing w:val="-8"/>
          <w:kern w:val="0"/>
          <w:sz w:val="24"/>
          <w:szCs w:val="24"/>
          <w:lang w:val="en-US" w:eastAsia="zh-CN" w:bidi="ar-SA"/>
        </w:rPr>
      </w:pPr>
      <w:r>
        <w:rPr>
          <w:rFonts w:hint="eastAsia" w:ascii="楷体" w:hAnsi="楷体" w:eastAsia="楷体" w:cs="楷体"/>
          <w:snapToGrid w:val="0"/>
          <w:color w:val="000000"/>
          <w:spacing w:val="-8"/>
          <w:kern w:val="0"/>
          <w:sz w:val="24"/>
          <w:szCs w:val="24"/>
          <w:lang w:val="en-US" w:eastAsia="zh-CN" w:bidi="ar-SA"/>
        </w:rPr>
        <w:t>40、</w:t>
      </w:r>
      <w:r>
        <w:rPr>
          <w:rFonts w:hint="eastAsia" w:ascii="宋体" w:hAnsi="宋体" w:eastAsia="宋体" w:cs="宋体"/>
          <w:b w:val="0"/>
          <w:bCs w:val="0"/>
          <w:snapToGrid w:val="0"/>
          <w:color w:val="000000"/>
          <w:spacing w:val="-7"/>
          <w:kern w:val="0"/>
          <w:sz w:val="24"/>
          <w:szCs w:val="24"/>
          <w:lang w:val="en-US" w:eastAsia="en-US" w:bidi="ar-SA"/>
        </w:rPr>
        <w:t>存量房“带押过户”模式，是指已取得不动产权证书的房屋，如设定了抵押权且需上市交易的，在不提前还清贷款的情况下，直接办理过户、重新抵押并发放新的贷款，实现用购房款还旧贷款</w:t>
      </w:r>
      <w:r>
        <w:rPr>
          <w:rFonts w:hint="eastAsia" w:ascii="宋体" w:hAnsi="宋体" w:eastAsia="宋体" w:cs="宋体"/>
          <w:b w:val="0"/>
          <w:bCs w:val="0"/>
          <w:snapToGrid w:val="0"/>
          <w:color w:val="000000"/>
          <w:spacing w:val="-7"/>
          <w:kern w:val="0"/>
          <w:sz w:val="24"/>
          <w:szCs w:val="24"/>
          <w:lang w:val="en-US" w:eastAsia="zh-CN" w:bidi="ar-SA"/>
        </w:rPr>
        <w:t>（</w:t>
      </w:r>
      <w:r>
        <w:rPr>
          <w:rFonts w:hint="eastAsia" w:ascii="宋体" w:hAnsi="宋体" w:eastAsia="宋体" w:cs="宋体"/>
          <w:b w:val="0"/>
          <w:bCs w:val="0"/>
          <w:snapToGrid w:val="0"/>
          <w:color w:val="000000"/>
          <w:spacing w:val="-7"/>
          <w:kern w:val="0"/>
          <w:sz w:val="24"/>
          <w:szCs w:val="24"/>
          <w:lang w:val="en-US" w:eastAsia="en-US" w:bidi="ar-SA"/>
        </w:rPr>
        <w:t>使用买方的购房资金来偿还卖方银行或公积金中心的贷款</w:t>
      </w:r>
      <w:r>
        <w:rPr>
          <w:rFonts w:hint="eastAsia" w:ascii="宋体" w:hAnsi="宋体" w:eastAsia="宋体" w:cs="宋体"/>
          <w:b w:val="0"/>
          <w:bCs w:val="0"/>
          <w:snapToGrid w:val="0"/>
          <w:color w:val="000000"/>
          <w:spacing w:val="-7"/>
          <w:kern w:val="0"/>
          <w:sz w:val="24"/>
          <w:szCs w:val="24"/>
          <w:lang w:val="en-US" w:eastAsia="zh-CN" w:bidi="ar-SA"/>
        </w:rPr>
        <w:t>）</w:t>
      </w:r>
      <w:r>
        <w:rPr>
          <w:rFonts w:hint="eastAsia" w:ascii="宋体" w:hAnsi="宋体" w:eastAsia="宋体" w:cs="宋体"/>
          <w:b w:val="0"/>
          <w:bCs w:val="0"/>
          <w:snapToGrid w:val="0"/>
          <w:color w:val="000000"/>
          <w:spacing w:val="-7"/>
          <w:kern w:val="0"/>
          <w:sz w:val="24"/>
          <w:szCs w:val="24"/>
          <w:lang w:val="en-US" w:eastAsia="en-US" w:bidi="ar-SA"/>
        </w:rPr>
        <w:t>。在存量房“带押过户”过程中，通过推行抵押权注销登记、存量房转移登记、抵押权首次登记三业务合并办理的模式，优化业务流程，实现存量房交易更加高效、便捷。</w:t>
      </w:r>
      <w:r>
        <w:rPr>
          <w:rFonts w:hint="eastAsia" w:ascii="楷体" w:hAnsi="楷体" w:eastAsia="楷体" w:cs="楷体"/>
          <w:snapToGrid w:val="0"/>
          <w:color w:val="000000"/>
          <w:spacing w:val="-8"/>
          <w:kern w:val="0"/>
          <w:sz w:val="24"/>
          <w:szCs w:val="24"/>
          <w:lang w:val="en-US" w:eastAsia="zh-CN" w:bidi="ar-SA"/>
        </w:rPr>
        <w:t>（《</w:t>
      </w:r>
      <w:r>
        <w:rPr>
          <w:rFonts w:hint="eastAsia" w:ascii="楷体" w:hAnsi="楷体" w:eastAsia="楷体" w:cs="楷体"/>
          <w:snapToGrid w:val="0"/>
          <w:color w:val="000000"/>
          <w:spacing w:val="-8"/>
          <w:kern w:val="0"/>
          <w:sz w:val="24"/>
          <w:szCs w:val="24"/>
          <w:lang w:val="en-US" w:eastAsia="en-US" w:bidi="ar-SA"/>
        </w:rPr>
        <w:t>中共广水市委全面深化改革委员会办公室关于印发</w:t>
      </w:r>
      <w:r>
        <w:rPr>
          <w:rFonts w:hint="eastAsia" w:ascii="楷体" w:hAnsi="楷体" w:eastAsia="楷体" w:cs="楷体"/>
          <w:snapToGrid w:val="0"/>
          <w:color w:val="000000"/>
          <w:spacing w:val="-8"/>
          <w:kern w:val="0"/>
          <w:sz w:val="24"/>
          <w:szCs w:val="24"/>
          <w:lang w:val="en-US" w:eastAsia="zh-CN" w:bidi="ar-SA"/>
        </w:rPr>
        <w:t>〈</w:t>
      </w:r>
      <w:r>
        <w:rPr>
          <w:rFonts w:hint="eastAsia" w:ascii="楷体" w:hAnsi="楷体" w:eastAsia="楷体" w:cs="楷体"/>
          <w:snapToGrid w:val="0"/>
          <w:color w:val="000000"/>
          <w:spacing w:val="-8"/>
          <w:kern w:val="0"/>
          <w:sz w:val="24"/>
          <w:szCs w:val="24"/>
          <w:lang w:val="en-US" w:eastAsia="en-US" w:bidi="ar-SA"/>
        </w:rPr>
        <w:t>广水市推行存量房“带押过户”模式的工作方案</w:t>
      </w:r>
      <w:r>
        <w:rPr>
          <w:rFonts w:hint="eastAsia" w:ascii="楷体" w:hAnsi="楷体" w:eastAsia="楷体" w:cs="楷体"/>
          <w:snapToGrid w:val="0"/>
          <w:color w:val="000000"/>
          <w:spacing w:val="-8"/>
          <w:kern w:val="0"/>
          <w:sz w:val="24"/>
          <w:szCs w:val="24"/>
          <w:lang w:val="en-US" w:eastAsia="zh-CN" w:bidi="ar-SA"/>
        </w:rPr>
        <w:t>〉</w:t>
      </w:r>
      <w:r>
        <w:rPr>
          <w:rFonts w:hint="eastAsia" w:ascii="楷体" w:hAnsi="楷体" w:eastAsia="楷体" w:cs="楷体"/>
          <w:snapToGrid w:val="0"/>
          <w:color w:val="000000"/>
          <w:spacing w:val="-8"/>
          <w:kern w:val="0"/>
          <w:sz w:val="24"/>
          <w:szCs w:val="24"/>
          <w:lang w:val="en-US" w:eastAsia="en-US" w:bidi="ar-SA"/>
        </w:rPr>
        <w:t>的通知</w:t>
      </w:r>
      <w:r>
        <w:rPr>
          <w:rFonts w:hint="eastAsia" w:ascii="楷体" w:hAnsi="楷体" w:eastAsia="楷体" w:cs="楷体"/>
          <w:snapToGrid w:val="0"/>
          <w:color w:val="000000"/>
          <w:spacing w:val="-8"/>
          <w:kern w:val="0"/>
          <w:sz w:val="24"/>
          <w:szCs w:val="24"/>
          <w:lang w:val="en-US" w:eastAsia="zh-CN" w:bidi="ar-SA"/>
        </w:rPr>
        <w:t>》</w:t>
      </w:r>
      <w:r>
        <w:rPr>
          <w:rFonts w:hint="eastAsia" w:ascii="楷体" w:hAnsi="楷体" w:eastAsia="楷体" w:cs="楷体"/>
          <w:snapToGrid w:val="0"/>
          <w:color w:val="000000"/>
          <w:spacing w:val="-8"/>
          <w:kern w:val="0"/>
          <w:sz w:val="24"/>
          <w:szCs w:val="24"/>
          <w:lang w:val="en-US" w:eastAsia="en-US" w:bidi="ar-SA"/>
        </w:rPr>
        <w:t>广改办发〔2023〕1号</w:t>
      </w:r>
      <w:r>
        <w:rPr>
          <w:rFonts w:hint="eastAsia" w:ascii="楷体" w:hAnsi="楷体" w:eastAsia="楷体" w:cs="楷体"/>
          <w:snapToGrid w:val="0"/>
          <w:color w:val="000000"/>
          <w:spacing w:val="-8"/>
          <w:kern w:val="0"/>
          <w:sz w:val="24"/>
          <w:szCs w:val="24"/>
          <w:lang w:val="en-US" w:eastAsia="zh-CN" w:bidi="ar-SA"/>
        </w:rPr>
        <w:t>）</w:t>
      </w:r>
    </w:p>
    <w:p w14:paraId="3DD4E820">
      <w:pPr>
        <w:pStyle w:val="5"/>
        <w:keepNext w:val="0"/>
        <w:keepLines w:val="0"/>
        <w:widowControl/>
        <w:numPr>
          <w:ilvl w:val="0"/>
          <w:numId w:val="0"/>
        </w:numPr>
        <w:suppressLineNumbers w:val="0"/>
        <w:spacing w:before="0" w:beforeAutospacing="0" w:after="0" w:afterAutospacing="0"/>
        <w:ind w:leftChars="0" w:right="0" w:rightChars="0" w:firstLine="452" w:firstLineChars="200"/>
        <w:jc w:val="left"/>
        <w:rPr>
          <w:rFonts w:hint="eastAsia" w:ascii="楷体" w:hAnsi="楷体" w:eastAsia="楷体" w:cs="楷体"/>
          <w:snapToGrid w:val="0"/>
          <w:color w:val="000000"/>
          <w:spacing w:val="-8"/>
          <w:kern w:val="0"/>
          <w:sz w:val="24"/>
          <w:szCs w:val="24"/>
          <w:lang w:val="en-US" w:eastAsia="zh-CN" w:bidi="ar-SA"/>
        </w:rPr>
      </w:pPr>
      <w:r>
        <w:rPr>
          <w:rFonts w:hint="eastAsia" w:ascii="宋体" w:hAnsi="宋体" w:eastAsia="宋体" w:cs="宋体"/>
          <w:b w:val="0"/>
          <w:bCs w:val="0"/>
          <w:snapToGrid w:val="0"/>
          <w:color w:val="000000"/>
          <w:spacing w:val="-7"/>
          <w:kern w:val="0"/>
          <w:sz w:val="24"/>
          <w:szCs w:val="24"/>
          <w:lang w:val="en-US" w:eastAsia="zh-CN" w:bidi="ar-SA"/>
        </w:rPr>
        <w:t>41、</w:t>
      </w:r>
      <w:r>
        <w:rPr>
          <w:rFonts w:hint="eastAsia" w:ascii="宋体" w:hAnsi="宋体" w:eastAsia="宋体" w:cs="宋体"/>
          <w:b w:val="0"/>
          <w:bCs w:val="0"/>
          <w:snapToGrid w:val="0"/>
          <w:color w:val="000000"/>
          <w:spacing w:val="-7"/>
          <w:kern w:val="0"/>
          <w:sz w:val="24"/>
          <w:szCs w:val="24"/>
          <w:lang w:val="en-US" w:eastAsia="en-US" w:bidi="ar-SA"/>
        </w:rPr>
        <w:t>不动产登记申请人可不通过司法程序或公证方式，直接向不动产登记窗口提交相关资料和做出相应承诺申请办理继承转移登记。不动产登记中心在综合窗口开展非公证继承</w:t>
      </w:r>
      <w:r>
        <w:rPr>
          <w:rFonts w:hint="eastAsia" w:ascii="宋体" w:hAnsi="宋体" w:eastAsia="宋体" w:cs="宋体"/>
          <w:b w:val="0"/>
          <w:bCs w:val="0"/>
          <w:snapToGrid w:val="0"/>
          <w:color w:val="000000"/>
          <w:spacing w:val="-7"/>
          <w:kern w:val="0"/>
          <w:sz w:val="24"/>
          <w:szCs w:val="24"/>
          <w:lang w:val="en-US" w:eastAsia="zh-CN" w:bidi="ar-SA"/>
        </w:rPr>
        <w:t>（</w:t>
      </w:r>
      <w:r>
        <w:rPr>
          <w:rFonts w:hint="eastAsia" w:ascii="宋体" w:hAnsi="宋体" w:eastAsia="宋体" w:cs="宋体"/>
          <w:b w:val="0"/>
          <w:bCs w:val="0"/>
          <w:snapToGrid w:val="0"/>
          <w:color w:val="000000"/>
          <w:spacing w:val="-7"/>
          <w:kern w:val="0"/>
          <w:sz w:val="24"/>
          <w:szCs w:val="24"/>
          <w:lang w:val="en-US" w:eastAsia="en-US" w:bidi="ar-SA"/>
        </w:rPr>
        <w:t>受遗赠</w:t>
      </w:r>
      <w:r>
        <w:rPr>
          <w:rFonts w:hint="eastAsia" w:ascii="宋体" w:hAnsi="宋体" w:eastAsia="宋体" w:cs="宋体"/>
          <w:b w:val="0"/>
          <w:bCs w:val="0"/>
          <w:snapToGrid w:val="0"/>
          <w:color w:val="000000"/>
          <w:spacing w:val="-7"/>
          <w:kern w:val="0"/>
          <w:sz w:val="24"/>
          <w:szCs w:val="24"/>
          <w:lang w:val="en-US" w:eastAsia="zh-CN" w:bidi="ar-SA"/>
        </w:rPr>
        <w:t>）</w:t>
      </w:r>
      <w:r>
        <w:rPr>
          <w:rFonts w:hint="eastAsia" w:ascii="宋体" w:hAnsi="宋体" w:eastAsia="宋体" w:cs="宋体"/>
          <w:b w:val="0"/>
          <w:bCs w:val="0"/>
          <w:snapToGrid w:val="0"/>
          <w:color w:val="000000"/>
          <w:spacing w:val="-7"/>
          <w:kern w:val="0"/>
          <w:sz w:val="24"/>
          <w:szCs w:val="24"/>
          <w:lang w:val="en-US" w:eastAsia="en-US" w:bidi="ar-SA"/>
        </w:rPr>
        <w:t>业务办理，对符合条件的直接办理转移登记。</w:t>
      </w:r>
      <w:r>
        <w:rPr>
          <w:rFonts w:hint="eastAsia" w:ascii="楷体" w:hAnsi="楷体" w:eastAsia="楷体" w:cs="楷体"/>
          <w:snapToGrid w:val="0"/>
          <w:color w:val="000000"/>
          <w:spacing w:val="-8"/>
          <w:kern w:val="0"/>
          <w:sz w:val="24"/>
          <w:szCs w:val="24"/>
          <w:lang w:val="en-US" w:eastAsia="zh-CN" w:bidi="ar-SA"/>
        </w:rPr>
        <w:t>（《</w:t>
      </w:r>
      <w:r>
        <w:rPr>
          <w:rFonts w:hint="eastAsia" w:ascii="楷体" w:hAnsi="楷体" w:eastAsia="楷体" w:cs="楷体"/>
          <w:snapToGrid w:val="0"/>
          <w:color w:val="000000"/>
          <w:spacing w:val="-8"/>
          <w:kern w:val="0"/>
          <w:sz w:val="24"/>
          <w:szCs w:val="24"/>
          <w:lang w:val="en-US" w:eastAsia="en-US" w:bidi="ar-SA"/>
        </w:rPr>
        <w:t>市人民政府办公室关于印发广水市不动产非公证继承</w:t>
      </w:r>
      <w:r>
        <w:rPr>
          <w:rFonts w:hint="eastAsia" w:ascii="楷体" w:hAnsi="楷体" w:eastAsia="楷体" w:cs="楷体"/>
          <w:snapToGrid w:val="0"/>
          <w:color w:val="000000"/>
          <w:spacing w:val="-8"/>
          <w:kern w:val="0"/>
          <w:sz w:val="24"/>
          <w:szCs w:val="24"/>
          <w:lang w:val="en-US" w:eastAsia="zh-CN" w:bidi="ar-SA"/>
        </w:rPr>
        <w:t>（</w:t>
      </w:r>
      <w:r>
        <w:rPr>
          <w:rFonts w:hint="eastAsia" w:ascii="楷体" w:hAnsi="楷体" w:eastAsia="楷体" w:cs="楷体"/>
          <w:snapToGrid w:val="0"/>
          <w:color w:val="000000"/>
          <w:spacing w:val="-8"/>
          <w:kern w:val="0"/>
          <w:sz w:val="24"/>
          <w:szCs w:val="24"/>
          <w:lang w:val="en-US" w:eastAsia="en-US" w:bidi="ar-SA"/>
        </w:rPr>
        <w:t>受遗赠</w:t>
      </w:r>
      <w:r>
        <w:rPr>
          <w:rFonts w:hint="eastAsia" w:ascii="楷体" w:hAnsi="楷体" w:eastAsia="楷体" w:cs="楷体"/>
          <w:snapToGrid w:val="0"/>
          <w:color w:val="000000"/>
          <w:spacing w:val="-8"/>
          <w:kern w:val="0"/>
          <w:sz w:val="24"/>
          <w:szCs w:val="24"/>
          <w:lang w:val="en-US" w:eastAsia="zh-CN" w:bidi="ar-SA"/>
        </w:rPr>
        <w:t>）</w:t>
      </w:r>
      <w:r>
        <w:rPr>
          <w:rFonts w:hint="eastAsia" w:ascii="楷体" w:hAnsi="楷体" w:eastAsia="楷体" w:cs="楷体"/>
          <w:snapToGrid w:val="0"/>
          <w:color w:val="000000"/>
          <w:spacing w:val="-8"/>
          <w:kern w:val="0"/>
          <w:sz w:val="24"/>
          <w:szCs w:val="24"/>
          <w:lang w:val="en-US" w:eastAsia="en-US" w:bidi="ar-SA"/>
        </w:rPr>
        <w:t>先行区创建工作实施方案的通知</w:t>
      </w:r>
      <w:r>
        <w:rPr>
          <w:rFonts w:hint="eastAsia" w:ascii="楷体" w:hAnsi="楷体" w:eastAsia="楷体" w:cs="楷体"/>
          <w:snapToGrid w:val="0"/>
          <w:color w:val="000000"/>
          <w:spacing w:val="-8"/>
          <w:kern w:val="0"/>
          <w:sz w:val="24"/>
          <w:szCs w:val="24"/>
          <w:lang w:val="en-US" w:eastAsia="zh-CN" w:bidi="ar-SA"/>
        </w:rPr>
        <w:t>》</w:t>
      </w:r>
      <w:r>
        <w:rPr>
          <w:rFonts w:hint="eastAsia" w:ascii="楷体" w:hAnsi="楷体" w:eastAsia="楷体" w:cs="楷体"/>
          <w:snapToGrid w:val="0"/>
          <w:color w:val="000000"/>
          <w:spacing w:val="-8"/>
          <w:kern w:val="0"/>
          <w:sz w:val="24"/>
          <w:szCs w:val="24"/>
          <w:lang w:val="en-US" w:eastAsia="en-US" w:bidi="ar-SA"/>
        </w:rPr>
        <w:t>广政办函〔2023〕15号</w:t>
      </w:r>
      <w:r>
        <w:rPr>
          <w:rFonts w:hint="eastAsia" w:ascii="楷体" w:hAnsi="楷体" w:eastAsia="楷体" w:cs="楷体"/>
          <w:snapToGrid w:val="0"/>
          <w:color w:val="000000"/>
          <w:spacing w:val="-8"/>
          <w:kern w:val="0"/>
          <w:sz w:val="24"/>
          <w:szCs w:val="24"/>
          <w:lang w:val="en-US" w:eastAsia="zh-CN" w:bidi="ar-SA"/>
        </w:rPr>
        <w:t>）</w:t>
      </w:r>
    </w:p>
    <w:p w14:paraId="1EE46C02">
      <w:pPr>
        <w:pStyle w:val="5"/>
        <w:keepNext w:val="0"/>
        <w:keepLines w:val="0"/>
        <w:widowControl/>
        <w:numPr>
          <w:ilvl w:val="0"/>
          <w:numId w:val="0"/>
        </w:numPr>
        <w:suppressLineNumbers w:val="0"/>
        <w:spacing w:before="0" w:beforeAutospacing="0" w:after="0" w:afterAutospacing="0"/>
        <w:ind w:left="0" w:leftChars="0" w:right="0" w:rightChars="0" w:firstLine="0" w:firstLineChars="0"/>
        <w:rPr>
          <w:rFonts w:hint="eastAsia" w:ascii="楷体" w:hAnsi="楷体" w:eastAsia="楷体" w:cs="楷体"/>
          <w:snapToGrid w:val="0"/>
          <w:color w:val="000000"/>
          <w:spacing w:val="-8"/>
          <w:kern w:val="0"/>
          <w:sz w:val="24"/>
          <w:szCs w:val="24"/>
          <w:lang w:val="en-US" w:eastAsia="zh-CN" w:bidi="ar-SA"/>
        </w:rPr>
      </w:pPr>
      <w:r>
        <w:rPr>
          <w:rFonts w:hint="eastAsia" w:ascii="仿宋" w:hAnsi="仿宋" w:cs="仿宋"/>
          <w:kern w:val="0"/>
          <w:sz w:val="32"/>
          <w:szCs w:val="32"/>
          <w:lang w:val="en-US" w:eastAsia="zh-CN" w:bidi="ar"/>
        </w:rPr>
        <w:t xml:space="preserve">   </w:t>
      </w:r>
      <w:r>
        <w:rPr>
          <w:rFonts w:hint="eastAsia" w:ascii="宋体" w:hAnsi="宋体" w:eastAsia="宋体" w:cs="宋体"/>
          <w:b w:val="0"/>
          <w:bCs w:val="0"/>
          <w:snapToGrid w:val="0"/>
          <w:color w:val="000000"/>
          <w:spacing w:val="-7"/>
          <w:kern w:val="0"/>
          <w:sz w:val="24"/>
          <w:szCs w:val="24"/>
          <w:lang w:val="en-US" w:eastAsia="zh-CN" w:bidi="ar-SA"/>
        </w:rPr>
        <w:t>42、</w:t>
      </w:r>
      <w:r>
        <w:rPr>
          <w:rFonts w:hint="eastAsia" w:ascii="宋体" w:hAnsi="宋体" w:eastAsia="宋体" w:cs="宋体"/>
          <w:b w:val="0"/>
          <w:bCs w:val="0"/>
          <w:snapToGrid w:val="0"/>
          <w:color w:val="000000"/>
          <w:spacing w:val="-7"/>
          <w:kern w:val="0"/>
          <w:sz w:val="24"/>
          <w:szCs w:val="24"/>
          <w:lang w:val="en-US" w:eastAsia="en-US" w:bidi="ar-SA"/>
        </w:rPr>
        <w:t>以GIS的基础地图服务为核心技术，辅助身份验证等信息化技术，以不动产登记信息及地籍图面向社会公众的有条件公开为</w:t>
      </w:r>
      <w:r>
        <w:rPr>
          <w:rFonts w:hint="eastAsia" w:ascii="宋体" w:hAnsi="宋体" w:eastAsia="宋体" w:cs="宋体"/>
          <w:b w:val="0"/>
          <w:bCs w:val="0"/>
          <w:snapToGrid w:val="0"/>
          <w:color w:val="000000"/>
          <w:spacing w:val="-7"/>
          <w:kern w:val="0"/>
          <w:sz w:val="24"/>
          <w:szCs w:val="24"/>
          <w:lang w:val="en-US" w:eastAsia="zh-CN" w:bidi="ar-SA"/>
        </w:rPr>
        <w:t>重点</w:t>
      </w:r>
      <w:r>
        <w:rPr>
          <w:rFonts w:hint="eastAsia" w:ascii="宋体" w:hAnsi="宋体" w:eastAsia="宋体" w:cs="宋体"/>
          <w:b w:val="0"/>
          <w:bCs w:val="0"/>
          <w:snapToGrid w:val="0"/>
          <w:color w:val="000000"/>
          <w:spacing w:val="-7"/>
          <w:kern w:val="0"/>
          <w:sz w:val="24"/>
          <w:szCs w:val="24"/>
          <w:lang w:val="en-US" w:eastAsia="en-US" w:bidi="ar-SA"/>
        </w:rPr>
        <w:t>，构建可视化查询系统，上线湖北政务服务网，在通过身份验证的基础上，点击进入随州市不动产登记网上办事大厅一我要查一地籍可视化查询一广水市，实现不动产权利人或相关工作人员，在电子地图上依法对不动产自然状况、权利限制状况、地籍图等信息在线可视化检索和查询服务。足不出户即可通过互联网电子地图查询不动产自然状况、权利限制状况、地籍图等信息，显著提升不动产登记便利度和服务效能。</w:t>
      </w:r>
      <w:r>
        <w:rPr>
          <w:rFonts w:hint="eastAsia" w:ascii="楷体" w:hAnsi="楷体" w:eastAsia="楷体" w:cs="楷体"/>
          <w:snapToGrid w:val="0"/>
          <w:color w:val="000000"/>
          <w:spacing w:val="-8"/>
          <w:kern w:val="0"/>
          <w:sz w:val="24"/>
          <w:szCs w:val="24"/>
          <w:lang w:val="en-US" w:eastAsia="zh-CN" w:bidi="ar-SA"/>
        </w:rPr>
        <w:t>（《</w:t>
      </w:r>
      <w:r>
        <w:rPr>
          <w:rFonts w:hint="eastAsia" w:ascii="楷体" w:hAnsi="楷体" w:eastAsia="楷体" w:cs="楷体"/>
          <w:snapToGrid w:val="0"/>
          <w:color w:val="000000"/>
          <w:spacing w:val="-8"/>
          <w:kern w:val="0"/>
          <w:sz w:val="24"/>
          <w:szCs w:val="24"/>
          <w:lang w:val="en-US" w:eastAsia="en-US" w:bidi="ar-SA"/>
        </w:rPr>
        <w:t>广水市不动产登记信息及地籍图可视化查询实施方案</w:t>
      </w:r>
      <w:r>
        <w:rPr>
          <w:rFonts w:hint="eastAsia" w:ascii="楷体" w:hAnsi="楷体" w:eastAsia="楷体" w:cs="楷体"/>
          <w:snapToGrid w:val="0"/>
          <w:color w:val="000000"/>
          <w:spacing w:val="-8"/>
          <w:kern w:val="0"/>
          <w:sz w:val="24"/>
          <w:szCs w:val="24"/>
          <w:lang w:val="en-US" w:eastAsia="zh-CN" w:bidi="ar-SA"/>
        </w:rPr>
        <w:t>》）</w:t>
      </w:r>
    </w:p>
    <w:p w14:paraId="087C4609">
      <w:pPr>
        <w:pStyle w:val="5"/>
        <w:keepNext w:val="0"/>
        <w:keepLines w:val="0"/>
        <w:widowControl/>
        <w:suppressLineNumbers w:val="0"/>
        <w:spacing w:before="0" w:beforeAutospacing="0" w:after="0" w:afterAutospacing="0"/>
        <w:ind w:left="0" w:right="0" w:firstLine="452" w:firstLineChars="200"/>
        <w:rPr>
          <w:rFonts w:hint="eastAsia" w:ascii="楷体" w:hAnsi="楷体" w:eastAsia="楷体" w:cs="楷体"/>
          <w:snapToGrid w:val="0"/>
          <w:color w:val="000000"/>
          <w:spacing w:val="-8"/>
          <w:kern w:val="0"/>
          <w:sz w:val="24"/>
          <w:szCs w:val="24"/>
          <w:lang w:val="en-US" w:eastAsia="zh-CN" w:bidi="ar-SA"/>
        </w:rPr>
      </w:pPr>
      <w:r>
        <w:rPr>
          <w:rFonts w:hint="eastAsia" w:ascii="宋体" w:hAnsi="宋体" w:eastAsia="宋体" w:cs="宋体"/>
          <w:b w:val="0"/>
          <w:bCs w:val="0"/>
          <w:snapToGrid w:val="0"/>
          <w:color w:val="000000"/>
          <w:spacing w:val="-7"/>
          <w:kern w:val="0"/>
          <w:sz w:val="24"/>
          <w:szCs w:val="24"/>
          <w:lang w:val="en-US" w:eastAsia="zh-CN" w:bidi="ar-SA"/>
        </w:rPr>
        <w:t>43、</w:t>
      </w:r>
      <w:r>
        <w:rPr>
          <w:rFonts w:hint="eastAsia" w:ascii="宋体" w:hAnsi="宋体" w:eastAsia="宋体" w:cs="宋体"/>
          <w:b w:val="0"/>
          <w:bCs w:val="0"/>
          <w:snapToGrid w:val="0"/>
          <w:color w:val="000000"/>
          <w:spacing w:val="-7"/>
          <w:kern w:val="0"/>
          <w:sz w:val="24"/>
          <w:szCs w:val="24"/>
          <w:lang w:val="en-US" w:eastAsia="en-US" w:bidi="ar-SA"/>
        </w:rPr>
        <w:t>不动产登记申请人可不通过司法程序或公证方式，直接向不动产登记窗口提交相关资料和做出相应承诺申请办理继承转移登记。不动产登记中心在综合窗口开展非公证继承</w:t>
      </w:r>
      <w:r>
        <w:rPr>
          <w:rFonts w:hint="eastAsia" w:ascii="宋体" w:hAnsi="宋体" w:eastAsia="宋体" w:cs="宋体"/>
          <w:b w:val="0"/>
          <w:bCs w:val="0"/>
          <w:snapToGrid w:val="0"/>
          <w:color w:val="000000"/>
          <w:spacing w:val="-7"/>
          <w:kern w:val="0"/>
          <w:sz w:val="24"/>
          <w:szCs w:val="24"/>
          <w:lang w:val="en-US" w:eastAsia="zh-CN" w:bidi="ar-SA"/>
        </w:rPr>
        <w:t>（</w:t>
      </w:r>
      <w:r>
        <w:rPr>
          <w:rFonts w:hint="eastAsia" w:ascii="宋体" w:hAnsi="宋体" w:eastAsia="宋体" w:cs="宋体"/>
          <w:b w:val="0"/>
          <w:bCs w:val="0"/>
          <w:snapToGrid w:val="0"/>
          <w:color w:val="000000"/>
          <w:spacing w:val="-7"/>
          <w:kern w:val="0"/>
          <w:sz w:val="24"/>
          <w:szCs w:val="24"/>
          <w:lang w:val="en-US" w:eastAsia="en-US" w:bidi="ar-SA"/>
        </w:rPr>
        <w:t>受遗赠</w:t>
      </w:r>
      <w:r>
        <w:rPr>
          <w:rFonts w:hint="eastAsia" w:ascii="宋体" w:hAnsi="宋体" w:eastAsia="宋体" w:cs="宋体"/>
          <w:b w:val="0"/>
          <w:bCs w:val="0"/>
          <w:snapToGrid w:val="0"/>
          <w:color w:val="000000"/>
          <w:spacing w:val="-7"/>
          <w:kern w:val="0"/>
          <w:sz w:val="24"/>
          <w:szCs w:val="24"/>
          <w:lang w:val="en-US" w:eastAsia="zh-CN" w:bidi="ar-SA"/>
        </w:rPr>
        <w:t>）</w:t>
      </w:r>
      <w:r>
        <w:rPr>
          <w:rFonts w:hint="eastAsia" w:ascii="宋体" w:hAnsi="宋体" w:eastAsia="宋体" w:cs="宋体"/>
          <w:b w:val="0"/>
          <w:bCs w:val="0"/>
          <w:snapToGrid w:val="0"/>
          <w:color w:val="000000"/>
          <w:spacing w:val="-7"/>
          <w:kern w:val="0"/>
          <w:sz w:val="24"/>
          <w:szCs w:val="24"/>
          <w:lang w:val="en-US" w:eastAsia="en-US" w:bidi="ar-SA"/>
        </w:rPr>
        <w:t>业务办理，对符合条件的直接办理转移登记。</w:t>
      </w:r>
      <w:r>
        <w:rPr>
          <w:rFonts w:hint="eastAsia" w:ascii="楷体" w:hAnsi="楷体" w:eastAsia="楷体" w:cs="楷体"/>
          <w:snapToGrid w:val="0"/>
          <w:color w:val="000000"/>
          <w:spacing w:val="-8"/>
          <w:kern w:val="0"/>
          <w:sz w:val="24"/>
          <w:szCs w:val="24"/>
          <w:lang w:val="en-US" w:eastAsia="zh-CN" w:bidi="ar-SA"/>
        </w:rPr>
        <w:t>（市人民政府办公室《关于印发广水市不动产非公证继承（受遗赠）先行区创建工作实施方案的通知》广政办函〔2023〕15号）</w:t>
      </w:r>
    </w:p>
    <w:p w14:paraId="498BB2BF">
      <w:pPr>
        <w:pStyle w:val="5"/>
        <w:keepNext w:val="0"/>
        <w:keepLines w:val="0"/>
        <w:widowControl/>
        <w:suppressLineNumbers w:val="0"/>
        <w:spacing w:before="0" w:beforeAutospacing="0" w:after="0" w:afterAutospacing="0"/>
        <w:ind w:left="0" w:right="0" w:firstLine="452" w:firstLineChars="200"/>
        <w:rPr>
          <w:rFonts w:hint="eastAsia" w:ascii="仿宋" w:hAnsi="仿宋" w:eastAsia="仿宋" w:cs="仿宋"/>
          <w:sz w:val="32"/>
          <w:szCs w:val="32"/>
          <w:lang w:eastAsia="zh-CN"/>
        </w:rPr>
      </w:pPr>
      <w:r>
        <w:rPr>
          <w:rFonts w:hint="eastAsia" w:ascii="宋体" w:hAnsi="宋体" w:eastAsia="宋体" w:cs="宋体"/>
          <w:b w:val="0"/>
          <w:bCs w:val="0"/>
          <w:snapToGrid w:val="0"/>
          <w:color w:val="000000"/>
          <w:spacing w:val="-7"/>
          <w:kern w:val="0"/>
          <w:sz w:val="24"/>
          <w:szCs w:val="24"/>
          <w:lang w:val="en-US" w:eastAsia="zh-CN" w:bidi="ar-SA"/>
        </w:rPr>
        <w:t>44、</w:t>
      </w:r>
      <w:r>
        <w:rPr>
          <w:rFonts w:hint="eastAsia" w:ascii="宋体" w:hAnsi="宋体" w:eastAsia="宋体" w:cs="宋体"/>
          <w:b w:val="0"/>
          <w:bCs w:val="0"/>
          <w:snapToGrid w:val="0"/>
          <w:color w:val="000000"/>
          <w:spacing w:val="-7"/>
          <w:kern w:val="0"/>
          <w:sz w:val="24"/>
          <w:szCs w:val="24"/>
          <w:lang w:val="en-US" w:eastAsia="en-US" w:bidi="ar-SA"/>
        </w:rPr>
        <w:t>各职能部门通过“交房即交证”工作联动强化过程管控，健全监督体系，倒逼开发企业优化施工管理、积极履行主体责任。购房人按时、按要求提供相关材料，实现交房时取得《不动产权证书》。</w:t>
      </w:r>
      <w:r>
        <w:rPr>
          <w:rFonts w:hint="eastAsia" w:ascii="楷体" w:hAnsi="楷体" w:eastAsia="楷体" w:cs="楷体"/>
          <w:snapToGrid w:val="0"/>
          <w:color w:val="000000"/>
          <w:spacing w:val="-8"/>
          <w:kern w:val="0"/>
          <w:sz w:val="24"/>
          <w:szCs w:val="24"/>
          <w:lang w:val="en-US" w:eastAsia="zh-CN" w:bidi="ar-SA"/>
        </w:rPr>
        <w:t>（广水市自然资源和规划局、广水市住房和城乡建设局、国家税务总局广水市税务局《关于印发〈广水市新建商品房“交房即交证”实施方案〉的通知》广自然资规发〔2021〕7号）</w:t>
      </w:r>
    </w:p>
    <w:p w14:paraId="1CA3FA85">
      <w:pPr>
        <w:pStyle w:val="5"/>
        <w:keepNext w:val="0"/>
        <w:keepLines w:val="0"/>
        <w:widowControl/>
        <w:suppressLineNumbers w:val="0"/>
        <w:spacing w:before="0" w:beforeAutospacing="0" w:after="0" w:afterAutospacing="0"/>
        <w:ind w:left="0" w:right="0" w:firstLine="0"/>
        <w:rPr>
          <w:rFonts w:hint="eastAsia" w:ascii="仿宋" w:hAnsi="仿宋" w:eastAsia="仿宋" w:cs="仿宋"/>
          <w:sz w:val="32"/>
          <w:szCs w:val="32"/>
        </w:rPr>
      </w:pPr>
      <w:r>
        <w:rPr>
          <w:rFonts w:hint="eastAsia" w:ascii="宋体" w:hAnsi="宋体" w:eastAsia="宋体" w:cs="宋体"/>
          <w:b w:val="0"/>
          <w:bCs w:val="0"/>
          <w:snapToGrid w:val="0"/>
          <w:color w:val="000000"/>
          <w:spacing w:val="-7"/>
          <w:kern w:val="0"/>
          <w:sz w:val="24"/>
          <w:szCs w:val="24"/>
          <w:lang w:val="en-US" w:eastAsia="zh-CN" w:bidi="ar-SA"/>
        </w:rPr>
        <w:t xml:space="preserve">    45、</w:t>
      </w:r>
      <w:r>
        <w:rPr>
          <w:rFonts w:hint="eastAsia" w:ascii="宋体" w:hAnsi="宋体" w:eastAsia="宋体" w:cs="宋体"/>
          <w:b w:val="0"/>
          <w:bCs w:val="0"/>
          <w:snapToGrid w:val="0"/>
          <w:color w:val="000000"/>
          <w:spacing w:val="-7"/>
          <w:kern w:val="0"/>
          <w:sz w:val="24"/>
          <w:szCs w:val="24"/>
          <w:lang w:val="en-US" w:eastAsia="en-US" w:bidi="ar-SA"/>
        </w:rPr>
        <w:t>按照优化营商环境“放管服”改革要求，对全市城镇建设用地规划范围内国有建设用地全面实施“交地即交证”改革工作，将不动产测绘、权籍调查、成果审核入库等环节从交地后提前到交地前，变“串联办理”为“并联办理”</w:t>
      </w:r>
      <w:r>
        <w:rPr>
          <w:rFonts w:hint="eastAsia" w:ascii="宋体" w:hAnsi="宋体" w:eastAsia="宋体" w:cs="宋体"/>
          <w:b w:val="0"/>
          <w:bCs w:val="0"/>
          <w:snapToGrid w:val="0"/>
          <w:color w:val="000000"/>
          <w:spacing w:val="-7"/>
          <w:kern w:val="0"/>
          <w:sz w:val="24"/>
          <w:szCs w:val="24"/>
          <w:lang w:val="en-US" w:eastAsia="zh-CN" w:bidi="ar-SA"/>
        </w:rPr>
        <w:t>，</w:t>
      </w:r>
      <w:r>
        <w:rPr>
          <w:rFonts w:hint="eastAsia" w:ascii="宋体" w:hAnsi="宋体" w:eastAsia="宋体" w:cs="宋体"/>
          <w:b w:val="0"/>
          <w:bCs w:val="0"/>
          <w:snapToGrid w:val="0"/>
          <w:color w:val="000000"/>
          <w:spacing w:val="-7"/>
          <w:kern w:val="0"/>
          <w:sz w:val="24"/>
          <w:szCs w:val="24"/>
          <w:lang w:val="en-US" w:eastAsia="en-US" w:bidi="ar-SA"/>
        </w:rPr>
        <w:t>进一步优化流程，降低企业成本，增强群众和企业办事的获得感和满意度，推进高质量发展。</w:t>
      </w:r>
      <w:r>
        <w:rPr>
          <w:rFonts w:hint="eastAsia" w:ascii="楷体" w:hAnsi="楷体" w:eastAsia="楷体" w:cs="楷体"/>
          <w:snapToGrid w:val="0"/>
          <w:color w:val="000000"/>
          <w:spacing w:val="-8"/>
          <w:kern w:val="0"/>
          <w:sz w:val="24"/>
          <w:szCs w:val="24"/>
          <w:lang w:val="en-US" w:eastAsia="zh-CN" w:bidi="ar-SA"/>
        </w:rPr>
        <w:t>（广水市自然资源和规划局关于印发《广水市“交地即交证”工作实施方案》的通知）</w:t>
      </w:r>
    </w:p>
    <w:p w14:paraId="0C79F89F">
      <w:pPr>
        <w:pStyle w:val="5"/>
        <w:keepNext w:val="0"/>
        <w:keepLines w:val="0"/>
        <w:widowControl/>
        <w:suppressLineNumbers w:val="0"/>
        <w:spacing w:before="0" w:beforeAutospacing="0" w:after="0" w:afterAutospacing="0"/>
        <w:ind w:left="0" w:right="0" w:firstLine="0"/>
        <w:rPr>
          <w:rFonts w:hint="eastAsia" w:ascii="楷体" w:hAnsi="楷体" w:eastAsia="楷体" w:cs="楷体"/>
          <w:snapToGrid w:val="0"/>
          <w:color w:val="000000"/>
          <w:spacing w:val="-8"/>
          <w:kern w:val="0"/>
          <w:sz w:val="24"/>
          <w:szCs w:val="24"/>
          <w:lang w:val="en-US" w:eastAsia="zh-CN" w:bidi="ar-SA"/>
        </w:rPr>
      </w:pPr>
      <w:r>
        <w:rPr>
          <w:rFonts w:hint="eastAsia" w:ascii="宋体" w:hAnsi="宋体" w:eastAsia="宋体" w:cs="宋体"/>
          <w:b w:val="0"/>
          <w:bCs w:val="0"/>
          <w:snapToGrid w:val="0"/>
          <w:color w:val="000000"/>
          <w:spacing w:val="-7"/>
          <w:kern w:val="0"/>
          <w:sz w:val="24"/>
          <w:szCs w:val="24"/>
          <w:lang w:val="en-US" w:eastAsia="zh-CN" w:bidi="ar-SA"/>
        </w:rPr>
        <w:t xml:space="preserve">    46、</w:t>
      </w:r>
      <w:r>
        <w:rPr>
          <w:rFonts w:hint="eastAsia" w:ascii="宋体" w:hAnsi="宋体" w:eastAsia="宋体" w:cs="宋体"/>
          <w:b w:val="0"/>
          <w:bCs w:val="0"/>
          <w:snapToGrid w:val="0"/>
          <w:color w:val="000000"/>
          <w:spacing w:val="-7"/>
          <w:kern w:val="0"/>
          <w:sz w:val="24"/>
          <w:szCs w:val="24"/>
          <w:lang w:val="en-US" w:eastAsia="en-US" w:bidi="ar-SA"/>
        </w:rPr>
        <w:t>在省自然资源厅印发《深化新增工业用地标准地出证五证同</w:t>
      </w:r>
      <w:bookmarkStart w:id="16" w:name="_GoBack"/>
      <w:r>
        <w:rPr>
          <w:rFonts w:hint="eastAsia" w:ascii="宋体" w:hAnsi="宋体" w:eastAsia="宋体" w:cs="宋体"/>
          <w:b w:val="0"/>
          <w:bCs w:val="0"/>
          <w:snapToGrid w:val="0"/>
          <w:color w:val="000000"/>
          <w:spacing w:val="-7"/>
          <w:kern w:val="0"/>
          <w:sz w:val="24"/>
          <w:szCs w:val="24"/>
          <w:lang w:val="en-US" w:eastAsia="en-US" w:bidi="ar-SA"/>
        </w:rPr>
        <w:t>发改革</w:t>
      </w:r>
      <w:bookmarkEnd w:id="16"/>
      <w:r>
        <w:rPr>
          <w:rFonts w:hint="eastAsia" w:ascii="宋体" w:hAnsi="宋体" w:eastAsia="宋体" w:cs="宋体"/>
          <w:b w:val="0"/>
          <w:bCs w:val="0"/>
          <w:snapToGrid w:val="0"/>
          <w:color w:val="000000"/>
          <w:spacing w:val="-7"/>
          <w:kern w:val="0"/>
          <w:sz w:val="24"/>
          <w:szCs w:val="24"/>
          <w:lang w:val="en-US" w:eastAsia="en-US" w:bidi="ar-SA"/>
        </w:rPr>
        <w:t>实施方案的通知》</w:t>
      </w:r>
      <w:r>
        <w:rPr>
          <w:rFonts w:hint="eastAsia" w:ascii="宋体" w:hAnsi="宋体" w:eastAsia="宋体" w:cs="宋体"/>
          <w:b w:val="0"/>
          <w:bCs w:val="0"/>
          <w:snapToGrid w:val="0"/>
          <w:color w:val="000000"/>
          <w:spacing w:val="-7"/>
          <w:kern w:val="0"/>
          <w:sz w:val="24"/>
          <w:szCs w:val="24"/>
          <w:lang w:val="en-US" w:eastAsia="zh-CN" w:bidi="ar-SA"/>
        </w:rPr>
        <w:t>（</w:t>
      </w:r>
      <w:r>
        <w:rPr>
          <w:rFonts w:hint="eastAsia" w:ascii="宋体" w:hAnsi="宋体" w:eastAsia="宋体" w:cs="宋体"/>
          <w:b w:val="0"/>
          <w:bCs w:val="0"/>
          <w:snapToGrid w:val="0"/>
          <w:color w:val="000000"/>
          <w:spacing w:val="-7"/>
          <w:kern w:val="0"/>
          <w:sz w:val="24"/>
          <w:szCs w:val="24"/>
          <w:lang w:val="en-US" w:eastAsia="en-US" w:bidi="ar-SA"/>
        </w:rPr>
        <w:t>鄂自然资函〔2022〕434号</w:t>
      </w:r>
      <w:r>
        <w:rPr>
          <w:rFonts w:hint="eastAsia" w:ascii="宋体" w:hAnsi="宋体" w:eastAsia="宋体" w:cs="宋体"/>
          <w:b w:val="0"/>
          <w:bCs w:val="0"/>
          <w:snapToGrid w:val="0"/>
          <w:color w:val="000000"/>
          <w:spacing w:val="-7"/>
          <w:kern w:val="0"/>
          <w:sz w:val="24"/>
          <w:szCs w:val="24"/>
          <w:lang w:val="en-US" w:eastAsia="zh-CN" w:bidi="ar-SA"/>
        </w:rPr>
        <w:t>）</w:t>
      </w:r>
      <w:r>
        <w:rPr>
          <w:rFonts w:hint="eastAsia" w:ascii="宋体" w:hAnsi="宋体" w:eastAsia="宋体" w:cs="宋体"/>
          <w:b w:val="0"/>
          <w:bCs w:val="0"/>
          <w:snapToGrid w:val="0"/>
          <w:color w:val="000000"/>
          <w:spacing w:val="-7"/>
          <w:kern w:val="0"/>
          <w:sz w:val="24"/>
          <w:szCs w:val="24"/>
          <w:lang w:val="en-US" w:eastAsia="en-US" w:bidi="ar-SA"/>
        </w:rPr>
        <w:t>的基础上，通过银政联动、无缝衔接、提前服务、同步办好实现“抵押即交证”联办模式：用地单位在本市行政区域内通过招标拍卖挂牌出让取得国有建设用地使用权</w:t>
      </w:r>
      <w:r>
        <w:rPr>
          <w:rFonts w:hint="eastAsia" w:ascii="宋体" w:hAnsi="宋体" w:eastAsia="宋体" w:cs="宋体"/>
          <w:b w:val="0"/>
          <w:bCs w:val="0"/>
          <w:snapToGrid w:val="0"/>
          <w:color w:val="000000"/>
          <w:spacing w:val="-7"/>
          <w:kern w:val="0"/>
          <w:sz w:val="24"/>
          <w:szCs w:val="24"/>
          <w:lang w:val="en-US" w:eastAsia="zh-CN" w:bidi="ar-SA"/>
        </w:rPr>
        <w:t>（</w:t>
      </w:r>
      <w:r>
        <w:rPr>
          <w:rFonts w:hint="eastAsia" w:ascii="宋体" w:hAnsi="宋体" w:eastAsia="宋体" w:cs="宋体"/>
          <w:b w:val="0"/>
          <w:bCs w:val="0"/>
          <w:snapToGrid w:val="0"/>
          <w:color w:val="000000"/>
          <w:spacing w:val="-7"/>
          <w:kern w:val="0"/>
          <w:sz w:val="24"/>
          <w:szCs w:val="24"/>
          <w:lang w:val="en-US" w:eastAsia="en-US" w:bidi="ar-SA"/>
        </w:rPr>
        <w:t>工业</w:t>
      </w:r>
      <w:r>
        <w:rPr>
          <w:rFonts w:hint="eastAsia" w:ascii="宋体" w:hAnsi="宋体" w:eastAsia="宋体" w:cs="宋体"/>
          <w:b w:val="0"/>
          <w:bCs w:val="0"/>
          <w:snapToGrid w:val="0"/>
          <w:color w:val="000000"/>
          <w:spacing w:val="-7"/>
          <w:kern w:val="0"/>
          <w:sz w:val="24"/>
          <w:szCs w:val="24"/>
          <w:lang w:val="en-US" w:eastAsia="zh-CN" w:bidi="ar-SA"/>
        </w:rPr>
        <w:t>）</w:t>
      </w:r>
      <w:r>
        <w:rPr>
          <w:rFonts w:hint="eastAsia" w:ascii="宋体" w:hAnsi="宋体" w:eastAsia="宋体" w:cs="宋体"/>
          <w:b w:val="0"/>
          <w:bCs w:val="0"/>
          <w:snapToGrid w:val="0"/>
          <w:color w:val="000000"/>
          <w:spacing w:val="-7"/>
          <w:kern w:val="0"/>
          <w:sz w:val="24"/>
          <w:szCs w:val="24"/>
          <w:lang w:val="en-US" w:eastAsia="en-US" w:bidi="ar-SA"/>
        </w:rPr>
        <w:t>并签订《成交确认书》时，金融机构提前介入开展贷前调查、授信审批等工作，市自然资源和规划局同步完成《国有建设用地使用权出让合同》签订和《建设用地规划许可证》办理，用地单位同步交纳出让金和税费并与金融机构</w:t>
      </w:r>
      <w:r>
        <w:rPr>
          <w:rFonts w:hint="eastAsia" w:ascii="宋体" w:hAnsi="宋体" w:eastAsia="宋体" w:cs="宋体"/>
          <w:b w:val="0"/>
          <w:bCs w:val="0"/>
          <w:snapToGrid w:val="0"/>
          <w:color w:val="000000"/>
          <w:spacing w:val="-7"/>
          <w:kern w:val="0"/>
          <w:sz w:val="24"/>
          <w:szCs w:val="24"/>
          <w:lang w:val="en-US" w:eastAsia="zh-CN" w:bidi="ar-SA"/>
        </w:rPr>
        <w:t>签订</w:t>
      </w:r>
      <w:r>
        <w:rPr>
          <w:rFonts w:hint="eastAsia" w:ascii="宋体" w:hAnsi="宋体" w:eastAsia="宋体" w:cs="宋体"/>
          <w:b w:val="0"/>
          <w:bCs w:val="0"/>
          <w:snapToGrid w:val="0"/>
          <w:color w:val="000000"/>
          <w:spacing w:val="-7"/>
          <w:kern w:val="0"/>
          <w:sz w:val="24"/>
          <w:szCs w:val="24"/>
          <w:lang w:val="en-US" w:eastAsia="en-US" w:bidi="ar-SA"/>
        </w:rPr>
        <w:t>抵押借款合同，登记机构同步办理国有建设用地使用权首次登记及抵押权首次登记，登记后金融机构立即向用地单位发放贷款。通过“抵押即交证”联办模式，确保交地、交证、抵押各环节无缝衔接，有效帮助企业破解融资难、融资慢、融资贵等难题，减轻企业资金周转压力，加快项目建设进度，助力企业发展降本增效。</w:t>
      </w:r>
      <w:r>
        <w:rPr>
          <w:rFonts w:hint="eastAsia" w:ascii="楷体" w:hAnsi="楷体" w:eastAsia="楷体" w:cs="楷体"/>
          <w:snapToGrid w:val="0"/>
          <w:color w:val="000000"/>
          <w:spacing w:val="-8"/>
          <w:kern w:val="0"/>
          <w:sz w:val="24"/>
          <w:szCs w:val="24"/>
          <w:lang w:val="en-US" w:eastAsia="zh-CN" w:bidi="ar-SA"/>
        </w:rPr>
        <w:t>（广水市自然资源和规划局、国家金融监督管理总局广水监管支局关于印发《广水市国有出让建设用地（工业）“抵押即交证”的工作方案》的通知）</w:t>
      </w:r>
    </w:p>
    <w:p w14:paraId="5D30C91F">
      <w:pPr>
        <w:bidi w:val="0"/>
        <w:rPr>
          <w:rFonts w:hint="eastAsia" w:ascii="楷体" w:hAnsi="楷体" w:eastAsia="楷体" w:cs="楷体"/>
          <w:snapToGrid w:val="0"/>
          <w:color w:val="000000"/>
          <w:spacing w:val="-8"/>
          <w:kern w:val="0"/>
          <w:sz w:val="24"/>
          <w:szCs w:val="24"/>
          <w:lang w:val="en-US" w:eastAsia="zh-CN" w:bidi="ar-SA"/>
        </w:rPr>
      </w:pPr>
      <w:r>
        <w:rPr>
          <w:rFonts w:hint="eastAsia" w:ascii="宋体" w:hAnsi="宋体" w:eastAsia="宋体" w:cs="宋体"/>
          <w:b w:val="0"/>
          <w:bCs w:val="0"/>
          <w:snapToGrid w:val="0"/>
          <w:color w:val="000000"/>
          <w:spacing w:val="-7"/>
          <w:kern w:val="0"/>
          <w:sz w:val="24"/>
          <w:szCs w:val="24"/>
          <w:lang w:val="en-US" w:eastAsia="zh-CN" w:bidi="ar-SA"/>
        </w:rPr>
        <w:t xml:space="preserve">    47、</w:t>
      </w:r>
      <w:r>
        <w:rPr>
          <w:rFonts w:hint="eastAsia" w:ascii="宋体" w:hAnsi="宋体" w:eastAsia="宋体" w:cs="宋体"/>
          <w:b w:val="0"/>
          <w:bCs w:val="0"/>
          <w:snapToGrid w:val="0"/>
          <w:color w:val="000000"/>
          <w:spacing w:val="-7"/>
          <w:kern w:val="0"/>
          <w:sz w:val="24"/>
          <w:szCs w:val="24"/>
          <w:lang w:val="en-US" w:eastAsia="en-US" w:bidi="ar-SA"/>
        </w:rPr>
        <w:t>首问负责制是对公民、法人或其他组织</w:t>
      </w:r>
      <w:r>
        <w:rPr>
          <w:rFonts w:hint="eastAsia" w:ascii="宋体" w:hAnsi="宋体" w:eastAsia="宋体" w:cs="宋体"/>
          <w:b w:val="0"/>
          <w:bCs w:val="0"/>
          <w:snapToGrid w:val="0"/>
          <w:color w:val="000000"/>
          <w:spacing w:val="-7"/>
          <w:kern w:val="0"/>
          <w:sz w:val="24"/>
          <w:szCs w:val="24"/>
          <w:lang w:val="en-US" w:eastAsia="zh-CN" w:bidi="ar-SA"/>
        </w:rPr>
        <w:t>（</w:t>
      </w:r>
      <w:r>
        <w:rPr>
          <w:rFonts w:hint="eastAsia" w:ascii="宋体" w:hAnsi="宋体" w:eastAsia="宋体" w:cs="宋体"/>
          <w:b w:val="0"/>
          <w:bCs w:val="0"/>
          <w:snapToGrid w:val="0"/>
          <w:color w:val="000000"/>
          <w:spacing w:val="-7"/>
          <w:kern w:val="0"/>
          <w:sz w:val="24"/>
          <w:szCs w:val="24"/>
          <w:lang w:val="en-US" w:eastAsia="en-US" w:bidi="ar-SA"/>
        </w:rPr>
        <w:t>以下简称服务对象</w:t>
      </w:r>
      <w:r>
        <w:rPr>
          <w:rFonts w:hint="eastAsia" w:ascii="宋体" w:hAnsi="宋体" w:eastAsia="宋体" w:cs="宋体"/>
          <w:b w:val="0"/>
          <w:bCs w:val="0"/>
          <w:snapToGrid w:val="0"/>
          <w:color w:val="000000"/>
          <w:spacing w:val="-7"/>
          <w:kern w:val="0"/>
          <w:sz w:val="24"/>
          <w:szCs w:val="24"/>
          <w:lang w:val="en-US" w:eastAsia="zh-CN" w:bidi="ar-SA"/>
        </w:rPr>
        <w:t>）</w:t>
      </w:r>
      <w:r>
        <w:rPr>
          <w:rFonts w:hint="eastAsia" w:ascii="宋体" w:hAnsi="宋体" w:eastAsia="宋体" w:cs="宋体"/>
          <w:b w:val="0"/>
          <w:bCs w:val="0"/>
          <w:snapToGrid w:val="0"/>
          <w:color w:val="000000"/>
          <w:spacing w:val="-7"/>
          <w:kern w:val="0"/>
          <w:sz w:val="24"/>
          <w:szCs w:val="24"/>
          <w:lang w:val="en-US" w:eastAsia="en-US" w:bidi="ar-SA"/>
        </w:rPr>
        <w:t>前来窗口咨询、查询事项时，第一个接待服务对象的工作人员对其负责的制度。第一个接待服务对象的工作人员即为首问负责人。首问负责人在答复服务对象提出的问题时，答复要准确、清楚且符合政策。对于不清楚、掌握不准确的问题，要及时请示领导，给予准确的答复。对于确实无法解答的问题，要向服务对象礼貌、耐心说明情况，并给予指导帮助。严禁使用“不知道</w:t>
      </w:r>
      <w:r>
        <w:rPr>
          <w:rFonts w:hint="eastAsia" w:ascii="宋体" w:hAnsi="宋体" w:eastAsia="宋体" w:cs="宋体"/>
          <w:b w:val="0"/>
          <w:bCs w:val="0"/>
          <w:snapToGrid w:val="0"/>
          <w:color w:val="000000"/>
          <w:spacing w:val="-7"/>
          <w:kern w:val="0"/>
          <w:sz w:val="24"/>
          <w:szCs w:val="24"/>
          <w:lang w:val="en-US" w:eastAsia="zh-CN" w:bidi="ar-SA"/>
        </w:rPr>
        <w:t>”“</w:t>
      </w:r>
      <w:r>
        <w:rPr>
          <w:rFonts w:hint="eastAsia" w:ascii="宋体" w:hAnsi="宋体" w:eastAsia="宋体" w:cs="宋体"/>
          <w:b w:val="0"/>
          <w:bCs w:val="0"/>
          <w:snapToGrid w:val="0"/>
          <w:color w:val="000000"/>
          <w:spacing w:val="-7"/>
          <w:kern w:val="0"/>
          <w:sz w:val="24"/>
          <w:szCs w:val="24"/>
          <w:lang w:val="en-US" w:eastAsia="en-US" w:bidi="ar-SA"/>
        </w:rPr>
        <w:t>不清楚</w:t>
      </w:r>
      <w:r>
        <w:rPr>
          <w:rFonts w:hint="eastAsia" w:ascii="宋体" w:hAnsi="宋体" w:eastAsia="宋体" w:cs="宋体"/>
          <w:b w:val="0"/>
          <w:bCs w:val="0"/>
          <w:snapToGrid w:val="0"/>
          <w:color w:val="000000"/>
          <w:spacing w:val="-7"/>
          <w:kern w:val="0"/>
          <w:sz w:val="24"/>
          <w:szCs w:val="24"/>
          <w:lang w:val="en-US" w:eastAsia="zh-CN" w:bidi="ar-SA"/>
        </w:rPr>
        <w:t>”“</w:t>
      </w:r>
      <w:r>
        <w:rPr>
          <w:rFonts w:hint="eastAsia" w:ascii="宋体" w:hAnsi="宋体" w:eastAsia="宋体" w:cs="宋体"/>
          <w:b w:val="0"/>
          <w:bCs w:val="0"/>
          <w:snapToGrid w:val="0"/>
          <w:color w:val="000000"/>
          <w:spacing w:val="-7"/>
          <w:kern w:val="0"/>
          <w:sz w:val="24"/>
          <w:szCs w:val="24"/>
          <w:lang w:val="en-US" w:eastAsia="en-US" w:bidi="ar-SA"/>
        </w:rPr>
        <w:t>不归我管</w:t>
      </w:r>
      <w:r>
        <w:rPr>
          <w:rFonts w:hint="eastAsia" w:ascii="宋体" w:hAnsi="宋体" w:eastAsia="宋体" w:cs="宋体"/>
          <w:b w:val="0"/>
          <w:bCs w:val="0"/>
          <w:snapToGrid w:val="0"/>
          <w:color w:val="000000"/>
          <w:spacing w:val="-7"/>
          <w:kern w:val="0"/>
          <w:sz w:val="24"/>
          <w:szCs w:val="24"/>
          <w:lang w:val="en-US" w:eastAsia="zh-CN" w:bidi="ar-SA"/>
        </w:rPr>
        <w:t>”“</w:t>
      </w:r>
      <w:r>
        <w:rPr>
          <w:rFonts w:hint="eastAsia" w:ascii="宋体" w:hAnsi="宋体" w:eastAsia="宋体" w:cs="宋体"/>
          <w:b w:val="0"/>
          <w:bCs w:val="0"/>
          <w:snapToGrid w:val="0"/>
          <w:color w:val="000000"/>
          <w:spacing w:val="-7"/>
          <w:kern w:val="0"/>
          <w:sz w:val="24"/>
          <w:szCs w:val="24"/>
          <w:lang w:val="en-US" w:eastAsia="en-US" w:bidi="ar-SA"/>
        </w:rPr>
        <w:t>办不了”等语言一推了之。</w:t>
      </w:r>
      <w:r>
        <w:rPr>
          <w:rFonts w:hint="eastAsia"/>
          <w:lang w:eastAsia="zh-CN"/>
        </w:rPr>
        <w:t>（</w:t>
      </w:r>
      <w:r>
        <w:rPr>
          <w:rFonts w:hint="eastAsia" w:ascii="楷体" w:hAnsi="楷体" w:eastAsia="楷体" w:cs="楷体"/>
          <w:snapToGrid w:val="0"/>
          <w:color w:val="000000"/>
          <w:spacing w:val="-8"/>
          <w:kern w:val="0"/>
          <w:sz w:val="24"/>
          <w:szCs w:val="24"/>
          <w:lang w:val="en-US" w:eastAsia="zh-CN" w:bidi="ar-SA"/>
        </w:rPr>
        <w:t>广水市不动产登记局首问负责制度）</w:t>
      </w:r>
    </w:p>
    <w:p w14:paraId="67BFB180">
      <w:pPr>
        <w:bidi w:val="0"/>
        <w:rPr>
          <w:rFonts w:hint="eastAsia" w:ascii="宋体" w:hAnsi="宋体" w:eastAsia="宋体" w:cs="宋体"/>
          <w:b w:val="0"/>
          <w:bCs w:val="0"/>
          <w:snapToGrid w:val="0"/>
          <w:color w:val="000000"/>
          <w:spacing w:val="-7"/>
          <w:kern w:val="0"/>
          <w:sz w:val="24"/>
          <w:szCs w:val="24"/>
          <w:lang w:val="en-US" w:eastAsia="en-US" w:bidi="ar-SA"/>
        </w:rPr>
      </w:pPr>
      <w:r>
        <w:rPr>
          <w:rFonts w:hint="eastAsia" w:ascii="宋体" w:hAnsi="宋体" w:eastAsia="宋体" w:cs="宋体"/>
          <w:b w:val="0"/>
          <w:bCs w:val="0"/>
          <w:snapToGrid w:val="0"/>
          <w:color w:val="000000"/>
          <w:spacing w:val="-7"/>
          <w:kern w:val="0"/>
          <w:sz w:val="24"/>
          <w:szCs w:val="24"/>
          <w:lang w:val="en-US" w:eastAsia="zh-CN" w:bidi="ar-SA"/>
        </w:rPr>
        <w:t xml:space="preserve">    48、</w:t>
      </w:r>
      <w:r>
        <w:rPr>
          <w:rFonts w:hint="eastAsia" w:ascii="宋体" w:hAnsi="宋体" w:eastAsia="宋体" w:cs="宋体"/>
          <w:b w:val="0"/>
          <w:bCs w:val="0"/>
          <w:snapToGrid w:val="0"/>
          <w:color w:val="000000"/>
          <w:spacing w:val="-7"/>
          <w:kern w:val="0"/>
          <w:sz w:val="24"/>
          <w:szCs w:val="24"/>
          <w:lang w:val="en-US" w:eastAsia="en-US" w:bidi="ar-SA"/>
        </w:rPr>
        <w:t>第一条我单位在市政务中心设立“办不成事”反映窗口，由专人负责受理群众反映办不成事的情形，积极推进首问负责制度、一次性告知制度、限时办结制度的落实。</w:t>
      </w:r>
    </w:p>
    <w:p w14:paraId="315EB866">
      <w:pPr>
        <w:bidi w:val="0"/>
        <w:rPr>
          <w:rFonts w:hint="eastAsia" w:ascii="楷体" w:hAnsi="楷体" w:eastAsia="楷体" w:cs="楷体"/>
          <w:snapToGrid w:val="0"/>
          <w:color w:val="000000"/>
          <w:spacing w:val="-8"/>
          <w:kern w:val="0"/>
          <w:sz w:val="24"/>
          <w:szCs w:val="24"/>
          <w:lang w:val="en-US" w:eastAsia="zh-CN" w:bidi="ar-SA"/>
        </w:rPr>
      </w:pPr>
      <w:r>
        <w:rPr>
          <w:rFonts w:hint="eastAsia" w:ascii="宋体" w:hAnsi="宋体" w:eastAsia="宋体" w:cs="宋体"/>
          <w:b w:val="0"/>
          <w:bCs w:val="0"/>
          <w:snapToGrid w:val="0"/>
          <w:color w:val="000000"/>
          <w:spacing w:val="-7"/>
          <w:kern w:val="0"/>
          <w:sz w:val="24"/>
          <w:szCs w:val="24"/>
          <w:lang w:val="en-US" w:eastAsia="en-US" w:bidi="ar-SA"/>
        </w:rPr>
        <w:t>第二条本制度所指“办不成事”</w:t>
      </w:r>
      <w:r>
        <w:rPr>
          <w:rFonts w:hint="eastAsia" w:ascii="宋体" w:hAnsi="宋体" w:eastAsia="宋体" w:cs="宋体"/>
          <w:b w:val="0"/>
          <w:bCs w:val="0"/>
          <w:snapToGrid w:val="0"/>
          <w:color w:val="000000"/>
          <w:spacing w:val="-7"/>
          <w:kern w:val="0"/>
          <w:sz w:val="24"/>
          <w:szCs w:val="24"/>
          <w:lang w:val="en-US" w:eastAsia="zh-CN" w:bidi="ar-SA"/>
        </w:rPr>
        <w:t>，</w:t>
      </w:r>
      <w:r>
        <w:rPr>
          <w:rFonts w:hint="eastAsia" w:ascii="宋体" w:hAnsi="宋体" w:eastAsia="宋体" w:cs="宋体"/>
          <w:b w:val="0"/>
          <w:bCs w:val="0"/>
          <w:snapToGrid w:val="0"/>
          <w:color w:val="000000"/>
          <w:spacing w:val="-7"/>
          <w:kern w:val="0"/>
          <w:sz w:val="24"/>
          <w:szCs w:val="24"/>
          <w:lang w:val="en-US" w:eastAsia="en-US" w:bidi="ar-SA"/>
        </w:rPr>
        <w:t>是指企业、群众办理各类不动产登记业务时，在线上、线下提交申请材料后，由于各种原因未能受理成功、办事群众多次到中心未能解决问题等情形，可向“办不成事”窗口反映。第三条对涉及涉法涉诉、信访、已立案等办事事项，以及法律法规明确规定不予办理的事项，不属于本制度所称“办不成</w:t>
      </w:r>
      <w:r>
        <w:rPr>
          <w:rFonts w:hint="eastAsia" w:ascii="宋体" w:hAnsi="宋体" w:eastAsia="宋体" w:cs="宋体"/>
          <w:b w:val="0"/>
          <w:bCs w:val="0"/>
          <w:snapToGrid w:val="0"/>
          <w:color w:val="000000"/>
          <w:spacing w:val="-7"/>
          <w:kern w:val="0"/>
          <w:sz w:val="24"/>
          <w:szCs w:val="24"/>
          <w:lang w:val="en-US" w:eastAsia="zh-CN" w:bidi="ar-SA"/>
        </w:rPr>
        <w:t>事”事项，不予受理。</w:t>
      </w:r>
      <w:r>
        <w:rPr>
          <w:rFonts w:hint="eastAsia" w:ascii="仿宋" w:hAnsi="仿宋" w:eastAsia="仿宋" w:cs="仿宋"/>
          <w:sz w:val="32"/>
          <w:szCs w:val="32"/>
          <w:lang w:eastAsia="zh-CN"/>
        </w:rPr>
        <w:t>（</w:t>
      </w:r>
      <w:r>
        <w:rPr>
          <w:rFonts w:hint="eastAsia" w:ascii="楷体" w:hAnsi="楷体" w:eastAsia="楷体" w:cs="楷体"/>
          <w:snapToGrid w:val="0"/>
          <w:color w:val="000000"/>
          <w:spacing w:val="-8"/>
          <w:kern w:val="0"/>
          <w:sz w:val="24"/>
          <w:szCs w:val="24"/>
          <w:lang w:val="en-US" w:eastAsia="zh-CN" w:bidi="ar-SA"/>
        </w:rPr>
        <w:t>广水市不动产登记中心关于《成立“办不成事”反映窗口解决不动产登记历史遗留问题的通知》）</w:t>
      </w:r>
    </w:p>
    <w:p w14:paraId="44BF5C31">
      <w:pPr>
        <w:pStyle w:val="5"/>
        <w:keepNext w:val="0"/>
        <w:keepLines w:val="0"/>
        <w:widowControl/>
        <w:numPr>
          <w:ilvl w:val="0"/>
          <w:numId w:val="0"/>
        </w:numPr>
        <w:suppressLineNumbers w:val="0"/>
        <w:spacing w:before="0" w:beforeAutospacing="0" w:after="0" w:afterAutospacing="0"/>
        <w:ind w:leftChars="0" w:right="0" w:rightChars="0" w:firstLine="452" w:firstLineChars="200"/>
        <w:jc w:val="left"/>
        <w:rPr>
          <w:rFonts w:hint="default" w:ascii="宋体" w:hAnsi="宋体" w:eastAsia="宋体" w:cs="宋体"/>
          <w:b w:val="0"/>
          <w:bCs w:val="0"/>
          <w:snapToGrid w:val="0"/>
          <w:color w:val="000000"/>
          <w:spacing w:val="-7"/>
          <w:kern w:val="0"/>
          <w:sz w:val="24"/>
          <w:szCs w:val="24"/>
          <w:lang w:val="en-US" w:eastAsia="zh-CN" w:bidi="ar-SA"/>
        </w:rPr>
      </w:pPr>
    </w:p>
    <w:p w14:paraId="7CBA0C1E">
      <w:pPr>
        <w:pStyle w:val="2"/>
        <w:spacing w:before="46" w:line="248" w:lineRule="auto"/>
        <w:jc w:val="both"/>
        <w:rPr>
          <w:rFonts w:ascii="楷体" w:hAnsi="楷体" w:eastAsia="楷体" w:cs="楷体"/>
          <w:spacing w:val="-8"/>
        </w:rPr>
        <w:sectPr>
          <w:headerReference r:id="rId31" w:type="default"/>
          <w:footerReference r:id="rId32" w:type="default"/>
          <w:pgSz w:w="8390" w:h="5670"/>
          <w:pgMar w:top="400" w:right="799" w:bottom="748" w:left="869" w:header="0" w:footer="510" w:gutter="0"/>
          <w:pgNumType w:fmt="decimal"/>
          <w:cols w:space="720" w:num="1"/>
        </w:sectPr>
      </w:pPr>
    </w:p>
    <w:p w14:paraId="24ABE116">
      <w:pPr>
        <w:spacing w:line="5657" w:lineRule="exact"/>
      </w:pPr>
      <w:r>
        <w:rPr>
          <w:position w:val="-113"/>
        </w:rPr>
        <w:drawing>
          <wp:inline distT="0" distB="0" distL="0" distR="0">
            <wp:extent cx="5327650" cy="359219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36"/>
                    <a:stretch>
                      <a:fillRect/>
                    </a:stretch>
                  </pic:blipFill>
                  <pic:spPr>
                    <a:xfrm>
                      <a:off x="0" y="0"/>
                      <a:ext cx="5327650" cy="3592347"/>
                    </a:xfrm>
                    <a:prstGeom prst="rect">
                      <a:avLst/>
                    </a:prstGeom>
                  </pic:spPr>
                </pic:pic>
              </a:graphicData>
            </a:graphic>
          </wp:inline>
        </w:drawing>
      </w:r>
    </w:p>
    <w:sectPr>
      <w:footerReference r:id="rId33" w:type="default"/>
      <w:pgSz w:w="8390" w:h="5670"/>
      <w:pgMar w:top="1" w:right="0" w:bottom="1" w:left="0"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64685">
    <w:pPr>
      <w:pStyle w:val="2"/>
      <w:spacing w:line="176" w:lineRule="auto"/>
      <w:ind w:left="3140"/>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65BCF9">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7F65BCF9">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60E6A">
    <w:pPr>
      <w:pStyle w:val="2"/>
      <w:spacing w:line="176" w:lineRule="auto"/>
      <w:ind w:left="2980"/>
    </w:pPr>
    <w:r>
      <w:rPr>
        <w:sz w:val="2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FC0835">
                          <w:pPr>
                            <w:pStyle w:val="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3CFC0835">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89390">
    <w:pPr>
      <w:pStyle w:val="2"/>
      <w:spacing w:line="176" w:lineRule="auto"/>
      <w:ind w:left="2980"/>
    </w:pPr>
    <w:r>
      <w:rPr>
        <w:sz w:val="24"/>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A43223">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3CA43223">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064BD">
    <w:pPr>
      <w:pStyle w:val="2"/>
      <w:spacing w:line="176" w:lineRule="auto"/>
      <w:ind w:left="2969"/>
      <w:rPr>
        <w:sz w:val="25"/>
        <w:szCs w:val="25"/>
      </w:rPr>
    </w:pPr>
    <w:r>
      <w:rPr>
        <w:sz w:val="25"/>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AF26A9">
                          <w:pPr>
                            <w:pStyle w:val="3"/>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50AF26A9">
                    <w:pPr>
                      <w:pStyle w:val="3"/>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956FD">
    <w:pPr>
      <w:pStyle w:val="2"/>
      <w:spacing w:line="176" w:lineRule="auto"/>
      <w:ind w:left="2980"/>
    </w:pPr>
    <w:r>
      <w:rPr>
        <w:sz w:val="24"/>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C59B6D">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6DC59B6D">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53A5C">
    <w:pPr>
      <w:pStyle w:val="2"/>
      <w:spacing w:line="176" w:lineRule="auto"/>
      <w:ind w:left="2980"/>
    </w:pPr>
    <w:r>
      <w:rPr>
        <w:sz w:val="24"/>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E327E1">
                          <w:pPr>
                            <w:pStyle w:val="3"/>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14:paraId="0DE327E1">
                    <w:pPr>
                      <w:pStyle w:val="3"/>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0052A">
    <w:pPr>
      <w:pStyle w:val="2"/>
      <w:spacing w:line="176" w:lineRule="auto"/>
      <w:ind w:left="2980"/>
    </w:pPr>
    <w:r>
      <w:rPr>
        <w:sz w:val="24"/>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C1D838">
                          <w:pPr>
                            <w:pStyle w:val="3"/>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14:paraId="58C1D838">
                    <w:pPr>
                      <w:pStyle w:val="3"/>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FF710">
    <w:pPr>
      <w:pStyle w:val="2"/>
      <w:spacing w:line="176" w:lineRule="auto"/>
      <w:ind w:left="2980"/>
    </w:pPr>
    <w:r>
      <w:rPr>
        <w:sz w:val="24"/>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5DEFED">
                          <w:pPr>
                            <w:pStyle w:val="3"/>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14:paraId="145DEFED">
                    <w:pPr>
                      <w:pStyle w:val="3"/>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7F88C">
    <w:pPr>
      <w:pStyle w:val="2"/>
      <w:spacing w:line="176" w:lineRule="auto"/>
      <w:ind w:left="2980"/>
      <w:rPr>
        <w:sz w:val="25"/>
        <w:szCs w:val="25"/>
      </w:rPr>
    </w:pPr>
    <w:r>
      <w:rPr>
        <w:sz w:val="25"/>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9F78D5">
                          <w:pPr>
                            <w:pStyle w:val="3"/>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14:paraId="369F78D5">
                    <w:pPr>
                      <w:pStyle w:val="3"/>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AAE3A">
    <w:pPr>
      <w:pStyle w:val="2"/>
      <w:spacing w:line="173" w:lineRule="auto"/>
      <w:ind w:left="2990"/>
      <w:rPr>
        <w:sz w:val="19"/>
        <w:szCs w:val="19"/>
      </w:rPr>
    </w:pPr>
    <w:r>
      <w:rPr>
        <w:sz w:val="19"/>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28697C">
                          <w:pPr>
                            <w:pStyle w:val="3"/>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14:paraId="4828697C">
                    <w:pPr>
                      <w:pStyle w:val="3"/>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15327">
    <w:pPr>
      <w:pStyle w:val="2"/>
      <w:spacing w:line="176" w:lineRule="auto"/>
      <w:ind w:left="2980"/>
    </w:pPr>
    <w:r>
      <w:rPr>
        <w:sz w:val="24"/>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46DF22">
                          <w:pPr>
                            <w:pStyle w:val="3"/>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14:paraId="1946DF22">
                    <w:pPr>
                      <w:pStyle w:val="3"/>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DA0B3">
    <w:pPr>
      <w:pStyle w:val="2"/>
      <w:spacing w:line="175" w:lineRule="auto"/>
      <w:ind w:left="3141"/>
      <w:rPr>
        <w:sz w:val="25"/>
        <w:szCs w:val="25"/>
      </w:rPr>
    </w:pPr>
    <w:r>
      <w:rPr>
        <w:sz w:val="25"/>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0CD05F">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6D0CD05F">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A9238">
    <w:pPr>
      <w:pStyle w:val="2"/>
      <w:spacing w:line="175" w:lineRule="auto"/>
      <w:ind w:left="3100"/>
    </w:pPr>
    <w:r>
      <w:rPr>
        <w:sz w:val="24"/>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46E242">
                          <w:pPr>
                            <w:pStyle w:val="3"/>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4C46E242">
                    <w:pPr>
                      <w:pStyle w:val="3"/>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7D15A">
    <w:pPr>
      <w:pStyle w:val="2"/>
      <w:spacing w:line="173" w:lineRule="auto"/>
      <w:ind w:left="2980"/>
      <w:rPr>
        <w:sz w:val="19"/>
        <w:szCs w:val="19"/>
      </w:rPr>
    </w:pPr>
    <w:r>
      <w:rPr>
        <w:sz w:val="19"/>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698818">
                          <w:pPr>
                            <w:pStyle w:val="3"/>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14:paraId="71698818">
                    <w:pPr>
                      <w:pStyle w:val="3"/>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CF0D3">
    <w:pPr>
      <w:pStyle w:val="2"/>
      <w:spacing w:line="175" w:lineRule="auto"/>
      <w:ind w:left="3105"/>
      <w:rPr>
        <w:sz w:val="25"/>
        <w:szCs w:val="25"/>
      </w:rPr>
    </w:pPr>
    <w:r>
      <w:rPr>
        <w:sz w:val="25"/>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460E15">
                          <w:pPr>
                            <w:pStyle w:val="3"/>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14:paraId="6B460E15">
                    <w:pPr>
                      <w:pStyle w:val="3"/>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B7C6C">
    <w:pPr>
      <w:pStyle w:val="2"/>
      <w:spacing w:line="175" w:lineRule="auto"/>
      <w:ind w:left="2980"/>
    </w:pPr>
    <w:r>
      <w:rPr>
        <w:sz w:val="24"/>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93D67C">
                          <w:pPr>
                            <w:pStyle w:val="3"/>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14:paraId="7A93D67C">
                    <w:pPr>
                      <w:pStyle w:val="3"/>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863BF">
    <w:pPr>
      <w:spacing w:line="14" w:lineRule="auto"/>
      <w:rPr>
        <w:rFonts w:ascii="Arial"/>
        <w:sz w:val="2"/>
      </w:rPr>
    </w:pPr>
    <w:r>
      <w:rPr>
        <w:sz w:val="2"/>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BCDCA4">
                          <w:pPr>
                            <w:pStyle w:val="3"/>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v:fill on="f" focussize="0,0"/>
              <v:stroke on="f" weight="0.5pt"/>
              <v:imagedata o:title=""/>
              <o:lock v:ext="edit" aspectratio="f"/>
              <v:textbox inset="0mm,0mm,0mm,0mm" style="mso-fit-shape-to-text:t;">
                <w:txbxContent>
                  <w:p w14:paraId="3EBCDCA4">
                    <w:pPr>
                      <w:pStyle w:val="3"/>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6E1FD">
    <w:pPr>
      <w:pStyle w:val="2"/>
      <w:spacing w:line="175" w:lineRule="auto"/>
      <w:ind w:left="3019"/>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BCC424">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0CBCC424">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514EF">
    <w:pPr>
      <w:pStyle w:val="2"/>
      <w:spacing w:line="175" w:lineRule="auto"/>
      <w:ind w:left="3146"/>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B36EA0">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21B36EA0">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29282">
    <w:pPr>
      <w:pStyle w:val="2"/>
      <w:spacing w:line="174" w:lineRule="auto"/>
      <w:ind w:left="3030"/>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D67191">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15D67191">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89BCB">
    <w:pPr>
      <w:pStyle w:val="2"/>
      <w:spacing w:line="175" w:lineRule="auto"/>
      <w:ind w:left="3150"/>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D7B5D1">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67D7B5D1">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2BDCD">
    <w:pPr>
      <w:pStyle w:val="2"/>
      <w:spacing w:line="174" w:lineRule="auto"/>
      <w:ind w:left="3030"/>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60C3C9">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3260C3C9">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1A36">
    <w:pPr>
      <w:pStyle w:val="2"/>
      <w:spacing w:line="175" w:lineRule="auto"/>
      <w:ind w:left="3019"/>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9EC7EF">
                          <w:pPr>
                            <w:pStyle w:val="3"/>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159EC7EF">
                    <w:pPr>
                      <w:pStyle w:val="3"/>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FB9BE">
    <w:pPr>
      <w:pStyle w:val="2"/>
      <w:spacing w:line="172" w:lineRule="auto"/>
      <w:ind w:left="3030"/>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7B8C20">
                          <w:pPr>
                            <w:pStyle w:val="3"/>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1A7B8C20">
                    <w:pPr>
                      <w:pStyle w:val="3"/>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DC2E8">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940A7">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54C0E">
    <w:pPr>
      <w:spacing w:line="14" w:lineRule="auto"/>
      <w:rPr>
        <w:rFonts w:ascii="Arial"/>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A1924">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F1166">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15FE9B"/>
    <w:multiLevelType w:val="singleLevel"/>
    <w:tmpl w:val="CD15FE9B"/>
    <w:lvl w:ilvl="0" w:tentative="0">
      <w:start w:val="1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zlkOTkwMDUxZTU5YzM5MTQ4ODM0NGZkMDM2OTQwYWIifQ=="/>
  </w:docVars>
  <w:rsids>
    <w:rsidRoot w:val="00000000"/>
    <w:rsid w:val="02A3369B"/>
    <w:rsid w:val="0BAB3236"/>
    <w:rsid w:val="0E821FED"/>
    <w:rsid w:val="0EC10B69"/>
    <w:rsid w:val="0F497356"/>
    <w:rsid w:val="121E0129"/>
    <w:rsid w:val="15C03D1C"/>
    <w:rsid w:val="1A9710B2"/>
    <w:rsid w:val="25872D25"/>
    <w:rsid w:val="278A494C"/>
    <w:rsid w:val="27C47EAF"/>
    <w:rsid w:val="284415CA"/>
    <w:rsid w:val="30847806"/>
    <w:rsid w:val="43C05806"/>
    <w:rsid w:val="44F543D6"/>
    <w:rsid w:val="46463934"/>
    <w:rsid w:val="52302EF2"/>
    <w:rsid w:val="53B00AA6"/>
    <w:rsid w:val="5D997B9D"/>
    <w:rsid w:val="5DC63691"/>
    <w:rsid w:val="66727127"/>
    <w:rsid w:val="713A6300"/>
    <w:rsid w:val="746679DF"/>
    <w:rsid w:val="79B77C01"/>
    <w:rsid w:val="7C537F1E"/>
    <w:rsid w:val="7EB02B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2.png"/><Relationship Id="rId35" Type="http://schemas.openxmlformats.org/officeDocument/2006/relationships/image" Target="media/image1.jpeg"/><Relationship Id="rId34" Type="http://schemas.openxmlformats.org/officeDocument/2006/relationships/theme" Target="theme/theme1.xml"/><Relationship Id="rId33" Type="http://schemas.openxmlformats.org/officeDocument/2006/relationships/footer" Target="footer24.xml"/><Relationship Id="rId32" Type="http://schemas.openxmlformats.org/officeDocument/2006/relationships/footer" Target="footer23.xml"/><Relationship Id="rId31" Type="http://schemas.openxmlformats.org/officeDocument/2006/relationships/header" Target="header5.xml"/><Relationship Id="rId30" Type="http://schemas.openxmlformats.org/officeDocument/2006/relationships/footer" Target="footer22.xml"/><Relationship Id="rId3" Type="http://schemas.openxmlformats.org/officeDocument/2006/relationships/footnotes" Target="footnotes.xml"/><Relationship Id="rId29" Type="http://schemas.openxmlformats.org/officeDocument/2006/relationships/header" Target="header4.xml"/><Relationship Id="rId28" Type="http://schemas.openxmlformats.org/officeDocument/2006/relationships/footer" Target="footer21.xml"/><Relationship Id="rId27" Type="http://schemas.openxmlformats.org/officeDocument/2006/relationships/header" Target="header3.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44</Pages>
  <Words>7803</Words>
  <Characters>8019</Characters>
  <TotalTime>24</TotalTime>
  <ScaleCrop>false</ScaleCrop>
  <LinksUpToDate>false</LinksUpToDate>
  <CharactersWithSpaces>8238</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2024-11-25T08:59:00Z</dcterms:created>
  <dc:creator>Kingsoft-PDF</dc:creator>
  <cp:lastModifiedBy>jenney</cp:lastModifiedBy>
  <dcterms:modified xsi:type="dcterms:W3CDTF">2024-12-03T01:16:34Z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2024-11-25T08:59:05Z</vt:filetime>
  </property>
  <property fmtid="{D5CDD505-2E9C-101B-9397-08002B2CF9AE}" pid="4" name="UsrData">
    <vt:lpwstr>6743cbd4924d7800209b2194wl</vt:lpwstr>
  </property>
  <property fmtid="{D5CDD505-2E9C-101B-9397-08002B2CF9AE}" pid="5" name="KSOProductBuildVer">
    <vt:lpwstr>2052-12.1.0.18912</vt:lpwstr>
  </property>
  <property fmtid="{D5CDD505-2E9C-101B-9397-08002B2CF9AE}" pid="6" name="ICV">
    <vt:lpwstr>B8F705A2FFAC4BA4BCA21A25370C0DCF_13</vt:lpwstr>
  </property>
</Properties>
</file>