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A88B3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</w:p>
    <w:p w14:paraId="0251F01B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广水市政府采购网上商城</w:t>
      </w:r>
    </w:p>
    <w:p w14:paraId="61F822AF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框架协议采购</w:t>
      </w:r>
      <w:bookmarkStart w:id="21" w:name="_GoBack"/>
      <w:bookmarkEnd w:id="2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入驻</w:t>
      </w:r>
    </w:p>
    <w:p w14:paraId="7D2A6C0D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4C593C9A">
      <w:pPr>
        <w:pStyle w:val="22"/>
        <w:keepNext w:val="0"/>
        <w:keepLines w:val="0"/>
        <w:pageBreakBefore w:val="0"/>
        <w:widowControl w:val="0"/>
        <w:tabs>
          <w:tab w:val="left" w:pos="6557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20CBD671">
      <w:pPr>
        <w:pStyle w:val="22"/>
        <w:keepNext w:val="0"/>
        <w:keepLines w:val="0"/>
        <w:pageBreakBefore w:val="0"/>
        <w:widowControl w:val="0"/>
        <w:tabs>
          <w:tab w:val="left" w:pos="6557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3FBF4901">
      <w:pPr>
        <w:pStyle w:val="22"/>
        <w:keepNext w:val="0"/>
        <w:keepLines w:val="0"/>
        <w:pageBreakBefore w:val="0"/>
        <w:widowControl w:val="0"/>
        <w:tabs>
          <w:tab w:val="left" w:pos="6557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5584AFF8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操</w:t>
      </w:r>
    </w:p>
    <w:p w14:paraId="41222E31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作</w:t>
      </w:r>
    </w:p>
    <w:p w14:paraId="0FF4DCEE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指</w:t>
      </w:r>
    </w:p>
    <w:p w14:paraId="2C4DA77B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南</w:t>
      </w:r>
    </w:p>
    <w:p w14:paraId="085D11E1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</w:p>
    <w:p w14:paraId="22BB7839">
      <w:pPr>
        <w:pStyle w:val="22"/>
        <w:bidi w:val="0"/>
        <w:rPr>
          <w:rStyle w:val="25"/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sectPr>
          <w:pgSz w:w="11906" w:h="16838"/>
          <w:pgMar w:top="1134" w:right="1701" w:bottom="1134" w:left="170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Style w:val="25"/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2026年1月</w:t>
      </w:r>
    </w:p>
    <w:sdt>
      <w:sdtPr>
        <w:rPr>
          <w:rFonts w:ascii="宋体" w:hAnsi="宋体" w:eastAsia="宋体" w:cs="仿宋"/>
          <w:kern w:val="2"/>
          <w:sz w:val="21"/>
          <w:szCs w:val="28"/>
          <w:lang w:val="en-US" w:eastAsia="zh-CN" w:bidi="ar-SA"/>
        </w:rPr>
        <w:id w:val="147454895"/>
        <w15:color w:val="DBDBDB"/>
        <w:docPartObj>
          <w:docPartGallery w:val="Table of Contents"/>
          <w:docPartUnique/>
        </w:docPartObj>
      </w:sdtPr>
      <w:sdtEndPr>
        <w:rPr>
          <w:rFonts w:hint="default" w:ascii="方正小标宋简体" w:hAnsi="方正小标宋简体" w:eastAsia="方正小标宋简体" w:cs="方正小标宋简体"/>
          <w:b/>
          <w:bCs/>
          <w:kern w:val="2"/>
          <w:sz w:val="72"/>
          <w:szCs w:val="32"/>
          <w:lang w:val="en-US" w:eastAsia="zh-CN" w:bidi="ar-SA"/>
        </w:rPr>
      </w:sdtEndPr>
      <w:sdtContent>
        <w:p w14:paraId="24C3F1B2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Chars="0" w:right="0" w:rightChars="0" w:firstLineChars="0"/>
            <w:jc w:val="center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b/>
              <w:bCs/>
              <w:sz w:val="32"/>
              <w:szCs w:val="32"/>
            </w:rPr>
            <w:t>目录</w:t>
          </w:r>
        </w:p>
        <w:p w14:paraId="47D366E6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Chars="0" w:right="0" w:rightChars="0" w:firstLineChars="0"/>
            <w:jc w:val="center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</w:p>
        <w:p w14:paraId="66E61151"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Style w:val="25"/>
              <w:rFonts w:hint="default" w:ascii="方正小标宋简体" w:hAnsi="方正小标宋简体" w:eastAsia="方正小标宋简体" w:cs="方正小标宋简体"/>
              <w:b w:val="0"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Style w:val="25"/>
              <w:rFonts w:hint="default" w:ascii="方正小标宋简体" w:hAnsi="方正小标宋简体" w:eastAsia="方正小标宋简体" w:cs="方正小标宋简体"/>
              <w:b w:val="0"/>
              <w:bCs/>
              <w:sz w:val="32"/>
              <w:szCs w:val="32"/>
              <w:lang w:val="en-US" w:eastAsia="zh-CN"/>
            </w:rPr>
            <w:instrText xml:space="preserve">TOC \o "1-3" \h \u </w:instrText>
          </w:r>
          <w:r>
            <w:rPr>
              <w:rStyle w:val="25"/>
              <w:rFonts w:hint="default" w:ascii="方正小标宋简体" w:hAnsi="方正小标宋简体" w:eastAsia="方正小标宋简体" w:cs="方正小标宋简体"/>
              <w:b w:val="0"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_Toc14711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第一章 </w:t>
          </w:r>
          <w:r>
            <w:rPr>
              <w:rFonts w:hint="eastAsia" w:ascii="黑体" w:hAnsi="黑体" w:eastAsia="黑体" w:cs="黑体"/>
              <w:szCs w:val="32"/>
              <w:lang w:val="en-US" w:eastAsia="zh-CN"/>
            </w:rPr>
            <w:t>用户注册与CA办理</w:t>
          </w:r>
          <w:r>
            <w:tab/>
          </w:r>
          <w:r>
            <w:fldChar w:fldCharType="begin"/>
          </w:r>
          <w:r>
            <w:instrText xml:space="preserve"> PAGEREF _Toc14711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689FCF42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_Toc5625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</w:rPr>
            <w:t xml:space="preserve">一、 </w:t>
          </w:r>
          <w:r>
            <w:rPr>
              <w:rFonts w:hint="eastAsia"/>
              <w:lang w:val="en-US" w:eastAsia="zh-CN"/>
            </w:rPr>
            <w:t>用户注册</w:t>
          </w:r>
          <w:r>
            <w:tab/>
          </w:r>
          <w:r>
            <w:fldChar w:fldCharType="begin"/>
          </w:r>
          <w:r>
            <w:instrText xml:space="preserve"> PAGEREF _Toc5625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315A60A2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_Toc30901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</w:rPr>
            <w:t xml:space="preserve">二、 </w:t>
          </w:r>
          <w:r>
            <w:rPr>
              <w:rFonts w:hint="eastAsia"/>
              <w:lang w:val="en-US" w:eastAsia="zh-CN"/>
            </w:rPr>
            <w:t>CA办理</w:t>
          </w:r>
          <w:r>
            <w:tab/>
          </w:r>
          <w:r>
            <w:fldChar w:fldCharType="begin"/>
          </w:r>
          <w:r>
            <w:instrText xml:space="preserve"> PAGEREF _Toc30901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5561F313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_Toc1836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 办理电子营业执照</w:t>
          </w:r>
          <w:r>
            <w:tab/>
          </w:r>
          <w:r>
            <w:fldChar w:fldCharType="begin"/>
          </w:r>
          <w:r>
            <w:instrText xml:space="preserve"> PAGEREF _Toc1836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2E7BCE59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_Toc6513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 办理实体CA</w:t>
          </w:r>
          <w:r>
            <w:tab/>
          </w:r>
          <w:r>
            <w:fldChar w:fldCharType="begin"/>
          </w:r>
          <w:r>
            <w:instrText xml:space="preserve"> PAGEREF _Toc6513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23630EC7"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_Toc17556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第二章 登录</w:t>
          </w:r>
          <w:r>
            <w:tab/>
          </w:r>
          <w:r>
            <w:fldChar w:fldCharType="begin"/>
          </w:r>
          <w:r>
            <w:instrText xml:space="preserve"> PAGEREF _Toc17556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7C28FD07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_Toc3204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一、 登录商城</w:t>
          </w:r>
          <w:r>
            <w:tab/>
          </w:r>
          <w:r>
            <w:fldChar w:fldCharType="begin"/>
          </w:r>
          <w:r>
            <w:instrText xml:space="preserve"> PAGEREF _Toc3204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757856A0"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_Toc19224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第三章 货物入驻</w:t>
          </w:r>
          <w:r>
            <w:tab/>
          </w:r>
          <w:r>
            <w:fldChar w:fldCharType="begin"/>
          </w:r>
          <w:r>
            <w:instrText xml:space="preserve"> PAGEREF _Toc19224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00B747E9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_Toc13541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一、 详情维护</w:t>
          </w:r>
          <w:r>
            <w:tab/>
          </w:r>
          <w:r>
            <w:fldChar w:fldCharType="begin"/>
          </w:r>
          <w:r>
            <w:instrText xml:space="preserve"> PAGEREF _Toc13541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01E2181F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_Toc3284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二、 管理协议</w:t>
          </w:r>
          <w:r>
            <w:tab/>
          </w:r>
          <w:r>
            <w:fldChar w:fldCharType="begin"/>
          </w:r>
          <w:r>
            <w:instrText xml:space="preserve"> PAGEREF _Toc3284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0152D2BF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_Toc29493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三、 代理商维护</w:t>
          </w:r>
          <w:r>
            <w:tab/>
          </w:r>
          <w:r>
            <w:fldChar w:fldCharType="begin"/>
          </w:r>
          <w:r>
            <w:instrText xml:space="preserve"> PAGEREF _Toc29493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1CC23ECD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_Toc10998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 入围供应商授权代理商</w:t>
          </w:r>
          <w:r>
            <w:tab/>
          </w:r>
          <w:r>
            <w:fldChar w:fldCharType="begin"/>
          </w:r>
          <w:r>
            <w:instrText xml:space="preserve"> PAGEREF _Toc10998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7DFBC9E7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_Toc25271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 代理商向入围供应商发起申请</w:t>
          </w:r>
          <w:r>
            <w:tab/>
          </w:r>
          <w:r>
            <w:fldChar w:fldCharType="begin"/>
          </w:r>
          <w:r>
            <w:instrText xml:space="preserve"> PAGEREF _Toc25271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0836ADF1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_Toc32600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四、 框架协议入驻提交</w:t>
          </w:r>
          <w:r>
            <w:tab/>
          </w:r>
          <w:r>
            <w:fldChar w:fldCharType="begin"/>
          </w:r>
          <w:r>
            <w:instrText xml:space="preserve"> PAGEREF _Toc32600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5E5D328E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_Toc31478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五、 商品管理</w:t>
          </w:r>
          <w:r>
            <w:tab/>
          </w:r>
          <w:r>
            <w:fldChar w:fldCharType="begin"/>
          </w:r>
          <w:r>
            <w:instrText xml:space="preserve"> PAGEREF _Toc31478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3002544A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_Toc31756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 商品维护</w:t>
          </w:r>
          <w:r>
            <w:tab/>
          </w:r>
          <w:r>
            <w:fldChar w:fldCharType="begin"/>
          </w:r>
          <w:r>
            <w:instrText xml:space="preserve"> PAGEREF _Toc31756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6CB7B545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_Toc9124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 提交审核</w:t>
          </w:r>
          <w:r>
            <w:tab/>
          </w:r>
          <w:r>
            <w:fldChar w:fldCharType="begin"/>
          </w:r>
          <w:r>
            <w:instrText xml:space="preserve"> PAGEREF _Toc9124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1336E884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504"/>
              <w:tab w:val="clear" w:pos="6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textAlignment w:val="auto"/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begin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instrText xml:space="preserve"> HYPERLINK \l _Toc22590 </w:instrText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（三） 货物代理商品（商品报价）</w:t>
          </w:r>
          <w:r>
            <w:tab/>
          </w:r>
          <w:r>
            <w:fldChar w:fldCharType="begin"/>
          </w:r>
          <w:r>
            <w:instrText xml:space="preserve"> PAGEREF _Toc22590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  <w:p w14:paraId="5D311990">
          <w:pPr>
            <w:pStyle w:val="22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Chars="0"/>
            <w:jc w:val="both"/>
            <w:textAlignment w:val="auto"/>
            <w:rPr>
              <w:rFonts w:hint="default" w:ascii="方正小标宋简体" w:hAnsi="方正小标宋简体" w:eastAsia="方正小标宋简体" w:cs="方正小标宋简体"/>
              <w:b/>
              <w:bCs/>
              <w:kern w:val="2"/>
              <w:sz w:val="72"/>
              <w:szCs w:val="32"/>
              <w:lang w:val="en-US" w:eastAsia="zh-CN" w:bidi="ar-SA"/>
            </w:rPr>
          </w:pPr>
          <w:r>
            <w:rPr>
              <w:rFonts w:hint="default" w:ascii="方正小标宋简体" w:hAnsi="方正小标宋简体" w:eastAsia="方正小标宋简体" w:cs="方正小标宋简体"/>
              <w:bCs/>
              <w:szCs w:val="32"/>
              <w:lang w:val="en-US" w:eastAsia="zh-CN"/>
            </w:rPr>
            <w:fldChar w:fldCharType="end"/>
          </w:r>
        </w:p>
      </w:sdtContent>
    </w:sdt>
    <w:p w14:paraId="43AE2EC5">
      <w:pPr>
        <w:pStyle w:val="22"/>
        <w:bidi w:val="0"/>
        <w:jc w:val="both"/>
        <w:rPr>
          <w:rFonts w:hint="default" w:ascii="方正小标宋简体" w:hAnsi="方正小标宋简体" w:eastAsia="方正小标宋简体" w:cs="方正小标宋简体"/>
          <w:b/>
          <w:bCs/>
          <w:kern w:val="2"/>
          <w:sz w:val="72"/>
          <w:szCs w:val="32"/>
          <w:lang w:val="en-US" w:eastAsia="zh-CN" w:bidi="ar-SA"/>
        </w:rPr>
        <w:sectPr>
          <w:pgSz w:w="11906" w:h="16838"/>
          <w:pgMar w:top="1134" w:right="1701" w:bottom="1134" w:left="1701" w:header="851" w:footer="992" w:gutter="0"/>
          <w:pgNumType w:fmt="decimal"/>
          <w:cols w:space="425" w:num="1"/>
          <w:docGrid w:type="lines" w:linePitch="312" w:charSpace="0"/>
        </w:sectPr>
      </w:pPr>
    </w:p>
    <w:p w14:paraId="1C33C809">
      <w:pPr>
        <w:pStyle w:val="2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0" w:name="_Toc12998"/>
      <w:bookmarkStart w:id="1" w:name="_Toc14711"/>
      <w:r>
        <w:rPr>
          <w:rFonts w:hint="eastAsia" w:eastAsia="黑体" w:cs="仿宋" w:asciiTheme="minorAscii" w:hAnsiTheme="minorAscii"/>
          <w:b/>
          <w:kern w:val="44"/>
          <w:sz w:val="32"/>
          <w:szCs w:val="28"/>
          <w:lang w:val="en-US" w:eastAsia="zh-CN" w:bidi="ar-SA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用户注册与CA办理</w:t>
      </w:r>
      <w:bookmarkEnd w:id="0"/>
      <w:bookmarkEnd w:id="1"/>
    </w:p>
    <w:p w14:paraId="1A55F261">
      <w:pPr>
        <w:pStyle w:val="3"/>
        <w:numPr>
          <w:ilvl w:val="0"/>
          <w:numId w:val="0"/>
        </w:numPr>
        <w:bidi w:val="0"/>
        <w:ind w:left="0" w:leftChars="0" w:firstLine="0" w:firstLineChars="0"/>
      </w:pPr>
      <w:bookmarkStart w:id="2" w:name="_Toc5625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/>
          <w:lang w:val="en-US" w:eastAsia="zh-CN"/>
        </w:rPr>
        <w:t>用户注册</w:t>
      </w:r>
      <w:bookmarkEnd w:id="2"/>
    </w:p>
    <w:p w14:paraId="3B792A5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进入湖北省政府采购网上商城，网址：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"https://wssc.hbggzy.cn/home"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7"/>
          <w:rFonts w:hint="eastAsia" w:ascii="仿宋" w:hAnsi="仿宋" w:eastAsia="仿宋" w:cs="仿宋"/>
          <w:szCs w:val="32"/>
          <w:lang w:val="en-US" w:eastAsia="zh-CN"/>
        </w:rPr>
        <w:t>https://wssc.hbggzy.cn/home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，点击“用户注册”。</w:t>
      </w:r>
      <w:r>
        <w:drawing>
          <wp:inline distT="0" distB="0" distL="114300" distR="114300">
            <wp:extent cx="5398770" cy="3311525"/>
            <wp:effectExtent l="9525" t="9525" r="20955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3311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BAFE46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点击下方“立即注册”注册账号，</w:t>
      </w:r>
      <w:r>
        <w:rPr>
          <w:rFonts w:hint="default"/>
          <w:lang w:val="en-US" w:eastAsia="zh-CN"/>
        </w:rPr>
        <w:t>界面右侧设有在线客服入口</w:t>
      </w:r>
      <w:r>
        <w:rPr>
          <w:rFonts w:hint="eastAsia"/>
          <w:lang w:val="en-US" w:eastAsia="zh-CN"/>
        </w:rPr>
        <w:t>，如在注册时遇到问题可咨询右侧的在线客服。</w:t>
      </w:r>
      <w:r>
        <w:drawing>
          <wp:inline distT="0" distB="0" distL="114300" distR="114300">
            <wp:extent cx="5390515" cy="2491740"/>
            <wp:effectExtent l="9525" t="9525" r="10160" b="1333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2491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3012FB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填写机构相关信息，点击“立即注册”，注册完成，点击“立即登录”进入登录界面。</w:t>
      </w:r>
    </w:p>
    <w:p w14:paraId="14D023D2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392420" cy="3190240"/>
            <wp:effectExtent l="9525" t="9525" r="27305" b="1968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90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2420" cy="1852295"/>
            <wp:effectExtent l="9525" t="9525" r="27305" b="2413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18522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65E024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4.</w:t>
      </w:r>
      <w:r>
        <w:rPr>
          <w:rFonts w:hint="eastAsia"/>
          <w:lang w:val="en-US" w:eastAsia="zh-CN"/>
        </w:rPr>
        <w:t>输入“账号/密码/验证码”，点击“登录”进入单位信息管理界面。</w:t>
      </w:r>
    </w:p>
    <w:p w14:paraId="365135AE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8770" cy="2247900"/>
            <wp:effectExtent l="9525" t="9525" r="20955" b="952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224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B0FD2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5.</w:t>
      </w:r>
      <w:r>
        <w:rPr>
          <w:rFonts w:hint="eastAsia"/>
          <w:lang w:val="en-US" w:eastAsia="zh-CN"/>
        </w:rPr>
        <w:t>点击“修改信息”补充完善机构相关的信息。</w:t>
      </w:r>
    </w:p>
    <w:p w14:paraId="2E74A022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0515" cy="2628900"/>
            <wp:effectExtent l="9525" t="9525" r="10160" b="9525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2628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776DD7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6.</w:t>
      </w:r>
      <w:r>
        <w:rPr>
          <w:rFonts w:hint="eastAsia"/>
          <w:lang w:val="en-US" w:eastAsia="zh-CN"/>
        </w:rPr>
        <w:t>如需返回网上商城，点击右上角的“X”，回到一体化的首页，点击“网上商城”即可返回商城。</w:t>
      </w:r>
    </w:p>
    <w:p w14:paraId="0072C3E1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4960" cy="1830705"/>
            <wp:effectExtent l="9525" t="9525" r="24765" b="2667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4"/>
                    <a:srcRect b="1594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830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83530" cy="1865630"/>
            <wp:effectExtent l="9525" t="9525" r="17145" b="1079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5"/>
                    <a:srcRect b="3767"/>
                    <a:stretch>
                      <a:fillRect/>
                    </a:stretch>
                  </pic:blipFill>
                  <pic:spPr>
                    <a:xfrm>
                      <a:off x="0" y="0"/>
                      <a:ext cx="5383530" cy="1865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03BAF6">
      <w:pPr>
        <w:numPr>
          <w:ilvl w:val="0"/>
          <w:numId w:val="0"/>
        </w:numPr>
        <w:bidi w:val="0"/>
      </w:pPr>
    </w:p>
    <w:p w14:paraId="76908625">
      <w:pPr>
        <w:pStyle w:val="3"/>
        <w:numPr>
          <w:ilvl w:val="0"/>
          <w:numId w:val="0"/>
        </w:numPr>
        <w:bidi w:val="0"/>
        <w:ind w:left="0" w:leftChars="0" w:firstLine="0" w:firstLineChars="0"/>
      </w:pPr>
      <w:bookmarkStart w:id="3" w:name="_Toc30901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/>
          <w:lang w:val="en-US" w:eastAsia="zh-CN"/>
        </w:rPr>
        <w:t>CA办理</w:t>
      </w:r>
      <w:bookmarkEnd w:id="3"/>
    </w:p>
    <w:p w14:paraId="1072821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在浏览器输入网址：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"https://wssc.hbggzy.cn/home"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7"/>
          <w:rFonts w:hint="eastAsia" w:ascii="仿宋" w:hAnsi="仿宋" w:eastAsia="仿宋" w:cs="仿宋"/>
          <w:szCs w:val="32"/>
          <w:lang w:val="en-US" w:eastAsia="zh-CN"/>
        </w:rPr>
        <w:t>https://wssc.hbggzy.cn/home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进入湖北省政府采购网上商城首页，点击右侧“”按钮，跳转至选择身份页面。</w:t>
      </w:r>
    </w:p>
    <w:p w14:paraId="6C7AC6C9">
      <w:pPr>
        <w:numPr>
          <w:ilvl w:val="0"/>
          <w:numId w:val="0"/>
        </w:numPr>
      </w:pPr>
      <w:r>
        <w:drawing>
          <wp:inline distT="0" distB="0" distL="114300" distR="114300">
            <wp:extent cx="5392420" cy="2222500"/>
            <wp:effectExtent l="0" t="0" r="0" b="0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rcRect b="32937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2222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80EBB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点击“市场主体（采购人、供应商）”按钮，跳转至用户页面。</w:t>
      </w:r>
    </w:p>
    <w:p w14:paraId="0B731FDA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4960" cy="2894330"/>
            <wp:effectExtent l="0" t="0" r="0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D6620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支持“扫码”和“实体CA”两种方式，可根据实际需求选择对应的类型办理电子营业执照或实体CA。</w:t>
      </w:r>
    </w:p>
    <w:p w14:paraId="22135C65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1785" cy="2596515"/>
            <wp:effectExtent l="9525" t="9525" r="27940" b="22860"/>
            <wp:docPr id="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25965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7CA9AB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eastAsia"/>
          <w:lang w:val="en-US" w:eastAsia="zh-CN"/>
        </w:rPr>
      </w:pPr>
      <w:bookmarkStart w:id="4" w:name="_Toc1836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（一）</w:t>
      </w:r>
      <w:r>
        <w:rPr>
          <w:rFonts w:hint="eastAsia"/>
          <w:lang w:val="en-US" w:eastAsia="zh-CN"/>
        </w:rPr>
        <w:t>办理电子营业执照</w:t>
      </w:r>
      <w:bookmarkEnd w:id="4"/>
    </w:p>
    <w:p w14:paraId="2FAB15F2">
      <w:pPr>
        <w:pStyle w:val="24"/>
        <w:bidi w:val="0"/>
      </w:pPr>
      <w:r>
        <w:rPr>
          <w:rFonts w:hint="eastAsia"/>
          <w:sz w:val="32"/>
          <w:szCs w:val="32"/>
          <w:lang w:val="en-US" w:eastAsia="zh-CN"/>
        </w:rPr>
        <w:t>界面下方有操作指引，请按指引进行办理，如在办理时遇到问题可咨询右侧的在线客服。</w:t>
      </w:r>
      <w:r>
        <w:drawing>
          <wp:inline distT="0" distB="0" distL="114300" distR="114300">
            <wp:extent cx="5387975" cy="2435225"/>
            <wp:effectExtent l="9525" t="9525" r="12700" b="12700"/>
            <wp:docPr id="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2435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F4CD33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eastAsia"/>
          <w:lang w:val="en-US" w:eastAsia="zh-CN"/>
        </w:rPr>
      </w:pPr>
      <w:bookmarkStart w:id="5" w:name="_Toc6513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（二）</w:t>
      </w:r>
      <w:r>
        <w:rPr>
          <w:rFonts w:hint="eastAsia"/>
          <w:lang w:val="en-US" w:eastAsia="zh-CN"/>
        </w:rPr>
        <w:t>办理实体CA</w:t>
      </w:r>
      <w:bookmarkEnd w:id="5"/>
    </w:p>
    <w:p w14:paraId="7E60158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在浏览器输入网址：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"https://wssc.hbggzy.cn/home"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7"/>
          <w:rFonts w:hint="eastAsia" w:ascii="仿宋" w:hAnsi="仿宋" w:eastAsia="仿宋" w:cs="仿宋"/>
          <w:szCs w:val="32"/>
          <w:lang w:val="en-US" w:eastAsia="zh-CN"/>
        </w:rPr>
        <w:t>https://wssc.hbggzy.cn/home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进入湖北省政府采购网上商城首页，点击右侧“CA签章办理”按钮，跳转至签章超市页面。</w:t>
      </w:r>
      <w:r>
        <w:drawing>
          <wp:inline distT="0" distB="0" distL="114300" distR="114300">
            <wp:extent cx="5388610" cy="3213735"/>
            <wp:effectExtent l="9525" t="9525" r="12065" b="15240"/>
            <wp:docPr id="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21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BA9E7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支持“中金CA”“北京CA”“湖北CA”三种CA业务的办理，可根据实际需求选择要办理的CA，如在办理时遇到问题可联系下方对应的CA平台进行咨询</w:t>
      </w:r>
    </w:p>
    <w:p w14:paraId="646DBD7B">
      <w:pPr>
        <w:numPr>
          <w:ilvl w:val="0"/>
          <w:numId w:val="0"/>
        </w:numPr>
        <w:bidi w:val="0"/>
        <w:sectPr>
          <w:footerReference r:id="rId5" w:type="default"/>
          <w:pgSz w:w="11906" w:h="16838"/>
          <w:pgMar w:top="1134" w:right="1701" w:bottom="1134" w:left="1701" w:header="851" w:footer="992" w:gutter="0"/>
          <w:pgNumType w:fmt="decimal" w:start="1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386705" cy="3383915"/>
            <wp:effectExtent l="9525" t="9525" r="13970" b="16510"/>
            <wp:docPr id="5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3383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538C15">
      <w:pPr>
        <w:pStyle w:val="2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6" w:name="_Toc17556"/>
      <w:r>
        <w:rPr>
          <w:rFonts w:hint="eastAsia" w:eastAsia="黑体" w:cs="仿宋" w:asciiTheme="minorAscii" w:hAnsiTheme="minorAscii"/>
          <w:b/>
          <w:kern w:val="44"/>
          <w:sz w:val="32"/>
          <w:szCs w:val="28"/>
          <w:lang w:val="en-US" w:eastAsia="zh-CN" w:bidi="ar-SA"/>
        </w:rPr>
        <w:t>第二章</w:t>
      </w:r>
      <w:r>
        <w:rPr>
          <w:rFonts w:hint="eastAsia"/>
          <w:lang w:val="en-US" w:eastAsia="zh-CN"/>
        </w:rPr>
        <w:t>登录</w:t>
      </w:r>
      <w:bookmarkEnd w:id="6"/>
    </w:p>
    <w:p w14:paraId="43BD2926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7" w:name="_Toc3204"/>
      <w:bookmarkStart w:id="8" w:name="_Toc21242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/>
          <w:lang w:val="en-US" w:eastAsia="zh-CN"/>
        </w:rPr>
        <w:t>登录商城</w:t>
      </w:r>
      <w:bookmarkEnd w:id="7"/>
      <w:bookmarkEnd w:id="8"/>
    </w:p>
    <w:p w14:paraId="3FD7D1B0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进入湖北省政府采购网上商城，网址：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instrText xml:space="preserve"> HYPERLINK "https://wssc.hbggzy.cn/home" </w:instrTex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17"/>
          <w:rFonts w:hint="eastAsia" w:ascii="仿宋" w:hAnsi="仿宋" w:eastAsia="仿宋" w:cs="仿宋"/>
          <w:sz w:val="32"/>
          <w:szCs w:val="32"/>
          <w:lang w:val="en-US" w:eastAsia="zh-CN"/>
        </w:rPr>
        <w:t>https://wssc.hbggzy.cn/home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/>
          <w:lang w:val="en-US" w:eastAsia="zh-CN"/>
        </w:rPr>
        <w:t>点击右上角“登录”。</w:t>
      </w:r>
    </w:p>
    <w:p w14:paraId="2CB556C3">
      <w:pPr>
        <w:numPr>
          <w:ilvl w:val="0"/>
          <w:numId w:val="0"/>
        </w:numPr>
      </w:pPr>
      <w:r>
        <w:drawing>
          <wp:inline distT="0" distB="0" distL="114300" distR="114300">
            <wp:extent cx="5394325" cy="2201545"/>
            <wp:effectExtent l="9525" t="9525" r="2540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201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A5058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根据角色，点击“市场主体”进入一体化登录界面。</w:t>
      </w:r>
    </w:p>
    <w:p w14:paraId="0661EF8C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4960" cy="2894330"/>
            <wp:effectExtent l="0" t="0" r="0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F18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一体化平台界面支持三种登录方式：账号登录、扫码登录、实体CA登录。</w:t>
      </w:r>
      <w:r>
        <w:t>平台右侧设有帮助入口，可随时查看、下载对应操作手册</w:t>
      </w:r>
      <w:r>
        <w:rPr>
          <w:rFonts w:hint="eastAsia"/>
          <w:lang w:eastAsia="zh-CN"/>
        </w:rPr>
        <w:t>。</w:t>
      </w:r>
    </w:p>
    <w:p w14:paraId="2AC35828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4325" cy="2544445"/>
            <wp:effectExtent l="0" t="0" r="15875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BC1DC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4.</w:t>
      </w:r>
      <w:r>
        <w:rPr>
          <w:rFonts w:hint="eastAsia"/>
          <w:lang w:val="en-US" w:eastAsia="zh-CN"/>
        </w:rPr>
        <w:t>登录成功，进入一体化平台，点击“网上商城”。</w:t>
      </w:r>
    </w:p>
    <w:p w14:paraId="414B3B7A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89245" cy="2562860"/>
            <wp:effectExtent l="9525" t="9525" r="11430" b="18415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2562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B629BD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5.</w:t>
      </w:r>
      <w:r>
        <w:rPr>
          <w:rFonts w:hint="eastAsia"/>
          <w:lang w:val="en-US" w:eastAsia="zh-CN"/>
        </w:rPr>
        <w:t>核对账号信息，选择账号登录。</w:t>
      </w:r>
    </w:p>
    <w:p w14:paraId="3C794906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4960" cy="2164080"/>
            <wp:effectExtent l="9525" t="9525" r="24765" b="17145"/>
            <wp:docPr id="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164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4DBB41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6.</w:t>
      </w:r>
      <w:r>
        <w:rPr>
          <w:rFonts w:hint="eastAsia"/>
          <w:lang w:val="en-US" w:eastAsia="zh-CN"/>
        </w:rPr>
        <w:t>登录商城</w:t>
      </w:r>
      <w:r>
        <w:t>后，界面右上角将显示所属公司名称及对应角色</w:t>
      </w:r>
      <w:r>
        <w:rPr>
          <w:rFonts w:hint="eastAsia"/>
          <w:lang w:val="en-US" w:eastAsia="zh-CN"/>
        </w:rPr>
        <w:t>，选择随州广水站点，页面将跳转至广水市政府采购网上商城。</w:t>
      </w:r>
    </w:p>
    <w:p w14:paraId="59592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textAlignment w:val="auto"/>
      </w:pPr>
      <w:r>
        <w:drawing>
          <wp:inline distT="0" distB="0" distL="114300" distR="114300">
            <wp:extent cx="5389245" cy="2597150"/>
            <wp:effectExtent l="0" t="0" r="5715" b="88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25507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7.</w:t>
      </w:r>
      <w:r>
        <w:rPr>
          <w:rFonts w:hint="eastAsia"/>
          <w:lang w:val="en-US" w:eastAsia="zh-CN"/>
        </w:rPr>
        <w:t>在对应站点点击“工作台”进入操作后台。或在对应站点首页</w:t>
      </w:r>
      <w:r>
        <w:t>右下方</w:t>
      </w:r>
      <w:r>
        <w:rPr>
          <w:rFonts w:hint="eastAsia"/>
          <w:lang w:val="en-US" w:eastAsia="zh-CN"/>
        </w:rPr>
        <w:t>点击</w:t>
      </w:r>
      <w:r>
        <w:rPr>
          <w:rFonts w:hint="eastAsia"/>
          <w:lang w:eastAsia="zh-CN"/>
        </w:rPr>
        <w:t>“</w:t>
      </w:r>
      <w:r>
        <w:rPr>
          <w:rFonts w:hint="default"/>
        </w:rPr>
        <w:t>厂商/代理商入驻</w:t>
      </w:r>
      <w:r>
        <w:rPr>
          <w:rFonts w:hint="eastAsia"/>
          <w:lang w:eastAsia="zh-CN"/>
        </w:rPr>
        <w:t>”</w:t>
      </w:r>
      <w:r>
        <w:rPr>
          <w:rFonts w:hint="default"/>
        </w:rPr>
        <w:t>的快捷通道。</w:t>
      </w:r>
      <w:r>
        <w:drawing>
          <wp:inline distT="0" distB="0" distL="114300" distR="114300">
            <wp:extent cx="5396230" cy="3405505"/>
            <wp:effectExtent l="9525" t="9525" r="23495" b="1397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405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F06BA4">
      <w:pPr>
        <w:numPr>
          <w:ilvl w:val="0"/>
          <w:numId w:val="0"/>
        </w:numPr>
        <w:sectPr>
          <w:pgSz w:w="11906" w:h="16838"/>
          <w:pgMar w:top="1134" w:right="1701" w:bottom="1134" w:left="1701" w:header="851" w:footer="992" w:gutter="0"/>
          <w:pgNumType w:fmt="decimal"/>
          <w:cols w:space="425" w:num="1"/>
          <w:docGrid w:type="lines" w:linePitch="312" w:charSpace="0"/>
        </w:sectPr>
      </w:pPr>
    </w:p>
    <w:p w14:paraId="55D2E124">
      <w:pPr>
        <w:pStyle w:val="2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9" w:name="_Toc19224"/>
      <w:r>
        <w:rPr>
          <w:rFonts w:hint="eastAsia" w:eastAsia="黑体" w:cs="仿宋" w:asciiTheme="minorAscii" w:hAnsiTheme="minorAscii"/>
          <w:b/>
          <w:kern w:val="44"/>
          <w:sz w:val="32"/>
          <w:szCs w:val="28"/>
          <w:lang w:val="en-US" w:eastAsia="zh-CN" w:bidi="ar-SA"/>
        </w:rPr>
        <w:t>第三章</w:t>
      </w:r>
      <w:r>
        <w:rPr>
          <w:rFonts w:hint="eastAsia"/>
          <w:lang w:val="en-US" w:eastAsia="zh-CN"/>
        </w:rPr>
        <w:t>货物入驻</w:t>
      </w:r>
      <w:bookmarkEnd w:id="9"/>
    </w:p>
    <w:p w14:paraId="55BCE49D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0" w:name="_Toc13541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/>
          <w:lang w:val="en-US" w:eastAsia="zh-CN"/>
        </w:rPr>
        <w:t>详情维护</w:t>
      </w:r>
      <w:bookmarkEnd w:id="10"/>
    </w:p>
    <w:p w14:paraId="2AAA8E5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点击左侧“框采入驻”-“框采货物”进入入驻列表。</w:t>
      </w:r>
    </w:p>
    <w:p w14:paraId="2A49F9B0">
      <w:pPr>
        <w:numPr>
          <w:ilvl w:val="0"/>
          <w:numId w:val="0"/>
        </w:numPr>
      </w:pPr>
      <w:r>
        <w:drawing>
          <wp:inline distT="0" distB="0" distL="114300" distR="114300">
            <wp:extent cx="5394960" cy="2089785"/>
            <wp:effectExtent l="0" t="0" r="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rcRect t="7833" b="765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089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49272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default"/>
          <w:lang w:val="en-US" w:eastAsia="zh-CN"/>
        </w:rPr>
        <w:t>点击操作下方的“详情维护”完善</w:t>
      </w:r>
      <w:r>
        <w:rPr>
          <w:rFonts w:hint="eastAsia"/>
          <w:lang w:val="en-US" w:eastAsia="zh-CN"/>
        </w:rPr>
        <w:t>相关</w:t>
      </w:r>
      <w:r>
        <w:rPr>
          <w:rFonts w:hint="default"/>
          <w:lang w:val="en-US" w:eastAsia="zh-CN"/>
        </w:rPr>
        <w:t>信息</w:t>
      </w:r>
      <w:r>
        <w:rPr>
          <w:rFonts w:hint="eastAsia"/>
          <w:lang w:val="en-US" w:eastAsia="zh-CN"/>
        </w:rPr>
        <w:t>。</w:t>
      </w:r>
    </w:p>
    <w:p w14:paraId="3F099D1A">
      <w:pPr>
        <w:widowControl w:val="0"/>
        <w:numPr>
          <w:ilvl w:val="0"/>
          <w:numId w:val="0"/>
        </w:numPr>
        <w:bidi w:val="0"/>
        <w:adjustRightInd w:val="0"/>
        <w:spacing w:line="360" w:lineRule="auto"/>
        <w:jc w:val="left"/>
      </w:pPr>
      <w:r>
        <w:drawing>
          <wp:inline distT="0" distB="0" distL="114300" distR="114300">
            <wp:extent cx="5389245" cy="1964055"/>
            <wp:effectExtent l="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rcRect t="9003"/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1964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20E86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带*号为必填项，填写完成，点击下方的“保存”。</w:t>
      </w:r>
    </w:p>
    <w:p w14:paraId="4CC7B775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84800" cy="2240915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rcRect t="8314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2240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BCC78B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1" w:name="_Toc3284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/>
          <w:lang w:val="en-US" w:eastAsia="zh-CN"/>
        </w:rPr>
        <w:t>管理协议</w:t>
      </w:r>
      <w:bookmarkEnd w:id="11"/>
    </w:p>
    <w:p w14:paraId="5435255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点击“操作”下方的“管理协议”进入协议签订界面。</w:t>
      </w:r>
    </w:p>
    <w:p w14:paraId="66F604E8">
      <w:pPr>
        <w:numPr>
          <w:ilvl w:val="0"/>
          <w:numId w:val="0"/>
        </w:numPr>
      </w:pPr>
      <w:r>
        <w:drawing>
          <wp:inline distT="0" distB="0" distL="114300" distR="114300">
            <wp:extent cx="5390515" cy="1923415"/>
            <wp:effectExtent l="0" t="0" r="0" b="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rcRect t="8545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1923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DF4F21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在“协议列表”找到需签订的协议名称，点击后方的“查看”进行框架协议签订。</w:t>
      </w:r>
    </w:p>
    <w:p w14:paraId="5189142C">
      <w:pPr>
        <w:widowControl w:val="0"/>
        <w:numPr>
          <w:ilvl w:val="0"/>
          <w:numId w:val="0"/>
        </w:numPr>
        <w:bidi w:val="0"/>
        <w:adjustRightInd w:val="0"/>
        <w:spacing w:line="360" w:lineRule="auto"/>
        <w:jc w:val="left"/>
      </w:pPr>
      <w:r>
        <w:drawing>
          <wp:inline distT="0" distB="0" distL="114300" distR="114300">
            <wp:extent cx="5391785" cy="1989455"/>
            <wp:effectExtent l="0" t="0" r="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rcRect t="7499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19894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52F76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协议根据中心要求配置为在线签章，下图为使用CA在线签章的情况。签章完成，此时协议状态由“未签章”更新为“已签章”，点击左侧“框采入驻”返回操作界面。</w:t>
      </w:r>
    </w:p>
    <w:p w14:paraId="085C63F8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87340" cy="1915795"/>
            <wp:effectExtent l="0" t="0" r="0" b="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rcRect t="7624"/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1915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2F899D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2" w:name="_Toc29493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/>
          <w:lang w:val="en-US" w:eastAsia="zh-CN"/>
        </w:rPr>
        <w:t>代理商维护</w:t>
      </w:r>
      <w:bookmarkEnd w:id="12"/>
    </w:p>
    <w:p w14:paraId="47BB533B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default"/>
          <w:lang w:val="en-US" w:eastAsia="zh-CN"/>
        </w:rPr>
      </w:pPr>
      <w:bookmarkStart w:id="13" w:name="_Toc10998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（一）</w:t>
      </w:r>
      <w:r>
        <w:rPr>
          <w:rFonts w:hint="eastAsia"/>
          <w:lang w:val="en-US" w:eastAsia="zh-CN"/>
        </w:rPr>
        <w:t>入围供应商授权代理商</w:t>
      </w:r>
      <w:bookmarkEnd w:id="13"/>
    </w:p>
    <w:p w14:paraId="55A325EC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点击“操作”下方的“代理商维护”。</w:t>
      </w:r>
    </w:p>
    <w:p w14:paraId="1873F492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89880" cy="1831340"/>
            <wp:effectExtent l="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rcRect t="8532"/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1831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C66A8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t>点击</w:t>
      </w:r>
      <w:r>
        <w:rPr>
          <w:rFonts w:hint="eastAsia"/>
          <w:lang w:eastAsia="zh-CN"/>
        </w:rPr>
        <w:t>“</w:t>
      </w:r>
      <w:r>
        <w:rPr>
          <w:rFonts w:hint="default"/>
        </w:rPr>
        <w:t>添加代理商</w:t>
      </w:r>
      <w:r>
        <w:rPr>
          <w:rFonts w:hint="eastAsia"/>
          <w:lang w:eastAsia="zh-CN"/>
        </w:rPr>
        <w:t>”</w:t>
      </w:r>
      <w:r>
        <w:rPr>
          <w:rFonts w:hint="default"/>
        </w:rPr>
        <w:t>，输入代理商名称搜索，勾选对应代理商机构名称后，点击右上角</w:t>
      </w:r>
      <w:r>
        <w:rPr>
          <w:rFonts w:hint="eastAsia"/>
          <w:lang w:eastAsia="zh-CN"/>
        </w:rPr>
        <w:t>“</w:t>
      </w:r>
      <w:r>
        <w:rPr>
          <w:rFonts w:hint="default"/>
        </w:rPr>
        <w:t>确认</w:t>
      </w:r>
      <w:r>
        <w:rPr>
          <w:rFonts w:hint="eastAsia"/>
          <w:lang w:eastAsia="zh-CN"/>
        </w:rPr>
        <w:t>”</w:t>
      </w:r>
      <w:r>
        <w:rPr>
          <w:rFonts w:hint="default"/>
        </w:rPr>
        <w:t>即可。</w:t>
      </w:r>
      <w:r>
        <w:drawing>
          <wp:inline distT="0" distB="0" distL="114300" distR="114300">
            <wp:extent cx="5393690" cy="2037080"/>
            <wp:effectExtent l="9525" t="9525" r="26035" b="10795"/>
            <wp:docPr id="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2037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E6EA9D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代理商选定后，代理商的名称会同步出现在代理商列表，点击后方的</w:t>
      </w:r>
      <w:r>
        <w:rPr>
          <w:rFonts w:hint="eastAsia"/>
          <w:u w:val="none"/>
          <w:lang w:val="en-US" w:eastAsia="zh-CN"/>
        </w:rPr>
        <w:t>签订“委托协议”，通过“上传”递交代理商资料，无需操作下一步骤。</w:t>
      </w:r>
    </w:p>
    <w:p w14:paraId="3C683E65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eastAsia"/>
          <w:lang w:val="en-US" w:eastAsia="zh-CN"/>
        </w:rPr>
      </w:pPr>
      <w:bookmarkStart w:id="14" w:name="_Toc25271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（二）</w:t>
      </w:r>
      <w:r>
        <w:rPr>
          <w:rFonts w:hint="eastAsia"/>
          <w:lang w:val="en-US" w:eastAsia="zh-CN"/>
        </w:rPr>
        <w:t>代理商向入围供应商发起申请</w:t>
      </w:r>
      <w:bookmarkEnd w:id="14"/>
    </w:p>
    <w:p w14:paraId="1E20F70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代理商</w:t>
      </w:r>
      <w:bookmarkStart w:id="15" w:name="OLE_LINK1"/>
      <w:r>
        <w:rPr>
          <w:rFonts w:hint="eastAsia"/>
          <w:lang w:val="en-US" w:eastAsia="zh-CN"/>
        </w:rPr>
        <w:t>在“工作台”-框采入驻-点击“代理申请”-新增代理申请。</w:t>
      </w:r>
    </w:p>
    <w:bookmarkEnd w:id="15"/>
    <w:p w14:paraId="2CCE3B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8610" cy="2588260"/>
            <wp:effectExtent l="0" t="0" r="0" b="0"/>
            <wp:docPr id="44" name="图片 44" descr="供应商工作台-代理申请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供应商工作台-代理申请 3"/>
                    <pic:cNvPicPr>
                      <a:picLocks noChangeAspect="1"/>
                    </pic:cNvPicPr>
                  </pic:nvPicPr>
                  <pic:blipFill>
                    <a:blip r:embed="rId36"/>
                    <a:srcRect t="7783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2588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823DD7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选择要申请的框架协议、选择包段及厂家、填写申请理由、上传申请附件</w:t>
      </w:r>
      <w:r>
        <w:rPr>
          <w:rFonts w:hint="eastAsia"/>
          <w:color w:val="FF0000"/>
          <w:lang w:val="en-US" w:eastAsia="zh-CN"/>
        </w:rPr>
        <w:t>（限制上传文件格式为pdf，单文件大小≤10MB）</w:t>
      </w:r>
      <w:r>
        <w:rPr>
          <w:rFonts w:hint="eastAsia"/>
          <w:lang w:val="en-US" w:eastAsia="zh-CN"/>
        </w:rPr>
        <w:t>。</w:t>
      </w:r>
    </w:p>
    <w:p w14:paraId="15C39A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8610" cy="2606675"/>
            <wp:effectExtent l="0" t="0" r="0" b="0"/>
            <wp:docPr id="43" name="图片 43" descr="供应商工作台-代理申请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供应商工作台-代理申请 4"/>
                    <pic:cNvPicPr>
                      <a:picLocks noChangeAspect="1"/>
                    </pic:cNvPicPr>
                  </pic:nvPicPr>
                  <pic:blipFill>
                    <a:blip r:embed="rId37"/>
                    <a:srcRect t="7127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2606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F1129C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入围供应商在“工作台”-框采入驻-点击“代理受理”，对代理商发起的申请进行操作（查看/驳回/通过）。</w:t>
      </w:r>
    </w:p>
    <w:p w14:paraId="66BED6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8610" cy="2612390"/>
            <wp:effectExtent l="0" t="0" r="0" b="0"/>
            <wp:docPr id="30" name="图片 30" descr="供应商工作台-代理申请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供应商工作台-代理申请 1"/>
                    <pic:cNvPicPr>
                      <a:picLocks noChangeAspect="1"/>
                    </pic:cNvPicPr>
                  </pic:nvPicPr>
                  <pic:blipFill>
                    <a:blip r:embed="rId38"/>
                    <a:srcRect t="6923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26123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1B78E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4.</w:t>
      </w:r>
      <w:r>
        <w:rPr>
          <w:rFonts w:hint="eastAsia"/>
          <w:lang w:val="en-US" w:eastAsia="zh-CN"/>
        </w:rPr>
        <w:t>选择待核对信息，点击“核对”，查看代理商资料，选择“核对通过”或“核对驳回”</w:t>
      </w:r>
      <w:r>
        <w:rPr>
          <w:rFonts w:hint="eastAsia"/>
          <w:color w:val="FF0000"/>
          <w:lang w:val="en-US" w:eastAsia="zh-CN"/>
        </w:rPr>
        <w:t>（“核对驳回”的情况需要填写驳回理由）</w:t>
      </w:r>
      <w:r>
        <w:rPr>
          <w:rFonts w:hint="eastAsia"/>
          <w:lang w:val="en-US" w:eastAsia="zh-CN"/>
        </w:rPr>
        <w:t>。</w:t>
      </w:r>
    </w:p>
    <w:p w14:paraId="3459D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8610" cy="2806700"/>
            <wp:effectExtent l="9525" t="9525" r="12065" b="22225"/>
            <wp:docPr id="46" name="图片 46" descr="供应商工作台-代理申请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供应商工作台-代理申请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2806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FBB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8610" cy="2806700"/>
            <wp:effectExtent l="9525" t="9525" r="12065" b="22225"/>
            <wp:docPr id="33" name="图片 33" descr="供应商工作台-代理申请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供应商工作台-代理申请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2806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B7CFB0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6" w:name="_Toc32600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/>
          <w:lang w:val="en-US" w:eastAsia="zh-CN"/>
        </w:rPr>
        <w:t>框架协议入驻提交</w:t>
      </w:r>
      <w:bookmarkEnd w:id="16"/>
    </w:p>
    <w:p w14:paraId="68380E4E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返回“框采入驻”界面，此时“框架协议”和“代理商维护”都已完成，点击“操作”下方的“提交审核”，等待中心管理员审核。</w:t>
      </w:r>
    </w:p>
    <w:p w14:paraId="73BE4AAE">
      <w:pPr>
        <w:numPr>
          <w:ilvl w:val="0"/>
          <w:numId w:val="0"/>
        </w:numPr>
      </w:pPr>
      <w:r>
        <w:drawing>
          <wp:inline distT="0" distB="0" distL="114300" distR="114300">
            <wp:extent cx="5396230" cy="1875790"/>
            <wp:effectExtent l="0" t="0" r="0" b="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41"/>
                    <a:srcRect t="814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875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616CF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审核通过后，入围供应商完成商城入驻。</w:t>
      </w:r>
    </w:p>
    <w:p w14:paraId="2838B0A5">
      <w:pPr>
        <w:widowControl w:val="0"/>
        <w:numPr>
          <w:ilvl w:val="0"/>
          <w:numId w:val="0"/>
        </w:numPr>
        <w:bidi w:val="0"/>
        <w:adjustRightInd w:val="0"/>
        <w:spacing w:line="360" w:lineRule="auto"/>
        <w:jc w:val="left"/>
      </w:pPr>
      <w:r>
        <w:drawing>
          <wp:inline distT="0" distB="0" distL="114300" distR="114300">
            <wp:extent cx="5384800" cy="1811655"/>
            <wp:effectExtent l="0" t="0" r="0" b="0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42"/>
                    <a:srcRect t="8234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1811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E1A633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7" w:name="_Toc31478"/>
      <w:r>
        <w:rPr>
          <w:rFonts w:hint="eastAsia" w:eastAsia="楷体" w:asciiTheme="majorAscii" w:hAnsiTheme="majorAscii" w:cstheme="majorBidi"/>
          <w:b/>
          <w:bCs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/>
          <w:lang w:val="en-US" w:eastAsia="zh-CN"/>
        </w:rPr>
        <w:t>商品管理</w:t>
      </w:r>
      <w:bookmarkEnd w:id="17"/>
    </w:p>
    <w:p w14:paraId="6289A823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default"/>
          <w:lang w:val="en-US" w:eastAsia="zh-CN"/>
        </w:rPr>
      </w:pPr>
      <w:bookmarkStart w:id="18" w:name="_Toc31756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（一）</w:t>
      </w:r>
      <w:r>
        <w:rPr>
          <w:rFonts w:hint="eastAsia"/>
          <w:lang w:val="en-US" w:eastAsia="zh-CN"/>
        </w:rPr>
        <w:t>商品维护</w:t>
      </w:r>
      <w:bookmarkEnd w:id="18"/>
    </w:p>
    <w:p w14:paraId="15C5A455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点击左侧“商品管理”-“框采货物”，选择对应商品，点击“操作”下方的“编辑商品”对商品进行维护。</w:t>
      </w:r>
    </w:p>
    <w:p w14:paraId="72752CBF">
      <w:pPr>
        <w:numPr>
          <w:ilvl w:val="0"/>
          <w:numId w:val="0"/>
        </w:numPr>
      </w:pPr>
      <w:r>
        <w:drawing>
          <wp:inline distT="0" distB="0" distL="114300" distR="114300">
            <wp:extent cx="5394960" cy="2308225"/>
            <wp:effectExtent l="9525" t="9525" r="24765" b="2540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43"/>
                    <a:srcRect b="1004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308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4C5EA3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填写商品基本信息，带*号为必填项，全部填写完成，点击下方的“保存”，完成商品维护。</w:t>
      </w:r>
    </w:p>
    <w:p w14:paraId="57415D50">
      <w:pPr>
        <w:widowControl w:val="0"/>
        <w:numPr>
          <w:ilvl w:val="0"/>
          <w:numId w:val="0"/>
        </w:numPr>
        <w:bidi w:val="0"/>
        <w:adjustRightInd/>
        <w:spacing w:line="360" w:lineRule="auto"/>
        <w:jc w:val="left"/>
      </w:pPr>
      <w:r>
        <w:drawing>
          <wp:inline distT="0" distB="0" distL="114300" distR="114300">
            <wp:extent cx="5398135" cy="2505075"/>
            <wp:effectExtent l="9525" t="9525" r="21590" b="19050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505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2420" cy="2604135"/>
            <wp:effectExtent l="9525" t="9525" r="27305" b="1524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2604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FF26D8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default"/>
          <w:lang w:val="en-US" w:eastAsia="zh-CN"/>
        </w:rPr>
      </w:pPr>
      <w:bookmarkStart w:id="19" w:name="_Toc9124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（二）</w:t>
      </w:r>
      <w:r>
        <w:rPr>
          <w:rFonts w:hint="eastAsia"/>
          <w:lang w:val="en-US" w:eastAsia="zh-CN"/>
        </w:rPr>
        <w:t>提交审核</w:t>
      </w:r>
      <w:bookmarkEnd w:id="19"/>
    </w:p>
    <w:p w14:paraId="7EA9C2BA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商品维护完成，点击“操作”下方的“提交审核”，此时商品的状态更新为“审核中”，等待中心管理员审核。</w:t>
      </w:r>
    </w:p>
    <w:p w14:paraId="69B0D84A">
      <w:pPr>
        <w:numPr>
          <w:ilvl w:val="0"/>
          <w:numId w:val="0"/>
        </w:numPr>
      </w:pPr>
      <w:r>
        <w:drawing>
          <wp:inline distT="0" distB="0" distL="114300" distR="114300">
            <wp:extent cx="5394960" cy="2004695"/>
            <wp:effectExtent l="9525" t="9525" r="24765" b="2413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004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63A9F2">
      <w:pPr>
        <w:numPr>
          <w:ilvl w:val="0"/>
          <w:numId w:val="0"/>
        </w:numPr>
        <w:tabs>
          <w:tab w:val="clear" w:pos="680"/>
        </w:tabs>
        <w:bidi w:val="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审核通过后，状态更新为“已审核”</w:t>
      </w:r>
    </w:p>
    <w:p w14:paraId="10515014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390515" cy="1573530"/>
            <wp:effectExtent l="9525" t="9525" r="10160" b="17145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1573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325B2F">
      <w:pPr>
        <w:pStyle w:val="4"/>
        <w:numPr>
          <w:ilvl w:val="0"/>
          <w:numId w:val="0"/>
        </w:numPr>
        <w:bidi w:val="0"/>
        <w:ind w:left="0" w:leftChars="0" w:firstLine="602" w:firstLineChars="200"/>
        <w:rPr>
          <w:rFonts w:hint="default"/>
          <w:lang w:val="en-US" w:eastAsia="zh-CN"/>
        </w:rPr>
      </w:pPr>
      <w:bookmarkStart w:id="20" w:name="_Toc22590"/>
      <w:r>
        <w:rPr>
          <w:rFonts w:hint="eastAsia" w:eastAsia="仿宋" w:cs="仿宋" w:asciiTheme="minorAscii" w:hAnsiTheme="minorAscii"/>
          <w:b/>
          <w:kern w:val="2"/>
          <w:sz w:val="30"/>
          <w:szCs w:val="28"/>
          <w:lang w:val="en-US" w:eastAsia="zh-CN" w:bidi="ar-SA"/>
        </w:rPr>
        <w:t>（三）</w:t>
      </w:r>
      <w:r>
        <w:rPr>
          <w:rFonts w:hint="eastAsia"/>
          <w:lang w:val="en-US" w:eastAsia="zh-CN"/>
        </w:rPr>
        <w:t>货物代理商品（商品报价）</w:t>
      </w:r>
      <w:bookmarkEnd w:id="20"/>
    </w:p>
    <w:p w14:paraId="21216B79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  <w:rPr>
          <w:rFonts w:hint="default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若供应商选择自己作为代理商，进入“货物代理商品”界面，点击“商品报价”对商品进行报价。</w:t>
      </w:r>
    </w:p>
    <w:p w14:paraId="38AA31F8">
      <w:pPr>
        <w:numPr>
          <w:ilvl w:val="0"/>
          <w:numId w:val="0"/>
        </w:numPr>
      </w:pPr>
      <w:r>
        <w:drawing>
          <wp:inline distT="0" distB="0" distL="114300" distR="114300">
            <wp:extent cx="5392420" cy="1744980"/>
            <wp:effectExtent l="9525" t="9525" r="27305" b="17145"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17449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E90370">
      <w:pPr>
        <w:numPr>
          <w:ilvl w:val="0"/>
          <w:numId w:val="0"/>
        </w:numPr>
        <w:tabs>
          <w:tab w:val="clear" w:pos="680"/>
        </w:tabs>
        <w:bidi w:val="0"/>
        <w:ind w:left="0" w:leftChars="0" w:firstLine="680" w:firstLineChars="0"/>
      </w:pPr>
      <w:r>
        <w:rPr>
          <w:rFonts w:hint="default" w:ascii="仿宋" w:hAnsi="仿宋" w:eastAsia="仿宋" w:cs="仿宋"/>
          <w:kern w:val="2"/>
          <w:sz w:val="32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输入“报价”和“交货期”，点击“确定”完成报价。商品上架完成。</w:t>
      </w:r>
    </w:p>
    <w:p w14:paraId="45CEEDF7">
      <w:pPr>
        <w:numPr>
          <w:ilvl w:val="0"/>
          <w:numId w:val="0"/>
        </w:numPr>
        <w:sectPr>
          <w:pgSz w:w="11906" w:h="16838"/>
          <w:pgMar w:top="1134" w:right="1701" w:bottom="1134" w:left="1701" w:header="851" w:footer="992" w:gutter="0"/>
          <w:pgNumType w:fmt="decimal"/>
          <w:cols w:space="425" w:num="1"/>
          <w:docGrid w:type="lines" w:linePitch="312" w:charSpace="0"/>
        </w:sectPr>
      </w:pPr>
    </w:p>
    <w:p w14:paraId="7F5E7BA2">
      <w:pPr>
        <w:widowControl w:val="0"/>
        <w:numPr>
          <w:ilvl w:val="0"/>
          <w:numId w:val="0"/>
        </w:numPr>
        <w:bidi w:val="0"/>
        <w:adjustRightInd/>
        <w:spacing w:line="360" w:lineRule="auto"/>
        <w:jc w:val="left"/>
        <w:rPr>
          <w:rFonts w:hint="default"/>
          <w:lang w:val="en-US" w:eastAsia="zh-CN"/>
        </w:rPr>
      </w:pPr>
    </w:p>
    <w:sectPr>
      <w:footerReference r:id="rId6" w:type="default"/>
      <w:pgSz w:w="11906" w:h="16838"/>
      <w:pgMar w:top="1134" w:right="1701" w:bottom="1134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CE48AA-2232-4C33-8FCE-3A2B882FE9D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CF0C975-3DC2-44D8-A2E6-18AC1F38DB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045C52B-1806-47D9-88FA-DFCE6B2A3A94}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  <w:embedRegular r:id="rId4" w:fontKey="{82CDEC26-78FA-415A-9F1E-7961A8102E0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54DF241-D4A8-4ADF-A39B-F60D8A57193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78A9F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EA4039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EA4039">
                    <w:pPr>
                      <w:pStyle w:val="9"/>
                    </w:pPr>
                    <w: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29D9C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E6717A"/>
    <w:multiLevelType w:val="singleLevel"/>
    <w:tmpl w:val="89E6717A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C03C02C"/>
    <w:multiLevelType w:val="singleLevel"/>
    <w:tmpl w:val="8C03C02C"/>
    <w:lvl w:ilvl="0" w:tentative="0">
      <w:start w:val="1"/>
      <w:numFmt w:val="chineseCounting"/>
      <w:pStyle w:val="2"/>
      <w:suff w:val="space"/>
      <w:lvlText w:val="第%1章"/>
      <w:lvlJc w:val="left"/>
      <w:rPr>
        <w:rFonts w:hint="eastAsia"/>
      </w:rPr>
    </w:lvl>
  </w:abstractNum>
  <w:abstractNum w:abstractNumId="2">
    <w:nsid w:val="20CA0E0F"/>
    <w:multiLevelType w:val="singleLevel"/>
    <w:tmpl w:val="20CA0E0F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>
    <w:nsid w:val="61C6860B"/>
    <w:multiLevelType w:val="singleLevel"/>
    <w:tmpl w:val="61C6860B"/>
    <w:lvl w:ilvl="0" w:tentative="0">
      <w:start w:val="1"/>
      <w:numFmt w:val="decimal"/>
      <w:pStyle w:val="5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6BF5555E"/>
    <w:multiLevelType w:val="singleLevel"/>
    <w:tmpl w:val="6BF5555E"/>
    <w:lvl w:ilvl="0" w:tentative="0">
      <w:start w:val="1"/>
      <w:numFmt w:val="decimal"/>
      <w:pStyle w:val="1"/>
      <w:lvlText w:val="%1."/>
      <w:lvlJc w:val="left"/>
      <w:pPr>
        <w:tabs>
          <w:tab w:val="left" w:pos="680"/>
        </w:tabs>
        <w:ind w:left="0" w:leftChars="0" w:firstLine="680" w:firstLineChars="0"/>
      </w:pPr>
      <w:rPr>
        <w:rFonts w:hint="default" w:ascii="仿宋" w:hAnsi="仿宋" w:eastAsia="仿宋" w:cs="仿宋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jMmMxOGFjYjZhN2JiYmNjYWNlZDI4NjE5ZDE0MjMifQ=="/>
  </w:docVars>
  <w:rsids>
    <w:rsidRoot w:val="1D590F94"/>
    <w:rsid w:val="046913CA"/>
    <w:rsid w:val="06AC39EB"/>
    <w:rsid w:val="06F834E1"/>
    <w:rsid w:val="09D91422"/>
    <w:rsid w:val="09DC7211"/>
    <w:rsid w:val="0B3506CA"/>
    <w:rsid w:val="0C156424"/>
    <w:rsid w:val="0CA83673"/>
    <w:rsid w:val="0CAE5DB3"/>
    <w:rsid w:val="0D054058"/>
    <w:rsid w:val="0D1336AF"/>
    <w:rsid w:val="0D207307"/>
    <w:rsid w:val="0D915000"/>
    <w:rsid w:val="0E7B0A75"/>
    <w:rsid w:val="0EDC53E2"/>
    <w:rsid w:val="119521CB"/>
    <w:rsid w:val="120B2110"/>
    <w:rsid w:val="134C0C32"/>
    <w:rsid w:val="1534006E"/>
    <w:rsid w:val="18891295"/>
    <w:rsid w:val="18C31C56"/>
    <w:rsid w:val="18FB0DA2"/>
    <w:rsid w:val="1976353A"/>
    <w:rsid w:val="1A597C15"/>
    <w:rsid w:val="1CF0669C"/>
    <w:rsid w:val="1D590F94"/>
    <w:rsid w:val="1FF04D52"/>
    <w:rsid w:val="223B3A81"/>
    <w:rsid w:val="22F362F9"/>
    <w:rsid w:val="2361785C"/>
    <w:rsid w:val="265246E5"/>
    <w:rsid w:val="28701B39"/>
    <w:rsid w:val="29B559B7"/>
    <w:rsid w:val="2A3C55F4"/>
    <w:rsid w:val="2A82240B"/>
    <w:rsid w:val="2BA50A88"/>
    <w:rsid w:val="2E7B1F74"/>
    <w:rsid w:val="30542A7D"/>
    <w:rsid w:val="309447C7"/>
    <w:rsid w:val="30B359F5"/>
    <w:rsid w:val="334B0167"/>
    <w:rsid w:val="33B421B0"/>
    <w:rsid w:val="360D204B"/>
    <w:rsid w:val="363A4D47"/>
    <w:rsid w:val="36D64172"/>
    <w:rsid w:val="36D6691C"/>
    <w:rsid w:val="3764721C"/>
    <w:rsid w:val="37DC49E1"/>
    <w:rsid w:val="37E312B6"/>
    <w:rsid w:val="38C144A0"/>
    <w:rsid w:val="39396CB4"/>
    <w:rsid w:val="3A2527CF"/>
    <w:rsid w:val="3A512D5B"/>
    <w:rsid w:val="3A5169AB"/>
    <w:rsid w:val="3BF1544C"/>
    <w:rsid w:val="3D483969"/>
    <w:rsid w:val="3DCB5643"/>
    <w:rsid w:val="43224471"/>
    <w:rsid w:val="435D5832"/>
    <w:rsid w:val="44B8366B"/>
    <w:rsid w:val="45AE2CCB"/>
    <w:rsid w:val="46D93F81"/>
    <w:rsid w:val="48653621"/>
    <w:rsid w:val="487321E2"/>
    <w:rsid w:val="48AB197C"/>
    <w:rsid w:val="492611A7"/>
    <w:rsid w:val="49A97772"/>
    <w:rsid w:val="4B6F5FE5"/>
    <w:rsid w:val="4CFF6962"/>
    <w:rsid w:val="4DDA6C57"/>
    <w:rsid w:val="4E142227"/>
    <w:rsid w:val="4E7B594C"/>
    <w:rsid w:val="4F612F42"/>
    <w:rsid w:val="509F4DED"/>
    <w:rsid w:val="525B1A25"/>
    <w:rsid w:val="55BD684B"/>
    <w:rsid w:val="56C36C50"/>
    <w:rsid w:val="57B65C47"/>
    <w:rsid w:val="5AA955EF"/>
    <w:rsid w:val="5AF54EFA"/>
    <w:rsid w:val="5BA870F6"/>
    <w:rsid w:val="5C987F22"/>
    <w:rsid w:val="5CA26F38"/>
    <w:rsid w:val="5CD32DF8"/>
    <w:rsid w:val="5CF80AE0"/>
    <w:rsid w:val="5D831535"/>
    <w:rsid w:val="5F30008D"/>
    <w:rsid w:val="61EA6C19"/>
    <w:rsid w:val="62EE44E7"/>
    <w:rsid w:val="64264177"/>
    <w:rsid w:val="673609A0"/>
    <w:rsid w:val="682F6FA0"/>
    <w:rsid w:val="68BC7C39"/>
    <w:rsid w:val="68E85E7D"/>
    <w:rsid w:val="69BC6FE2"/>
    <w:rsid w:val="6A8F4E00"/>
    <w:rsid w:val="6D154A38"/>
    <w:rsid w:val="6D320BCD"/>
    <w:rsid w:val="6DCF22DA"/>
    <w:rsid w:val="7024033C"/>
    <w:rsid w:val="70A00DEB"/>
    <w:rsid w:val="71724937"/>
    <w:rsid w:val="71A54CBE"/>
    <w:rsid w:val="731C016A"/>
    <w:rsid w:val="734F3ED3"/>
    <w:rsid w:val="74D75C26"/>
    <w:rsid w:val="77345E33"/>
    <w:rsid w:val="792C622C"/>
    <w:rsid w:val="79FD5859"/>
    <w:rsid w:val="7A1739C3"/>
    <w:rsid w:val="7AA9731E"/>
    <w:rsid w:val="7C5A5DC5"/>
    <w:rsid w:val="7CF95742"/>
    <w:rsid w:val="7D943A85"/>
    <w:rsid w:val="7EEE542D"/>
    <w:rsid w:val="7F364DF4"/>
    <w:rsid w:val="7F55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numPr>
        <w:ilvl w:val="0"/>
        <w:numId w:val="1"/>
      </w:numPr>
      <w:bidi w:val="0"/>
      <w:adjustRightInd/>
      <w:spacing w:line="360" w:lineRule="auto"/>
      <w:ind w:left="0" w:leftChars="0" w:firstLine="1446" w:firstLineChars="200"/>
      <w:jc w:val="left"/>
    </w:pPr>
    <w:rPr>
      <w:rFonts w:eastAsia="仿宋" w:cs="仿宋" w:asciiTheme="minorAscii" w:hAnsiTheme="minorAscii"/>
      <w:kern w:val="2"/>
      <w:sz w:val="32"/>
      <w:szCs w:val="28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numPr>
        <w:ilvl w:val="0"/>
        <w:numId w:val="2"/>
      </w:numPr>
      <w:spacing w:before="100" w:beforeLines="100" w:after="100" w:afterLines="100" w:line="360" w:lineRule="auto"/>
      <w:ind w:firstLine="0" w:firstLineChars="0"/>
      <w:jc w:val="center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numPr>
        <w:ilvl w:val="0"/>
        <w:numId w:val="3"/>
      </w:numPr>
      <w:spacing w:before="15" w:line="480" w:lineRule="auto"/>
      <w:ind w:firstLine="0" w:firstLineChars="0"/>
      <w:jc w:val="left"/>
      <w:outlineLvl w:val="1"/>
    </w:pPr>
    <w:rPr>
      <w:rFonts w:eastAsia="楷体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numId w:val="4"/>
      </w:numPr>
      <w:spacing w:beforeLines="0" w:beforeAutospacing="0" w:afterLines="0" w:afterAutospacing="0" w:line="480" w:lineRule="auto"/>
      <w:ind w:firstLine="1446" w:firstLineChars="200"/>
      <w:outlineLvl w:val="2"/>
    </w:pPr>
    <w:rPr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numId w:val="5"/>
      </w:numPr>
      <w:spacing w:beforeLines="0" w:beforeAutospacing="0" w:afterLines="0" w:afterAutospacing="0" w:line="360" w:lineRule="auto"/>
      <w:outlineLvl w:val="3"/>
    </w:pPr>
    <w:rPr>
      <w:rFonts w:ascii="Arial" w:hAnsi="Arial"/>
      <w:b/>
      <w:sz w:val="3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qFormat/>
    <w:uiPriority w:val="0"/>
    <w:pPr>
      <w:shd w:val="clear" w:color="auto" w:fill="000080"/>
    </w:pPr>
  </w:style>
  <w:style w:type="paragraph" w:styleId="7">
    <w:name w:val="toc 3"/>
    <w:basedOn w:val="1"/>
    <w:next w:val="1"/>
    <w:qFormat/>
    <w:uiPriority w:val="0"/>
    <w:pPr>
      <w:numPr>
        <w:numId w:val="0"/>
      </w:numPr>
      <w:ind w:left="840" w:leftChars="400"/>
    </w:p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numPr>
        <w:numId w:val="0"/>
      </w:numPr>
      <w:tabs>
        <w:tab w:val="center" w:pos="4153"/>
        <w:tab w:val="right" w:pos="8306"/>
      </w:tabs>
      <w:snapToGrid w:val="0"/>
      <w:jc w:val="center"/>
    </w:pPr>
    <w:rPr>
      <w:sz w:val="28"/>
    </w:rPr>
  </w:style>
  <w:style w:type="paragraph" w:styleId="10">
    <w:name w:val="header"/>
    <w:basedOn w:val="1"/>
    <w:autoRedefine/>
    <w:qFormat/>
    <w:uiPriority w:val="0"/>
    <w:pPr>
      <w:numPr>
        <w:numId w:val="0"/>
      </w:num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qFormat/>
    <w:uiPriority w:val="39"/>
    <w:pPr>
      <w:numPr>
        <w:numId w:val="0"/>
      </w:numPr>
    </w:pPr>
    <w:rPr>
      <w:rFonts w:eastAsia="黑体"/>
    </w:rPr>
  </w:style>
  <w:style w:type="paragraph" w:styleId="12">
    <w:name w:val="toc 2"/>
    <w:basedOn w:val="1"/>
    <w:next w:val="1"/>
    <w:qFormat/>
    <w:uiPriority w:val="39"/>
    <w:pPr>
      <w:numPr>
        <w:numId w:val="0"/>
      </w:numPr>
      <w:ind w:left="420" w:leftChars="200"/>
    </w:pPr>
    <w:rPr>
      <w:rFonts w:eastAsia="楷体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autoRedefine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Char"/>
    <w:link w:val="2"/>
    <w:qFormat/>
    <w:uiPriority w:val="0"/>
    <w:rPr>
      <w:rFonts w:eastAsia="黑体"/>
      <w:b/>
      <w:kern w:val="44"/>
      <w:sz w:val="32"/>
    </w:rPr>
  </w:style>
  <w:style w:type="paragraph" w:customStyle="1" w:styleId="19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20">
    <w:name w:val="批注框文本 Char"/>
    <w:basedOn w:val="15"/>
    <w:link w:val="8"/>
    <w:autoRedefine/>
    <w:qFormat/>
    <w:uiPriority w:val="0"/>
    <w:rPr>
      <w:sz w:val="18"/>
      <w:szCs w:val="18"/>
    </w:rPr>
  </w:style>
  <w:style w:type="paragraph" w:customStyle="1" w:styleId="21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2E54A1" w:themeColor="accent1" w:themeShade="BF"/>
      <w:kern w:val="0"/>
      <w:sz w:val="28"/>
      <w:szCs w:val="28"/>
    </w:rPr>
  </w:style>
  <w:style w:type="paragraph" w:customStyle="1" w:styleId="22">
    <w:name w:val="封面日期"/>
    <w:basedOn w:val="1"/>
    <w:qFormat/>
    <w:uiPriority w:val="0"/>
    <w:pPr>
      <w:numPr>
        <w:numId w:val="0"/>
      </w:numPr>
      <w:bidi w:val="0"/>
      <w:spacing w:line="240" w:lineRule="auto"/>
      <w:ind w:firstLine="0" w:firstLineChars="0"/>
      <w:jc w:val="center"/>
    </w:pPr>
    <w:rPr>
      <w:rFonts w:ascii="黑体" w:hAnsi="黑体" w:cs="Times New Roman"/>
      <w:b/>
      <w:sz w:val="72"/>
      <w:szCs w:val="32"/>
    </w:rPr>
  </w:style>
  <w:style w:type="character" w:customStyle="1" w:styleId="23">
    <w:name w:val="标题 2 Char"/>
    <w:link w:val="3"/>
    <w:autoRedefine/>
    <w:qFormat/>
    <w:uiPriority w:val="0"/>
    <w:rPr>
      <w:rFonts w:eastAsia="楷体" w:asciiTheme="majorAscii" w:hAnsiTheme="majorAscii" w:cstheme="majorBidi"/>
      <w:b/>
      <w:bCs/>
      <w:sz w:val="32"/>
      <w:szCs w:val="32"/>
    </w:rPr>
  </w:style>
  <w:style w:type="paragraph" w:customStyle="1" w:styleId="24">
    <w:name w:val="注意"/>
    <w:basedOn w:val="1"/>
    <w:next w:val="1"/>
    <w:link w:val="25"/>
    <w:qFormat/>
    <w:uiPriority w:val="0"/>
    <w:pPr>
      <w:numPr>
        <w:numId w:val="0"/>
      </w:numPr>
      <w:ind w:firstLine="1446" w:firstLineChars="200"/>
    </w:pPr>
  </w:style>
  <w:style w:type="character" w:customStyle="1" w:styleId="25">
    <w:name w:val="注意 Char"/>
    <w:link w:val="24"/>
    <w:qFormat/>
    <w:uiPriority w:val="0"/>
    <w:rPr>
      <w:rFonts w:eastAsia="仿宋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footer" Target="footer1.xml"/><Relationship Id="rId49" Type="http://schemas.openxmlformats.org/officeDocument/2006/relationships/customXml" Target="../customXml/item1.xml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jpeg"/><Relationship Id="rId4" Type="http://schemas.openxmlformats.org/officeDocument/2006/relationships/endnotes" Target="endnotes.xml"/><Relationship Id="rId39" Type="http://schemas.openxmlformats.org/officeDocument/2006/relationships/image" Target="media/image32.jpeg"/><Relationship Id="rId38" Type="http://schemas.openxmlformats.org/officeDocument/2006/relationships/image" Target="media/image31.jpe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3458;&#26381;&#37096;-2\Desktop\2025.12.18&#21830;&#22478;&#35828;&#26126;&#20070;&#26032;&#26679;&#24335;.dot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2025.12.18商城说明书新样式.dotx</Template>
  <Pages>22</Pages>
  <Words>1932</Words>
  <Characters>2111</Characters>
  <Lines>0</Lines>
  <Paragraphs>0</Paragraphs>
  <TotalTime>2</TotalTime>
  <ScaleCrop>false</ScaleCrop>
  <LinksUpToDate>false</LinksUpToDate>
  <CharactersWithSpaces>2183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2025-12-18T01:38:00Z</dcterms:created>
  <dc:creator>习惯</dc:creator>
  <cp:lastModifiedBy> 钱俊</cp:lastModifiedBy>
  <dcterms:modified xsi:type="dcterms:W3CDTF">2026-01-30T02:41:45Z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739EFC169D8C4100AAD9EEC572728C87_13</vt:lpwstr>
  </property>
  <property fmtid="{D5CDD505-2E9C-101B-9397-08002B2CF9AE}" pid="4" name="KSOTemplateDocerSaveRecord">
    <vt:lpwstr>eyJoZGlkIjoiZDU3MzhkNmIwNzZiZWVlMGNlNTdhMWViYWZkNWU1MzkiLCJ1c2VySWQiOiI0ODM1MjMzMDcifQ==</vt:lpwstr>
  </property>
</Properties>
</file>