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306" w:rightChars="622"/>
        <w:rPr>
          <w:rFonts w:ascii="黑体" w:hAnsi="黑体" w:eastAsia="黑体" w:cs="Times New Roman"/>
          <w:bCs/>
          <w:sz w:val="36"/>
          <w:szCs w:val="24"/>
        </w:rPr>
      </w:pPr>
      <w:r>
        <w:rPr>
          <w:rFonts w:hint="eastAsia" w:ascii="黑体" w:hAnsi="黑体" w:eastAsia="黑体" w:cs="Times New Roman"/>
          <w:bCs/>
          <w:sz w:val="36"/>
          <w:szCs w:val="24"/>
        </w:rPr>
        <w:t xml:space="preserve"> </w:t>
      </w:r>
      <w:r>
        <w:rPr>
          <w:rFonts w:ascii="黑体" w:hAnsi="黑体" w:eastAsia="黑体" w:cs="Times New Roman"/>
          <w:bCs/>
          <w:sz w:val="36"/>
          <w:szCs w:val="24"/>
        </w:rPr>
        <w:t xml:space="preserve">                      </w:t>
      </w:r>
    </w:p>
    <w:p>
      <w:pPr>
        <w:tabs>
          <w:tab w:val="left" w:pos="8222"/>
        </w:tabs>
        <w:spacing w:line="360" w:lineRule="auto"/>
        <w:ind w:right="1306" w:rightChars="622"/>
        <w:jc w:val="left"/>
        <w:rPr>
          <w:rFonts w:ascii="黑体" w:hAnsi="黑体" w:eastAsia="黑体" w:cs="Times New Roman"/>
          <w:bCs/>
          <w:sz w:val="36"/>
          <w:szCs w:val="24"/>
        </w:rPr>
      </w:pPr>
    </w:p>
    <w:p>
      <w:pPr>
        <w:tabs>
          <w:tab w:val="left" w:pos="8222"/>
        </w:tabs>
        <w:spacing w:line="360" w:lineRule="auto"/>
        <w:jc w:val="center"/>
        <w:rPr>
          <w:rFonts w:hint="eastAsia" w:ascii="黑体" w:hAnsi="黑体" w:eastAsia="黑体" w:cs="Times New Roman"/>
          <w:b/>
          <w:bCs/>
          <w:sz w:val="96"/>
          <w:szCs w:val="96"/>
          <w:lang w:eastAsia="zh-CN"/>
        </w:rPr>
      </w:pPr>
      <w:r>
        <w:rPr>
          <w:rFonts w:hint="eastAsia" w:ascii="黑体" w:hAnsi="黑体" w:eastAsia="黑体" w:cs="Times New Roman"/>
          <w:b/>
          <w:bCs/>
          <w:sz w:val="96"/>
          <w:szCs w:val="96"/>
          <w:lang w:eastAsia="zh-CN"/>
        </w:rPr>
        <w:t>广水市政府采购</w:t>
      </w:r>
    </w:p>
    <w:p>
      <w:pPr>
        <w:tabs>
          <w:tab w:val="left" w:pos="8222"/>
        </w:tabs>
        <w:spacing w:line="360" w:lineRule="auto"/>
        <w:ind w:right="1306" w:rightChars="622"/>
        <w:jc w:val="left"/>
        <w:rPr>
          <w:rFonts w:ascii="黑体" w:hAnsi="黑体" w:eastAsia="黑体" w:cs="Times New Roman"/>
          <w:b/>
          <w:bCs/>
          <w:sz w:val="52"/>
          <w:szCs w:val="52"/>
        </w:rPr>
      </w:pPr>
    </w:p>
    <w:p>
      <w:pPr>
        <w:tabs>
          <w:tab w:val="left" w:pos="8222"/>
        </w:tabs>
        <w:spacing w:line="360" w:lineRule="auto"/>
        <w:ind w:right="1306" w:rightChars="622"/>
        <w:jc w:val="center"/>
        <w:rPr>
          <w:rFonts w:ascii="黑体" w:hAnsi="黑体" w:eastAsia="黑体" w:cs="Times New Roman"/>
          <w:b/>
          <w:bCs/>
          <w:sz w:val="100"/>
          <w:szCs w:val="100"/>
        </w:rPr>
      </w:pPr>
      <w:r>
        <w:rPr>
          <w:rFonts w:hint="eastAsia" w:ascii="黑体" w:hAnsi="黑体" w:eastAsia="黑体" w:cs="Times New Roman"/>
          <w:b/>
          <w:bCs/>
          <w:sz w:val="84"/>
          <w:szCs w:val="84"/>
        </w:rPr>
        <w:t xml:space="preserve">  </w:t>
      </w:r>
      <w:r>
        <w:rPr>
          <w:rFonts w:hint="eastAsia" w:ascii="黑体" w:hAnsi="黑体" w:eastAsia="黑体" w:cs="Times New Roman"/>
          <w:b/>
          <w:bCs/>
          <w:sz w:val="100"/>
          <w:szCs w:val="100"/>
        </w:rPr>
        <w:t>招 标 文 件</w:t>
      </w:r>
    </w:p>
    <w:p>
      <w:pPr>
        <w:tabs>
          <w:tab w:val="left" w:pos="8222"/>
        </w:tabs>
        <w:spacing w:line="360" w:lineRule="auto"/>
        <w:ind w:right="1306" w:rightChars="622"/>
        <w:rPr>
          <w:rFonts w:ascii="黑体" w:hAnsi="黑体" w:eastAsia="黑体" w:cs="Times New Roman"/>
          <w:bCs/>
          <w:sz w:val="36"/>
          <w:szCs w:val="24"/>
        </w:rPr>
      </w:pPr>
    </w:p>
    <w:p>
      <w:pPr>
        <w:tabs>
          <w:tab w:val="left" w:pos="8222"/>
        </w:tabs>
        <w:spacing w:line="360" w:lineRule="auto"/>
        <w:ind w:right="1306" w:rightChars="622"/>
        <w:rPr>
          <w:rFonts w:ascii="黑体" w:hAnsi="黑体" w:eastAsia="黑体" w:cs="Times New Roman"/>
          <w:bCs/>
          <w:sz w:val="36"/>
          <w:szCs w:val="24"/>
        </w:rPr>
      </w:pPr>
    </w:p>
    <w:tbl>
      <w:tblPr>
        <w:tblStyle w:val="24"/>
        <w:tblW w:w="0" w:type="auto"/>
        <w:jc w:val="center"/>
        <w:tblLayout w:type="fixed"/>
        <w:tblCellMar>
          <w:top w:w="0" w:type="dxa"/>
          <w:left w:w="108" w:type="dxa"/>
          <w:bottom w:w="0" w:type="dxa"/>
          <w:right w:w="108" w:type="dxa"/>
        </w:tblCellMar>
      </w:tblPr>
      <w:tblGrid>
        <w:gridCol w:w="1823"/>
        <w:gridCol w:w="6483"/>
      </w:tblGrid>
      <w:tr>
        <w:tblPrEx>
          <w:tblCellMar>
            <w:top w:w="0" w:type="dxa"/>
            <w:left w:w="108" w:type="dxa"/>
            <w:bottom w:w="0" w:type="dxa"/>
            <w:right w:w="108" w:type="dxa"/>
          </w:tblCellMar>
        </w:tblPrEx>
        <w:trPr>
          <w:trHeight w:val="1086" w:hRule="atLeast"/>
          <w:jc w:val="center"/>
        </w:trPr>
        <w:tc>
          <w:tcPr>
            <w:tcW w:w="1823" w:type="dxa"/>
            <w:vAlign w:val="center"/>
          </w:tcPr>
          <w:p>
            <w:pPr>
              <w:spacing w:before="156" w:beforeLines="50" w:after="156" w:afterLines="50"/>
              <w:rPr>
                <w:rFonts w:ascii="宋体" w:hAnsi="宋体" w:cs="宋体"/>
                <w:b/>
                <w:bCs/>
                <w:sz w:val="32"/>
                <w:szCs w:val="32"/>
              </w:rPr>
            </w:pPr>
            <w:r>
              <w:rPr>
                <w:rFonts w:hint="eastAsia" w:ascii="宋体" w:hAnsi="宋体" w:cs="宋体"/>
                <w:b/>
                <w:bCs/>
                <w:sz w:val="32"/>
                <w:szCs w:val="32"/>
              </w:rPr>
              <w:t>项目编号：</w:t>
            </w:r>
          </w:p>
        </w:tc>
        <w:tc>
          <w:tcPr>
            <w:tcW w:w="6483" w:type="dxa"/>
            <w:vAlign w:val="center"/>
          </w:tcPr>
          <w:p>
            <w:pPr>
              <w:spacing w:before="156" w:beforeLines="50" w:after="156" w:afterLines="5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HBGS-202302ZC-007</w:t>
            </w:r>
          </w:p>
        </w:tc>
      </w:tr>
      <w:tr>
        <w:tblPrEx>
          <w:tblCellMar>
            <w:top w:w="0" w:type="dxa"/>
            <w:left w:w="108" w:type="dxa"/>
            <w:bottom w:w="0" w:type="dxa"/>
            <w:right w:w="108" w:type="dxa"/>
          </w:tblCellMar>
        </w:tblPrEx>
        <w:trPr>
          <w:trHeight w:val="959" w:hRule="atLeast"/>
          <w:jc w:val="center"/>
        </w:trPr>
        <w:tc>
          <w:tcPr>
            <w:tcW w:w="1823" w:type="dxa"/>
            <w:vAlign w:val="center"/>
          </w:tcPr>
          <w:p>
            <w:pPr>
              <w:spacing w:before="156" w:beforeLines="50" w:after="156" w:afterLines="50"/>
              <w:rPr>
                <w:rFonts w:ascii="宋体" w:hAnsi="宋体" w:cs="宋体"/>
                <w:b/>
                <w:bCs/>
                <w:sz w:val="32"/>
                <w:szCs w:val="32"/>
              </w:rPr>
            </w:pPr>
            <w:r>
              <w:rPr>
                <w:rFonts w:hint="eastAsia" w:ascii="宋体" w:hAnsi="宋体" w:cs="宋体"/>
                <w:b/>
                <w:bCs/>
                <w:sz w:val="32"/>
                <w:szCs w:val="32"/>
              </w:rPr>
              <w:t>项目名称：</w:t>
            </w:r>
          </w:p>
        </w:tc>
        <w:tc>
          <w:tcPr>
            <w:tcW w:w="6483" w:type="dxa"/>
            <w:vAlign w:val="center"/>
          </w:tcPr>
          <w:p>
            <w:pPr>
              <w:rPr>
                <w:rFonts w:hint="eastAsia" w:ascii="宋体" w:hAnsi="宋体" w:eastAsia="宋体" w:cs="宋体"/>
                <w:b/>
                <w:bCs/>
                <w:sz w:val="32"/>
                <w:szCs w:val="32"/>
                <w:lang w:eastAsia="zh-CN"/>
              </w:rPr>
            </w:pPr>
            <w:r>
              <w:rPr>
                <w:rFonts w:hint="eastAsia" w:ascii="宋体" w:hAnsi="宋体" w:cs="宋体"/>
                <w:b/>
                <w:bCs/>
                <w:sz w:val="32"/>
                <w:szCs w:val="32"/>
                <w:lang w:eastAsia="zh-CN"/>
              </w:rPr>
              <w:t>广水市第二人民医院保洁洗涤服务项目</w:t>
            </w:r>
          </w:p>
        </w:tc>
      </w:tr>
    </w:tbl>
    <w:p>
      <w:pPr>
        <w:spacing w:line="360" w:lineRule="auto"/>
        <w:ind w:left="2048" w:leftChars="962" w:right="1306" w:rightChars="622" w:hanging="28" w:hangingChars="8"/>
        <w:rPr>
          <w:rFonts w:ascii="宋体" w:hAnsi="宋体" w:eastAsia="宋体" w:cs="Times New Roman"/>
          <w:sz w:val="36"/>
          <w:szCs w:val="36"/>
        </w:rPr>
      </w:pPr>
    </w:p>
    <w:p>
      <w:pPr>
        <w:spacing w:line="360" w:lineRule="auto"/>
        <w:ind w:right="1306" w:rightChars="622"/>
        <w:rPr>
          <w:rFonts w:asciiTheme="minorEastAsia" w:hAnsiTheme="minorEastAsia"/>
          <w:sz w:val="36"/>
          <w:szCs w:val="36"/>
        </w:rPr>
      </w:pPr>
    </w:p>
    <w:p>
      <w:pPr>
        <w:spacing w:line="360" w:lineRule="auto"/>
        <w:ind w:right="1306" w:rightChars="622"/>
        <w:rPr>
          <w:rFonts w:asciiTheme="minorEastAsia" w:hAnsiTheme="minorEastAsia"/>
          <w:sz w:val="36"/>
          <w:szCs w:val="36"/>
        </w:rPr>
      </w:pPr>
    </w:p>
    <w:p>
      <w:pPr>
        <w:ind w:firstLine="1606" w:firstLineChars="500"/>
        <w:rPr>
          <w:rFonts w:hint="eastAsia" w:ascii="宋体" w:hAnsi="宋体" w:eastAsia="宋体"/>
          <w:b/>
          <w:bCs/>
          <w:color w:val="000000"/>
          <w:sz w:val="32"/>
          <w:szCs w:val="32"/>
          <w:lang w:eastAsia="zh-CN"/>
        </w:rPr>
      </w:pPr>
      <w:r>
        <w:rPr>
          <w:rFonts w:hint="eastAsia" w:ascii="宋体" w:hAnsi="宋体"/>
          <w:b/>
          <w:bCs/>
          <w:color w:val="000000"/>
          <w:sz w:val="32"/>
          <w:szCs w:val="32"/>
        </w:rPr>
        <w:t>采购单位：</w:t>
      </w:r>
      <w:r>
        <w:rPr>
          <w:rFonts w:hint="eastAsia" w:ascii="宋体" w:hAnsi="宋体"/>
          <w:b/>
          <w:bCs/>
          <w:color w:val="000000"/>
          <w:sz w:val="32"/>
          <w:szCs w:val="32"/>
          <w:lang w:eastAsia="zh-CN"/>
        </w:rPr>
        <w:t>广水市第二人民医院</w:t>
      </w:r>
    </w:p>
    <w:p>
      <w:pPr>
        <w:ind w:firstLine="1606" w:firstLineChars="500"/>
        <w:rPr>
          <w:rFonts w:ascii="宋体" w:hAnsi="宋体"/>
          <w:b/>
          <w:bCs/>
          <w:color w:val="000000"/>
          <w:sz w:val="32"/>
          <w:szCs w:val="32"/>
        </w:rPr>
      </w:pPr>
      <w:r>
        <w:rPr>
          <w:rFonts w:hint="eastAsia" w:ascii="宋体" w:hAnsi="宋体"/>
          <w:b/>
          <w:bCs/>
          <w:color w:val="000000"/>
          <w:sz w:val="32"/>
          <w:szCs w:val="32"/>
        </w:rPr>
        <w:t>集采机构：广水市政府采购中心</w:t>
      </w:r>
    </w:p>
    <w:p>
      <w:pPr>
        <w:spacing w:after="1872" w:afterLines="600" w:line="360" w:lineRule="auto"/>
        <w:ind w:right="569" w:rightChars="271" w:firstLine="1606" w:firstLineChars="500"/>
        <w:jc w:val="both"/>
        <w:sectPr>
          <w:headerReference r:id="rId3" w:type="default"/>
          <w:footerReference r:id="rId5" w:type="default"/>
          <w:headerReference r:id="rId4" w:type="even"/>
          <w:pgSz w:w="11906" w:h="16838"/>
          <w:pgMar w:top="1134" w:right="1191" w:bottom="1134" w:left="1191" w:header="851" w:footer="992" w:gutter="0"/>
          <w:pgNumType w:fmt="decimal"/>
          <w:cols w:space="425" w:num="1"/>
          <w:docGrid w:type="lines" w:linePitch="312" w:charSpace="0"/>
        </w:sectPr>
      </w:pPr>
      <w:r>
        <w:rPr>
          <w:rFonts w:hint="eastAsia" w:ascii="宋体" w:hAnsi="宋体"/>
          <w:b/>
          <w:bCs/>
          <w:color w:val="000000"/>
          <w:sz w:val="32"/>
          <w:szCs w:val="32"/>
        </w:rPr>
        <w:t>编制日期：202</w:t>
      </w:r>
      <w:r>
        <w:rPr>
          <w:rFonts w:hint="eastAsia" w:ascii="宋体" w:hAnsi="宋体"/>
          <w:b/>
          <w:bCs/>
          <w:color w:val="000000"/>
          <w:sz w:val="32"/>
          <w:szCs w:val="32"/>
          <w:lang w:val="en-US" w:eastAsia="zh-CN"/>
        </w:rPr>
        <w:t>3</w:t>
      </w:r>
      <w:r>
        <w:rPr>
          <w:rFonts w:hint="eastAsia" w:ascii="宋体" w:hAnsi="宋体"/>
          <w:b/>
          <w:bCs/>
          <w:color w:val="000000"/>
          <w:sz w:val="32"/>
          <w:szCs w:val="32"/>
        </w:rPr>
        <w:t>年</w:t>
      </w:r>
      <w:r>
        <w:rPr>
          <w:rFonts w:hint="eastAsia" w:ascii="宋体" w:hAnsi="宋体"/>
          <w:b/>
          <w:bCs/>
          <w:color w:val="000000"/>
          <w:sz w:val="32"/>
          <w:szCs w:val="32"/>
          <w:lang w:val="en-US" w:eastAsia="zh-CN"/>
        </w:rPr>
        <w:t>2</w:t>
      </w:r>
      <w:r>
        <w:rPr>
          <w:rFonts w:hint="eastAsia" w:ascii="宋体" w:hAnsi="宋体"/>
          <w:b/>
          <w:bCs/>
          <w:color w:val="000000"/>
          <w:sz w:val="32"/>
          <w:szCs w:val="32"/>
        </w:rPr>
        <w:t>月</w:t>
      </w:r>
    </w:p>
    <w:p>
      <w:pPr>
        <w:spacing w:before="312" w:beforeLines="100" w:after="312" w:afterLines="100"/>
        <w:jc w:val="center"/>
        <w:rPr>
          <w:sz w:val="28"/>
          <w:lang w:val="zh-CN"/>
        </w:rPr>
      </w:pPr>
      <w:r>
        <w:rPr>
          <w:rFonts w:hint="eastAsia" w:ascii="黑体" w:hAnsi="黑体" w:eastAsia="黑体"/>
          <w:b/>
          <w:sz w:val="48"/>
          <w:szCs w:val="48"/>
        </w:rPr>
        <w:t>目   录</w:t>
      </w:r>
    </w:p>
    <w:sdt>
      <w:sdtPr>
        <w:rPr>
          <w:rFonts w:eastAsiaTheme="minorEastAsia"/>
          <w:b w:val="0"/>
          <w:iCs w:val="0"/>
          <w:color w:val="auto"/>
          <w:kern w:val="2"/>
          <w:sz w:val="28"/>
          <w:lang w:val="zh-CN"/>
        </w:rPr>
        <w:id w:val="1482579200"/>
        <w:docPartObj>
          <w:docPartGallery w:val="Table of Contents"/>
          <w:docPartUnique/>
        </w:docPartObj>
      </w:sdtPr>
      <w:sdtEndPr>
        <w:rPr>
          <w:rFonts w:eastAsiaTheme="minorEastAsia"/>
          <w:b w:val="0"/>
          <w:bCs/>
          <w:iCs w:val="0"/>
          <w:color w:val="auto"/>
          <w:kern w:val="2"/>
          <w:sz w:val="28"/>
          <w:lang w:val="zh-CN"/>
        </w:rPr>
      </w:sdtEndPr>
      <w:sdtContent>
        <w:p>
          <w:pPr>
            <w:widowControl/>
            <w:tabs>
              <w:tab w:val="left" w:pos="1260"/>
              <w:tab w:val="right" w:leader="dot" w:pos="9514"/>
            </w:tabs>
            <w:spacing w:line="440" w:lineRule="exact"/>
            <w:jc w:val="left"/>
            <w:rPr>
              <w:rFonts w:eastAsia="黑体" w:asciiTheme="minorHAnsi" w:hAnsiTheme="minorHAnsi" w:cstheme="minorBidi"/>
              <w:b/>
              <w:iCs/>
              <w:kern w:val="0"/>
              <w:sz w:val="28"/>
              <w:szCs w:val="22"/>
              <w:lang w:val="en-US" w:eastAsia="zh-CN" w:bidi="ar-SA"/>
            </w:rPr>
          </w:pPr>
          <w:r>
            <w:rPr>
              <w:color w:val="auto"/>
              <w:sz w:val="28"/>
            </w:rPr>
            <w:fldChar w:fldCharType="begin"/>
          </w:r>
          <w:r>
            <w:rPr>
              <w:color w:val="auto"/>
              <w:sz w:val="28"/>
            </w:rPr>
            <w:instrText xml:space="preserve"> TOC \o "1-2" \h \z \u </w:instrText>
          </w:r>
          <w:r>
            <w:rPr>
              <w:color w:val="auto"/>
              <w:sz w:val="28"/>
            </w:rPr>
            <w:fldChar w:fldCharType="separate"/>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_Toc9632 </w:instrText>
          </w:r>
          <w:r>
            <w:rPr>
              <w:rFonts w:eastAsia="黑体"/>
              <w:iCs/>
              <w:kern w:val="0"/>
            </w:rPr>
            <w:fldChar w:fldCharType="separate"/>
          </w:r>
          <w:r>
            <w:rPr>
              <w:rFonts w:hint="eastAsia" w:ascii="黑体" w:hAnsi="黑体" w:eastAsia="黑体"/>
            </w:rPr>
            <w:t>第一章 投标</w:t>
          </w:r>
          <w:r>
            <w:rPr>
              <w:rFonts w:hint="eastAsia" w:ascii="黑体" w:hAnsi="黑体" w:eastAsia="黑体"/>
              <w:lang w:eastAsia="zh-CN"/>
            </w:rPr>
            <w:t>公告（代招标邀请书）</w:t>
          </w:r>
          <w:r>
            <w:tab/>
          </w:r>
          <w:r>
            <w:fldChar w:fldCharType="begin"/>
          </w:r>
          <w:r>
            <w:instrText xml:space="preserve"> PAGEREF _Toc9632 \h </w:instrText>
          </w:r>
          <w:r>
            <w:fldChar w:fldCharType="separate"/>
          </w:r>
          <w:r>
            <w:t>4</w:t>
          </w:r>
          <w:r>
            <w:fldChar w:fldCharType="end"/>
          </w:r>
          <w:r>
            <w:rPr>
              <w:rFonts w:eastAsia="黑体"/>
              <w:iCs/>
              <w:kern w:val="0"/>
            </w:rPr>
            <w:fldChar w:fldCharType="end"/>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_Toc18318 </w:instrText>
          </w:r>
          <w:r>
            <w:rPr>
              <w:rFonts w:eastAsia="黑体"/>
              <w:iCs/>
              <w:kern w:val="0"/>
            </w:rPr>
            <w:fldChar w:fldCharType="separate"/>
          </w:r>
          <w:r>
            <w:rPr>
              <w:rFonts w:hint="eastAsia" w:ascii="黑体" w:hAnsi="黑体" w:eastAsia="黑体"/>
            </w:rPr>
            <w:t>第二章 投标人须知</w:t>
          </w:r>
          <w:r>
            <w:tab/>
          </w:r>
          <w:r>
            <w:fldChar w:fldCharType="begin"/>
          </w:r>
          <w:r>
            <w:instrText xml:space="preserve"> PAGEREF _Toc18318 \h </w:instrText>
          </w:r>
          <w:r>
            <w:fldChar w:fldCharType="separate"/>
          </w:r>
          <w:r>
            <w:t>8</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_Toc10822 </w:instrText>
          </w:r>
          <w:r>
            <w:rPr>
              <w:rFonts w:eastAsia="黑体"/>
              <w:iCs/>
              <w:kern w:val="0"/>
            </w:rPr>
            <w:fldChar w:fldCharType="separate"/>
          </w:r>
          <w:r>
            <w:rPr>
              <w:rFonts w:cs="Times New Roman" w:asciiTheme="majorEastAsia" w:hAnsiTheme="majorEastAsia" w:eastAsiaTheme="majorEastAsia"/>
              <w:bCs/>
              <w:szCs w:val="32"/>
              <w:lang w:val="zh-CN" w:eastAsia="zh-CN"/>
            </w:rPr>
            <w:t>投标须知前附表</w:t>
          </w:r>
          <w:r>
            <w:tab/>
          </w:r>
          <w:r>
            <w:fldChar w:fldCharType="begin"/>
          </w:r>
          <w:r>
            <w:instrText xml:space="preserve"> PAGEREF _Toc10822 \h </w:instrText>
          </w:r>
          <w:r>
            <w:fldChar w:fldCharType="separate"/>
          </w:r>
          <w:r>
            <w:t>8</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_Toc9740 </w:instrText>
          </w:r>
          <w:r>
            <w:rPr>
              <w:rFonts w:eastAsia="黑体"/>
              <w:iCs/>
              <w:kern w:val="0"/>
            </w:rPr>
            <w:fldChar w:fldCharType="separate"/>
          </w:r>
          <w:r>
            <w:rPr>
              <w:rFonts w:hint="eastAsia"/>
              <w:szCs w:val="30"/>
            </w:rPr>
            <w:t xml:space="preserve">一、 </w:t>
          </w:r>
          <w:r>
            <w:rPr>
              <w:rFonts w:hint="eastAsia"/>
            </w:rPr>
            <w:t>说</w:t>
          </w:r>
          <w:r>
            <w:t xml:space="preserve">  </w:t>
          </w:r>
          <w:r>
            <w:rPr>
              <w:rFonts w:hint="eastAsia"/>
            </w:rPr>
            <w:t>明</w:t>
          </w:r>
          <w:r>
            <w:tab/>
          </w:r>
          <w:r>
            <w:fldChar w:fldCharType="begin"/>
          </w:r>
          <w:r>
            <w:instrText xml:space="preserve"> PAGEREF _Toc9740 \h </w:instrText>
          </w:r>
          <w:r>
            <w:fldChar w:fldCharType="separate"/>
          </w:r>
          <w:r>
            <w:t>11</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_Toc3742 </w:instrText>
          </w:r>
          <w:r>
            <w:rPr>
              <w:rFonts w:eastAsia="黑体"/>
              <w:iCs/>
              <w:kern w:val="0"/>
            </w:rPr>
            <w:fldChar w:fldCharType="separate"/>
          </w:r>
          <w:r>
            <w:rPr>
              <w:rFonts w:hint="eastAsia"/>
              <w:szCs w:val="30"/>
            </w:rPr>
            <w:t xml:space="preserve">二、 </w:t>
          </w:r>
          <w:r>
            <w:rPr>
              <w:rFonts w:hint="eastAsia"/>
            </w:rPr>
            <w:t>招标文件</w:t>
          </w:r>
          <w:r>
            <w:tab/>
          </w:r>
          <w:r>
            <w:fldChar w:fldCharType="begin"/>
          </w:r>
          <w:r>
            <w:instrText xml:space="preserve"> PAGEREF _Toc3742 \h </w:instrText>
          </w:r>
          <w:r>
            <w:fldChar w:fldCharType="separate"/>
          </w:r>
          <w:r>
            <w:t>12</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_Toc10791 </w:instrText>
          </w:r>
          <w:r>
            <w:rPr>
              <w:rFonts w:eastAsia="黑体"/>
              <w:iCs/>
              <w:kern w:val="0"/>
            </w:rPr>
            <w:fldChar w:fldCharType="separate"/>
          </w:r>
          <w:r>
            <w:rPr>
              <w:rFonts w:hint="eastAsia"/>
              <w:szCs w:val="30"/>
            </w:rPr>
            <w:t xml:space="preserve">三、 </w:t>
          </w:r>
          <w:r>
            <w:rPr>
              <w:rFonts w:hint="eastAsia"/>
            </w:rPr>
            <w:t>投标文件</w:t>
          </w:r>
          <w:r>
            <w:tab/>
          </w:r>
          <w:r>
            <w:fldChar w:fldCharType="begin"/>
          </w:r>
          <w:r>
            <w:instrText xml:space="preserve"> PAGEREF _Toc10791 \h </w:instrText>
          </w:r>
          <w:r>
            <w:fldChar w:fldCharType="separate"/>
          </w:r>
          <w:r>
            <w:t>13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_Toc23806 </w:instrText>
          </w:r>
          <w:r>
            <w:rPr>
              <w:rFonts w:eastAsia="黑体"/>
              <w:iCs/>
              <w:kern w:val="0"/>
            </w:rPr>
            <w:fldChar w:fldCharType="separate"/>
          </w:r>
          <w:r>
            <w:rPr>
              <w:rFonts w:hint="eastAsia" w:ascii="宋体"/>
              <w:bCs w:val="0"/>
              <w:szCs w:val="30"/>
            </w:rPr>
            <w:t xml:space="preserve">四、 </w:t>
          </w:r>
          <w:r>
            <w:rPr>
              <w:rFonts w:hint="eastAsia" w:ascii="宋体" w:hAnsi="宋体"/>
              <w:bCs w:val="0"/>
            </w:rPr>
            <w:t>开标与评标</w:t>
          </w:r>
          <w:r>
            <w:tab/>
          </w:r>
          <w:r>
            <w:fldChar w:fldCharType="begin"/>
          </w:r>
          <w:r>
            <w:instrText xml:space="preserve"> PAGEREF _Toc23806 \h </w:instrText>
          </w:r>
          <w:r>
            <w:fldChar w:fldCharType="separate"/>
          </w:r>
          <w:r>
            <w:t>17</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_Toc25747 </w:instrText>
          </w:r>
          <w:r>
            <w:rPr>
              <w:rFonts w:eastAsia="黑体"/>
              <w:iCs/>
              <w:kern w:val="0"/>
            </w:rPr>
            <w:fldChar w:fldCharType="separate"/>
          </w:r>
          <w:r>
            <w:rPr>
              <w:rFonts w:hint="eastAsia"/>
              <w:szCs w:val="30"/>
            </w:rPr>
            <w:t xml:space="preserve">五、 </w:t>
          </w:r>
          <w:r>
            <w:rPr>
              <w:rFonts w:hint="eastAsia"/>
            </w:rPr>
            <w:t>投标人信用信息及查询</w:t>
          </w:r>
          <w:r>
            <w:tab/>
          </w:r>
          <w:r>
            <w:fldChar w:fldCharType="begin"/>
          </w:r>
          <w:r>
            <w:instrText xml:space="preserve"> PAGEREF _Toc25747 \h </w:instrText>
          </w:r>
          <w:r>
            <w:fldChar w:fldCharType="separate"/>
          </w:r>
          <w:r>
            <w:t>19</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_Toc7217 </w:instrText>
          </w:r>
          <w:r>
            <w:rPr>
              <w:rFonts w:eastAsia="黑体"/>
              <w:iCs/>
              <w:kern w:val="0"/>
            </w:rPr>
            <w:fldChar w:fldCharType="separate"/>
          </w:r>
          <w:r>
            <w:rPr>
              <w:rFonts w:hint="eastAsia"/>
              <w:szCs w:val="30"/>
            </w:rPr>
            <w:t xml:space="preserve">六、 </w:t>
          </w:r>
          <w:r>
            <w:rPr>
              <w:rFonts w:hint="eastAsia"/>
            </w:rPr>
            <w:t>中标与合同</w:t>
          </w:r>
          <w:r>
            <w:tab/>
          </w:r>
          <w:r>
            <w:fldChar w:fldCharType="begin"/>
          </w:r>
          <w:r>
            <w:instrText xml:space="preserve"> PAGEREF _Toc7217 \h </w:instrText>
          </w:r>
          <w:r>
            <w:fldChar w:fldCharType="separate"/>
          </w:r>
          <w:r>
            <w:t>20</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_Toc15925 </w:instrText>
          </w:r>
          <w:r>
            <w:rPr>
              <w:rFonts w:eastAsia="黑体"/>
              <w:iCs/>
              <w:kern w:val="0"/>
            </w:rPr>
            <w:fldChar w:fldCharType="separate"/>
          </w:r>
          <w:r>
            <w:rPr>
              <w:rFonts w:hint="eastAsia"/>
              <w:szCs w:val="30"/>
            </w:rPr>
            <w:t xml:space="preserve">七、 </w:t>
          </w:r>
          <w:r>
            <w:rPr>
              <w:rFonts w:hint="eastAsia"/>
            </w:rPr>
            <w:t>采购信息公告</w:t>
          </w:r>
          <w:r>
            <w:tab/>
          </w:r>
          <w:r>
            <w:fldChar w:fldCharType="begin"/>
          </w:r>
          <w:r>
            <w:instrText xml:space="preserve"> PAGEREF _Toc15925 \h </w:instrText>
          </w:r>
          <w:r>
            <w:fldChar w:fldCharType="separate"/>
          </w:r>
          <w:r>
            <w:t>21</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_Toc8646 </w:instrText>
          </w:r>
          <w:r>
            <w:rPr>
              <w:rFonts w:eastAsia="黑体"/>
              <w:iCs/>
              <w:kern w:val="0"/>
            </w:rPr>
            <w:fldChar w:fldCharType="separate"/>
          </w:r>
          <w:r>
            <w:rPr>
              <w:rFonts w:hint="eastAsia"/>
              <w:szCs w:val="30"/>
            </w:rPr>
            <w:t xml:space="preserve">八、 </w:t>
          </w:r>
          <w:r>
            <w:rPr>
              <w:rFonts w:hint="eastAsia"/>
            </w:rPr>
            <w:t>质疑及提交</w:t>
          </w:r>
          <w:r>
            <w:tab/>
          </w:r>
          <w:r>
            <w:fldChar w:fldCharType="begin"/>
          </w:r>
          <w:r>
            <w:instrText xml:space="preserve"> PAGEREF _Toc8646 \h </w:instrText>
          </w:r>
          <w:r>
            <w:fldChar w:fldCharType="separate"/>
          </w:r>
          <w:r>
            <w:t>21</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_Toc28072 </w:instrText>
          </w:r>
          <w:r>
            <w:rPr>
              <w:rFonts w:eastAsia="黑体"/>
              <w:iCs/>
              <w:kern w:val="0"/>
            </w:rPr>
            <w:fldChar w:fldCharType="separate"/>
          </w:r>
          <w:r>
            <w:rPr>
              <w:rFonts w:hint="eastAsia"/>
              <w:szCs w:val="30"/>
            </w:rPr>
            <w:t xml:space="preserve">九、 </w:t>
          </w:r>
          <w:r>
            <w:rPr>
              <w:rFonts w:hint="eastAsia"/>
            </w:rPr>
            <w:t>相关条文解读</w:t>
          </w:r>
          <w:r>
            <w:tab/>
          </w:r>
          <w:r>
            <w:fldChar w:fldCharType="begin"/>
          </w:r>
          <w:r>
            <w:instrText xml:space="preserve"> PAGEREF _Toc28072 \h </w:instrText>
          </w:r>
          <w:r>
            <w:fldChar w:fldCharType="separate"/>
          </w:r>
          <w:r>
            <w:t>22</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_Toc27634 </w:instrText>
          </w:r>
          <w:r>
            <w:rPr>
              <w:rFonts w:eastAsia="黑体"/>
              <w:iCs/>
              <w:kern w:val="0"/>
            </w:rPr>
            <w:fldChar w:fldCharType="separate"/>
          </w:r>
          <w:r>
            <w:rPr>
              <w:rFonts w:hint="eastAsia"/>
              <w:szCs w:val="30"/>
            </w:rPr>
            <w:t xml:space="preserve">十、 </w:t>
          </w:r>
          <w:r>
            <w:rPr>
              <w:rFonts w:hint="eastAsia"/>
            </w:rPr>
            <w:t>其他注意事项</w:t>
          </w:r>
          <w:r>
            <w:tab/>
          </w:r>
          <w:r>
            <w:fldChar w:fldCharType="begin"/>
          </w:r>
          <w:r>
            <w:instrText xml:space="preserve"> PAGEREF _Toc27634 \h </w:instrText>
          </w:r>
          <w:r>
            <w:fldChar w:fldCharType="separate"/>
          </w:r>
          <w:r>
            <w:t>23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_Toc14901 </w:instrText>
          </w:r>
          <w:r>
            <w:rPr>
              <w:rFonts w:eastAsia="黑体"/>
              <w:iCs/>
              <w:kern w:val="0"/>
            </w:rPr>
            <w:fldChar w:fldCharType="separate"/>
          </w:r>
          <w:r>
            <w:rPr>
              <w:rFonts w:hint="eastAsia"/>
              <w:szCs w:val="30"/>
            </w:rPr>
            <w:t xml:space="preserve">十一、 </w:t>
          </w:r>
          <w:r>
            <w:rPr>
              <w:rFonts w:hint="eastAsia"/>
            </w:rPr>
            <w:t>适用法律</w:t>
          </w:r>
          <w:r>
            <w:tab/>
          </w:r>
          <w:r>
            <w:fldChar w:fldCharType="begin"/>
          </w:r>
          <w:r>
            <w:instrText xml:space="preserve"> PAGEREF _Toc14901 \h </w:instrText>
          </w:r>
          <w:r>
            <w:fldChar w:fldCharType="separate"/>
          </w:r>
          <w:r>
            <w:t>23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_Toc26421 </w:instrText>
          </w:r>
          <w:r>
            <w:rPr>
              <w:rFonts w:eastAsia="黑体"/>
              <w:iCs/>
              <w:kern w:val="0"/>
            </w:rPr>
            <w:fldChar w:fldCharType="separate"/>
          </w:r>
          <w:r>
            <w:rPr>
              <w:rFonts w:hint="eastAsia"/>
              <w:szCs w:val="30"/>
            </w:rPr>
            <w:t xml:space="preserve">十二、 </w:t>
          </w:r>
          <w:r>
            <w:rPr>
              <w:rFonts w:hint="eastAsia"/>
            </w:rPr>
            <w:t>招标文件的解释权</w:t>
          </w:r>
          <w:r>
            <w:tab/>
          </w:r>
          <w:r>
            <w:fldChar w:fldCharType="begin"/>
          </w:r>
          <w:r>
            <w:instrText xml:space="preserve"> PAGEREF _Toc26421 \h </w:instrText>
          </w:r>
          <w:r>
            <w:fldChar w:fldCharType="separate"/>
          </w:r>
          <w:r>
            <w:t>23</w:t>
          </w:r>
          <w:r>
            <w:fldChar w:fldCharType="end"/>
          </w:r>
          <w:r>
            <w:rPr>
              <w:rFonts w:eastAsia="黑体"/>
              <w:iCs/>
              <w:kern w:val="0"/>
            </w:rPr>
            <w:fldChar w:fldCharType="end"/>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_Toc32591 </w:instrText>
          </w:r>
          <w:r>
            <w:rPr>
              <w:rFonts w:eastAsia="黑体"/>
              <w:iCs/>
              <w:kern w:val="0"/>
            </w:rPr>
            <w:fldChar w:fldCharType="separate"/>
          </w:r>
          <w:r>
            <w:rPr>
              <w:rFonts w:hint="eastAsia" w:ascii="黑体" w:hAnsi="黑体" w:eastAsia="黑体"/>
            </w:rPr>
            <w:t>第三章 项目技术、服务及商务要求</w:t>
          </w:r>
          <w:r>
            <w:tab/>
          </w:r>
          <w:r>
            <w:fldChar w:fldCharType="begin"/>
          </w:r>
          <w:r>
            <w:instrText xml:space="preserve"> PAGEREF _Toc32591 \h </w:instrText>
          </w:r>
          <w:r>
            <w:fldChar w:fldCharType="separate"/>
          </w:r>
          <w:r>
            <w:t>24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_Toc26206 </w:instrText>
          </w:r>
          <w:r>
            <w:rPr>
              <w:rFonts w:eastAsia="黑体"/>
              <w:iCs/>
              <w:kern w:val="0"/>
            </w:rPr>
            <w:fldChar w:fldCharType="separate"/>
          </w:r>
          <w:r>
            <w:rPr>
              <w:rFonts w:hint="eastAsia" w:ascii="宋体" w:hAnsi="宋体" w:cs="Times New Roman"/>
              <w:bCs w:val="0"/>
              <w:szCs w:val="30"/>
              <w:lang w:eastAsia="zh-CN"/>
            </w:rPr>
            <w:t>一、</w:t>
          </w:r>
          <w:r>
            <w:rPr>
              <w:rFonts w:hint="eastAsia" w:ascii="宋体" w:hAnsi="宋体" w:cs="Times New Roman"/>
              <w:bCs w:val="0"/>
              <w:szCs w:val="30"/>
            </w:rPr>
            <w:t>采购清单</w:t>
          </w:r>
          <w:r>
            <w:tab/>
          </w:r>
          <w:r>
            <w:fldChar w:fldCharType="begin"/>
          </w:r>
          <w:r>
            <w:instrText xml:space="preserve"> PAGEREF _Toc26206 \h </w:instrText>
          </w:r>
          <w:r>
            <w:fldChar w:fldCharType="separate"/>
          </w:r>
          <w:r>
            <w:t>24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_Toc15625 </w:instrText>
          </w:r>
          <w:r>
            <w:rPr>
              <w:rFonts w:eastAsia="黑体"/>
              <w:iCs/>
              <w:kern w:val="0"/>
            </w:rPr>
            <w:fldChar w:fldCharType="separate"/>
          </w:r>
          <w:r>
            <w:rPr>
              <w:rFonts w:hint="eastAsia" w:ascii="宋体" w:hAnsi="宋体" w:cs="Times New Roman"/>
              <w:bCs w:val="0"/>
              <w:szCs w:val="30"/>
              <w:lang w:eastAsia="zh-CN"/>
            </w:rPr>
            <w:t>二、</w:t>
          </w:r>
          <w:r>
            <w:rPr>
              <w:rFonts w:hint="eastAsia" w:ascii="宋体" w:hAnsi="宋体" w:cs="Times New Roman"/>
              <w:bCs w:val="0"/>
              <w:szCs w:val="30"/>
            </w:rPr>
            <w:t>项目概述及简介</w:t>
          </w:r>
          <w:r>
            <w:tab/>
          </w:r>
          <w:r>
            <w:fldChar w:fldCharType="begin"/>
          </w:r>
          <w:r>
            <w:instrText xml:space="preserve"> PAGEREF _Toc15625 \h </w:instrText>
          </w:r>
          <w:r>
            <w:fldChar w:fldCharType="separate"/>
          </w:r>
          <w:r>
            <w:t>24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_Toc1971 </w:instrText>
          </w:r>
          <w:r>
            <w:rPr>
              <w:rFonts w:eastAsia="黑体"/>
              <w:iCs/>
              <w:kern w:val="0"/>
            </w:rPr>
            <w:fldChar w:fldCharType="separate"/>
          </w:r>
          <w:r>
            <w:rPr>
              <w:rFonts w:hint="eastAsia" w:ascii="宋体" w:hAnsi="宋体" w:cs="Times New Roman"/>
              <w:bCs w:val="0"/>
              <w:szCs w:val="30"/>
              <w:lang w:eastAsia="zh-CN"/>
            </w:rPr>
            <w:t>三、</w:t>
          </w:r>
          <w:r>
            <w:rPr>
              <w:rFonts w:hint="eastAsia" w:ascii="宋体" w:hAnsi="宋体" w:cs="Times New Roman"/>
              <w:bCs w:val="0"/>
              <w:szCs w:val="30"/>
            </w:rPr>
            <w:t>国家相关行政主管部门颁布的强制标准、规范</w:t>
          </w:r>
          <w:r>
            <w:tab/>
          </w:r>
          <w:r>
            <w:fldChar w:fldCharType="begin"/>
          </w:r>
          <w:r>
            <w:instrText xml:space="preserve"> PAGEREF _Toc1971 \h </w:instrText>
          </w:r>
          <w:r>
            <w:fldChar w:fldCharType="separate"/>
          </w:r>
          <w:r>
            <w:t>24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_Toc9506 </w:instrText>
          </w:r>
          <w:r>
            <w:rPr>
              <w:rFonts w:eastAsia="黑体"/>
              <w:iCs/>
              <w:kern w:val="0"/>
            </w:rPr>
            <w:fldChar w:fldCharType="separate"/>
          </w:r>
          <w:r>
            <w:rPr>
              <w:rFonts w:hint="eastAsia" w:ascii="宋体" w:hAnsi="宋体" w:cs="Times New Roman"/>
              <w:bCs w:val="0"/>
              <w:szCs w:val="30"/>
              <w:lang w:eastAsia="zh-CN"/>
            </w:rPr>
            <w:t>四、</w:t>
          </w:r>
          <w:r>
            <w:rPr>
              <w:rFonts w:hint="eastAsia" w:ascii="宋体" w:hAnsi="宋体" w:cs="Times New Roman"/>
              <w:bCs w:val="0"/>
              <w:szCs w:val="30"/>
            </w:rPr>
            <w:t>技术、服务要求</w:t>
          </w:r>
          <w:r>
            <w:tab/>
          </w:r>
          <w:r>
            <w:fldChar w:fldCharType="begin"/>
          </w:r>
          <w:r>
            <w:instrText xml:space="preserve"> PAGEREF _Toc9506 \h </w:instrText>
          </w:r>
          <w:r>
            <w:fldChar w:fldCharType="separate"/>
          </w:r>
          <w:r>
            <w:t>24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_Toc22591 </w:instrText>
          </w:r>
          <w:r>
            <w:rPr>
              <w:rFonts w:eastAsia="黑体"/>
              <w:iCs/>
              <w:kern w:val="0"/>
            </w:rPr>
            <w:fldChar w:fldCharType="separate"/>
          </w:r>
          <w:r>
            <w:rPr>
              <w:rFonts w:hint="eastAsia" w:ascii="宋体" w:hAnsi="宋体" w:cs="Times New Roman"/>
              <w:bCs w:val="0"/>
              <w:szCs w:val="30"/>
            </w:rPr>
            <w:t>一、 商务要求</w:t>
          </w:r>
          <w:r>
            <w:tab/>
          </w:r>
          <w:r>
            <w:fldChar w:fldCharType="begin"/>
          </w:r>
          <w:r>
            <w:instrText xml:space="preserve"> PAGEREF _Toc22591 \h </w:instrText>
          </w:r>
          <w:r>
            <w:fldChar w:fldCharType="separate"/>
          </w:r>
          <w:r>
            <w:t>27</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_Toc20894 </w:instrText>
          </w:r>
          <w:r>
            <w:rPr>
              <w:rFonts w:eastAsia="黑体"/>
              <w:iCs/>
              <w:kern w:val="0"/>
            </w:rPr>
            <w:fldChar w:fldCharType="separate"/>
          </w:r>
          <w:r>
            <w:rPr>
              <w:rFonts w:hint="eastAsia" w:ascii="宋体" w:hAnsi="宋体" w:cs="Times New Roman"/>
              <w:bCs w:val="0"/>
              <w:szCs w:val="30"/>
            </w:rPr>
            <w:t>二、 年度物业管理量化考评管理办法</w:t>
          </w:r>
          <w:r>
            <w:tab/>
          </w:r>
          <w:r>
            <w:fldChar w:fldCharType="begin"/>
          </w:r>
          <w:r>
            <w:instrText xml:space="preserve"> PAGEREF _Toc20894 \h </w:instrText>
          </w:r>
          <w:r>
            <w:fldChar w:fldCharType="separate"/>
          </w:r>
          <w:r>
            <w:t>28</w:t>
          </w:r>
          <w:r>
            <w:fldChar w:fldCharType="end"/>
          </w:r>
          <w:r>
            <w:rPr>
              <w:rFonts w:eastAsia="黑体"/>
              <w:iCs/>
              <w:kern w:val="0"/>
            </w:rPr>
            <w:fldChar w:fldCharType="end"/>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_Toc20110 </w:instrText>
          </w:r>
          <w:r>
            <w:rPr>
              <w:rFonts w:eastAsia="黑体"/>
              <w:iCs/>
              <w:kern w:val="0"/>
            </w:rPr>
            <w:fldChar w:fldCharType="separate"/>
          </w:r>
          <w:r>
            <w:rPr>
              <w:rFonts w:hint="eastAsia" w:ascii="黑体" w:hAnsi="黑体" w:eastAsia="黑体"/>
            </w:rPr>
            <w:t>第四章 资格审查方法及标准</w:t>
          </w:r>
          <w:r>
            <w:tab/>
          </w:r>
          <w:r>
            <w:fldChar w:fldCharType="begin"/>
          </w:r>
          <w:r>
            <w:instrText xml:space="preserve"> PAGEREF _Toc20110 \h </w:instrText>
          </w:r>
          <w:r>
            <w:fldChar w:fldCharType="separate"/>
          </w:r>
          <w:r>
            <w:t>32</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_Toc30984 </w:instrText>
          </w:r>
          <w:r>
            <w:rPr>
              <w:rFonts w:eastAsia="黑体"/>
              <w:iCs/>
              <w:kern w:val="0"/>
            </w:rPr>
            <w:fldChar w:fldCharType="separate"/>
          </w:r>
          <w:r>
            <w:rPr>
              <w:rFonts w:hint="eastAsia" w:cs="Times New Roman" w:asciiTheme="majorEastAsia" w:hAnsiTheme="majorEastAsia"/>
              <w:bCs w:val="0"/>
              <w:szCs w:val="30"/>
              <w:lang w:val="zh-CN" w:eastAsia="zh-CN"/>
            </w:rPr>
            <w:t>一、 资格审查方法</w:t>
          </w:r>
          <w:r>
            <w:tab/>
          </w:r>
          <w:r>
            <w:fldChar w:fldCharType="begin"/>
          </w:r>
          <w:r>
            <w:instrText xml:space="preserve"> PAGEREF _Toc30984 \h </w:instrText>
          </w:r>
          <w:r>
            <w:fldChar w:fldCharType="separate"/>
          </w:r>
          <w:r>
            <w:t>32</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_Toc16488 </w:instrText>
          </w:r>
          <w:r>
            <w:rPr>
              <w:rFonts w:eastAsia="黑体"/>
              <w:iCs/>
              <w:kern w:val="0"/>
            </w:rPr>
            <w:fldChar w:fldCharType="separate"/>
          </w:r>
          <w:r>
            <w:rPr>
              <w:rFonts w:hint="eastAsia" w:cs="Times New Roman" w:asciiTheme="majorEastAsia" w:hAnsiTheme="majorEastAsia"/>
              <w:bCs w:val="0"/>
              <w:szCs w:val="30"/>
              <w:lang w:val="zh-CN" w:eastAsia="zh-CN"/>
            </w:rPr>
            <w:t>二、 资格审查标准</w:t>
          </w:r>
          <w:r>
            <w:tab/>
          </w:r>
          <w:r>
            <w:fldChar w:fldCharType="begin"/>
          </w:r>
          <w:r>
            <w:instrText xml:space="preserve"> PAGEREF _Toc16488 \h </w:instrText>
          </w:r>
          <w:r>
            <w:fldChar w:fldCharType="separate"/>
          </w:r>
          <w:r>
            <w:t>32</w:t>
          </w:r>
          <w:r>
            <w:fldChar w:fldCharType="end"/>
          </w:r>
          <w:r>
            <w:rPr>
              <w:rFonts w:eastAsia="黑体"/>
              <w:iCs/>
              <w:kern w:val="0"/>
            </w:rPr>
            <w:fldChar w:fldCharType="end"/>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_Toc21964 </w:instrText>
          </w:r>
          <w:r>
            <w:rPr>
              <w:rFonts w:eastAsia="黑体"/>
              <w:iCs/>
              <w:kern w:val="0"/>
            </w:rPr>
            <w:fldChar w:fldCharType="separate"/>
          </w:r>
          <w:r>
            <w:rPr>
              <w:rFonts w:hint="eastAsia" w:ascii="黑体" w:hAnsi="黑体" w:eastAsia="黑体"/>
            </w:rPr>
            <w:t>第五章 评标方法、程序及标准</w:t>
          </w:r>
          <w:r>
            <w:tab/>
          </w:r>
          <w:r>
            <w:fldChar w:fldCharType="begin"/>
          </w:r>
          <w:r>
            <w:instrText xml:space="preserve"> PAGEREF _Toc21964 \h </w:instrText>
          </w:r>
          <w:r>
            <w:fldChar w:fldCharType="separate"/>
          </w:r>
          <w:r>
            <w:t>35</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_Toc21322 </w:instrText>
          </w:r>
          <w:r>
            <w:rPr>
              <w:rFonts w:eastAsia="黑体"/>
              <w:iCs/>
              <w:kern w:val="0"/>
            </w:rPr>
            <w:fldChar w:fldCharType="separate"/>
          </w:r>
          <w:r>
            <w:rPr>
              <w:rFonts w:hint="eastAsia" w:ascii="宋体" w:hAnsi="宋体" w:cs="Times New Roman"/>
              <w:bCs w:val="0"/>
              <w:szCs w:val="30"/>
            </w:rPr>
            <w:t>一、 评标方法</w:t>
          </w:r>
          <w:r>
            <w:tab/>
          </w:r>
          <w:r>
            <w:fldChar w:fldCharType="begin"/>
          </w:r>
          <w:r>
            <w:instrText xml:space="preserve"> PAGEREF _Toc21322 \h </w:instrText>
          </w:r>
          <w:r>
            <w:fldChar w:fldCharType="separate"/>
          </w:r>
          <w:r>
            <w:t>35</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_Toc24901 </w:instrText>
          </w:r>
          <w:r>
            <w:rPr>
              <w:rFonts w:eastAsia="黑体"/>
              <w:iCs/>
              <w:kern w:val="0"/>
            </w:rPr>
            <w:fldChar w:fldCharType="separate"/>
          </w:r>
          <w:r>
            <w:rPr>
              <w:rFonts w:hint="eastAsia" w:ascii="宋体" w:hAnsi="宋体" w:cs="Times New Roman"/>
              <w:bCs w:val="0"/>
              <w:szCs w:val="30"/>
            </w:rPr>
            <w:t>二、 评标程序及标准</w:t>
          </w:r>
          <w:r>
            <w:tab/>
          </w:r>
          <w:r>
            <w:fldChar w:fldCharType="begin"/>
          </w:r>
          <w:r>
            <w:instrText xml:space="preserve"> PAGEREF _Toc24901 \h </w:instrText>
          </w:r>
          <w:r>
            <w:fldChar w:fldCharType="separate"/>
          </w:r>
          <w:r>
            <w:t>35</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_Toc9637 </w:instrText>
          </w:r>
          <w:r>
            <w:rPr>
              <w:rFonts w:eastAsia="黑体"/>
              <w:iCs/>
              <w:kern w:val="0"/>
            </w:rPr>
            <w:fldChar w:fldCharType="separate"/>
          </w:r>
          <w:r>
            <w:rPr>
              <w:rFonts w:hint="eastAsia" w:ascii="宋体" w:hAnsi="宋体" w:cs="Times New Roman"/>
              <w:bCs w:val="0"/>
              <w:szCs w:val="30"/>
            </w:rPr>
            <w:t>三、 评审因素及评分标准</w:t>
          </w:r>
          <w:r>
            <w:tab/>
          </w:r>
          <w:r>
            <w:fldChar w:fldCharType="begin"/>
          </w:r>
          <w:r>
            <w:instrText xml:space="preserve"> PAGEREF _Toc9637 \h </w:instrText>
          </w:r>
          <w:r>
            <w:fldChar w:fldCharType="separate"/>
          </w:r>
          <w:r>
            <w:t>39</w:t>
          </w:r>
          <w:r>
            <w:fldChar w:fldCharType="end"/>
          </w:r>
          <w:r>
            <w:rPr>
              <w:rFonts w:eastAsia="黑体"/>
              <w:iCs/>
              <w:kern w:val="0"/>
            </w:rPr>
            <w:fldChar w:fldCharType="end"/>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_Toc18557 </w:instrText>
          </w:r>
          <w:r>
            <w:rPr>
              <w:rFonts w:eastAsia="黑体"/>
              <w:iCs/>
              <w:kern w:val="0"/>
            </w:rPr>
            <w:fldChar w:fldCharType="separate"/>
          </w:r>
          <w:r>
            <w:rPr>
              <w:rFonts w:hint="eastAsia" w:ascii="黑体" w:hAnsi="黑体" w:eastAsia="黑体"/>
            </w:rPr>
            <w:t>第六章 合同书</w:t>
          </w:r>
          <w:r>
            <w:tab/>
          </w:r>
          <w:r>
            <w:fldChar w:fldCharType="begin"/>
          </w:r>
          <w:r>
            <w:instrText xml:space="preserve"> PAGEREF _Toc18557 \h </w:instrText>
          </w:r>
          <w:r>
            <w:fldChar w:fldCharType="separate"/>
          </w:r>
          <w:r>
            <w:t>41</w:t>
          </w:r>
          <w:r>
            <w:fldChar w:fldCharType="end"/>
          </w:r>
          <w:r>
            <w:rPr>
              <w:rFonts w:eastAsia="黑体"/>
              <w:iCs/>
              <w:kern w:val="0"/>
            </w:rPr>
            <w:fldChar w:fldCharType="end"/>
          </w:r>
        </w:p>
        <w:p>
          <w:pPr>
            <w:pStyle w:val="18"/>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_Toc7992 </w:instrText>
          </w:r>
          <w:r>
            <w:rPr>
              <w:rFonts w:eastAsia="黑体"/>
              <w:iCs/>
              <w:kern w:val="0"/>
            </w:rPr>
            <w:fldChar w:fldCharType="separate"/>
          </w:r>
          <w:r>
            <w:rPr>
              <w:rFonts w:hint="eastAsia" w:ascii="黑体" w:hAnsi="黑体" w:eastAsia="黑体"/>
            </w:rPr>
            <w:t>第七章 投标文件格式（参考）</w:t>
          </w:r>
          <w:r>
            <w:tab/>
          </w:r>
          <w:r>
            <w:fldChar w:fldCharType="begin"/>
          </w:r>
          <w:r>
            <w:instrText xml:space="preserve"> PAGEREF _Toc7992 \h </w:instrText>
          </w:r>
          <w:r>
            <w:fldChar w:fldCharType="separate"/>
          </w:r>
          <w:r>
            <w:t>43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_Toc28595 </w:instrText>
          </w:r>
          <w:r>
            <w:rPr>
              <w:rFonts w:eastAsia="黑体"/>
              <w:iCs/>
              <w:kern w:val="0"/>
            </w:rPr>
            <w:fldChar w:fldCharType="separate"/>
          </w:r>
          <w:r>
            <w:rPr>
              <w:rFonts w:hint="eastAsia" w:cs="Times New Roman" w:asciiTheme="majorEastAsia" w:hAnsiTheme="majorEastAsia" w:eastAsiaTheme="majorEastAsia"/>
              <w:szCs w:val="44"/>
              <w:lang w:val="zh-CN" w:eastAsia="zh-CN"/>
            </w:rPr>
            <w:t>第一部分 资格证明文件</w:t>
          </w:r>
          <w:r>
            <w:tab/>
          </w:r>
          <w:r>
            <w:fldChar w:fldCharType="begin"/>
          </w:r>
          <w:r>
            <w:instrText xml:space="preserve"> PAGEREF _Toc28595 \h </w:instrText>
          </w:r>
          <w:r>
            <w:fldChar w:fldCharType="separate"/>
          </w:r>
          <w:r>
            <w:t>43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_Toc2290 </w:instrText>
          </w:r>
          <w:r>
            <w:rPr>
              <w:rFonts w:eastAsia="黑体"/>
              <w:iCs/>
              <w:kern w:val="0"/>
            </w:rPr>
            <w:fldChar w:fldCharType="separate"/>
          </w:r>
          <w:r>
            <w:rPr>
              <w:rFonts w:hint="eastAsia" w:ascii="黑体" w:hAnsi="黑体" w:eastAsia="黑体" w:cs="Times New Roman"/>
              <w:bCs w:val="0"/>
              <w:szCs w:val="36"/>
              <w:lang w:val="zh-CN" w:eastAsia="zh-CN"/>
            </w:rPr>
            <w:t>资格证明文件组成</w:t>
          </w:r>
          <w:r>
            <w:tab/>
          </w:r>
          <w:r>
            <w:fldChar w:fldCharType="begin"/>
          </w:r>
          <w:r>
            <w:instrText xml:space="preserve"> PAGEREF _Toc2290 \h </w:instrText>
          </w:r>
          <w:r>
            <w:fldChar w:fldCharType="separate"/>
          </w:r>
          <w:r>
            <w:t>44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_Toc17170 </w:instrText>
          </w:r>
          <w:r>
            <w:rPr>
              <w:rFonts w:eastAsia="黑体"/>
              <w:iCs/>
              <w:kern w:val="0"/>
            </w:rPr>
            <w:fldChar w:fldCharType="separate"/>
          </w:r>
          <w:r>
            <w:rPr>
              <w:rFonts w:hint="eastAsia" w:cs="Times New Roman" w:asciiTheme="majorEastAsia" w:hAnsiTheme="majorEastAsia" w:eastAsiaTheme="majorEastAsia"/>
              <w:szCs w:val="44"/>
              <w:lang w:val="zh-CN" w:eastAsia="zh-CN"/>
            </w:rPr>
            <w:t>第二部分 商务文件</w:t>
          </w:r>
          <w:r>
            <w:tab/>
          </w:r>
          <w:r>
            <w:fldChar w:fldCharType="begin"/>
          </w:r>
          <w:r>
            <w:instrText xml:space="preserve"> PAGEREF _Toc17170 \h </w:instrText>
          </w:r>
          <w:r>
            <w:fldChar w:fldCharType="separate"/>
          </w:r>
          <w:r>
            <w:t>46</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_Toc20810 </w:instrText>
          </w:r>
          <w:r>
            <w:rPr>
              <w:rFonts w:eastAsia="黑体"/>
              <w:iCs/>
              <w:kern w:val="0"/>
            </w:rPr>
            <w:fldChar w:fldCharType="separate"/>
          </w:r>
          <w:r>
            <w:rPr>
              <w:rFonts w:hint="eastAsia" w:ascii="黑体" w:hAnsi="黑体" w:eastAsia="黑体" w:cs="Times New Roman"/>
              <w:bCs w:val="0"/>
              <w:szCs w:val="36"/>
              <w:lang w:val="zh-CN" w:eastAsia="zh-CN"/>
            </w:rPr>
            <w:t>商务文件组成</w:t>
          </w:r>
          <w:r>
            <w:tab/>
          </w:r>
          <w:r>
            <w:fldChar w:fldCharType="begin"/>
          </w:r>
          <w:r>
            <w:instrText xml:space="preserve"> PAGEREF _Toc20810 \h </w:instrText>
          </w:r>
          <w:r>
            <w:fldChar w:fldCharType="separate"/>
          </w:r>
          <w:r>
            <w:t>47</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_Toc17998 </w:instrText>
          </w:r>
          <w:r>
            <w:rPr>
              <w:rFonts w:eastAsia="黑体"/>
              <w:iCs/>
              <w:kern w:val="0"/>
            </w:rPr>
            <w:fldChar w:fldCharType="separate"/>
          </w:r>
          <w:r>
            <w:rPr>
              <w:rFonts w:hint="eastAsia" w:cs="Times New Roman" w:asciiTheme="majorEastAsia" w:hAnsiTheme="majorEastAsia" w:eastAsiaTheme="majorEastAsia"/>
              <w:szCs w:val="44"/>
              <w:lang w:val="zh-CN" w:eastAsia="zh-CN"/>
            </w:rPr>
            <w:t>第三部分 技术、服务文件</w:t>
          </w:r>
          <w:r>
            <w:tab/>
          </w:r>
          <w:r>
            <w:fldChar w:fldCharType="begin"/>
          </w:r>
          <w:r>
            <w:instrText xml:space="preserve"> PAGEREF _Toc17998 \h </w:instrText>
          </w:r>
          <w:r>
            <w:fldChar w:fldCharType="separate"/>
          </w:r>
          <w:r>
            <w:t>48</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_Toc18411 </w:instrText>
          </w:r>
          <w:r>
            <w:rPr>
              <w:rFonts w:eastAsia="黑体"/>
              <w:iCs/>
              <w:kern w:val="0"/>
            </w:rPr>
            <w:fldChar w:fldCharType="separate"/>
          </w:r>
          <w:r>
            <w:rPr>
              <w:rFonts w:hint="eastAsia" w:ascii="黑体" w:hAnsi="黑体" w:eastAsia="黑体" w:cs="Times New Roman"/>
              <w:bCs w:val="0"/>
              <w:szCs w:val="36"/>
              <w:lang w:val="zh-CN" w:eastAsia="zh-CN"/>
            </w:rPr>
            <w:t>技术、服务文件组成</w:t>
          </w:r>
          <w:r>
            <w:tab/>
          </w:r>
          <w:r>
            <w:fldChar w:fldCharType="begin"/>
          </w:r>
          <w:r>
            <w:instrText xml:space="preserve"> PAGEREF _Toc18411 \h </w:instrText>
          </w:r>
          <w:r>
            <w:fldChar w:fldCharType="separate"/>
          </w:r>
          <w:r>
            <w:t>49</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_Toc8706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附件一： </w:t>
          </w:r>
          <w:r>
            <w:rPr>
              <w:rFonts w:hint="eastAsia" w:cs="Times New Roman" w:asciiTheme="majorEastAsia" w:hAnsiTheme="majorEastAsia"/>
              <w:bCs w:val="0"/>
              <w:lang w:eastAsia="zh-CN"/>
            </w:rPr>
            <w:t>财务状况报告，依法缴纳税收和社会保障资金的声明函</w:t>
          </w:r>
          <w:r>
            <w:tab/>
          </w:r>
          <w:r>
            <w:fldChar w:fldCharType="begin"/>
          </w:r>
          <w:r>
            <w:instrText xml:space="preserve"> PAGEREF _Toc8706 \h </w:instrText>
          </w:r>
          <w:r>
            <w:fldChar w:fldCharType="separate"/>
          </w:r>
          <w:r>
            <w:t>50</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_Toc13349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附件二： </w:t>
          </w:r>
          <w:r>
            <w:rPr>
              <w:rFonts w:hint="eastAsia" w:cs="Times New Roman" w:asciiTheme="majorEastAsia" w:hAnsiTheme="majorEastAsia"/>
              <w:bCs w:val="0"/>
              <w:lang w:eastAsia="zh-CN"/>
            </w:rPr>
            <w:t>无重大违法记录的声明函</w:t>
          </w:r>
          <w:r>
            <w:tab/>
          </w:r>
          <w:r>
            <w:fldChar w:fldCharType="begin"/>
          </w:r>
          <w:r>
            <w:instrText xml:space="preserve"> PAGEREF _Toc13349 \h </w:instrText>
          </w:r>
          <w:r>
            <w:fldChar w:fldCharType="separate"/>
          </w:r>
          <w:r>
            <w:t>51</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_Toc9462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附件三： </w:t>
          </w:r>
          <w:r>
            <w:rPr>
              <w:rFonts w:hint="eastAsia" w:cs="Times New Roman" w:asciiTheme="majorEastAsia" w:hAnsiTheme="majorEastAsia"/>
              <w:bCs w:val="0"/>
              <w:lang w:eastAsia="zh-CN"/>
            </w:rPr>
            <w:t>未</w:t>
          </w:r>
          <w:r>
            <w:rPr>
              <w:rFonts w:hint="eastAsia" w:cs="Times New Roman" w:asciiTheme="majorEastAsia" w:hAnsiTheme="majorEastAsia"/>
              <w:bCs w:val="0"/>
            </w:rPr>
            <w:t>参加同一合同项下的政府采购活动的声明函</w:t>
          </w:r>
          <w:r>
            <w:tab/>
          </w:r>
          <w:r>
            <w:fldChar w:fldCharType="begin"/>
          </w:r>
          <w:r>
            <w:instrText xml:space="preserve"> PAGEREF _Toc9462 \h </w:instrText>
          </w:r>
          <w:r>
            <w:fldChar w:fldCharType="separate"/>
          </w:r>
          <w:r>
            <w:t>52</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_Toc900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附件四： </w:t>
          </w:r>
          <w:r>
            <w:rPr>
              <w:rFonts w:hint="eastAsia" w:cs="Times New Roman" w:asciiTheme="majorEastAsia" w:hAnsiTheme="majorEastAsia"/>
              <w:bCs w:val="0"/>
              <w:lang w:eastAsia="zh-CN"/>
            </w:rPr>
            <w:t>未为本采购项目提供服务的声明函</w:t>
          </w:r>
          <w:r>
            <w:tab/>
          </w:r>
          <w:r>
            <w:fldChar w:fldCharType="begin"/>
          </w:r>
          <w:r>
            <w:instrText xml:space="preserve"> PAGEREF _Toc900 \h </w:instrText>
          </w:r>
          <w:r>
            <w:fldChar w:fldCharType="separate"/>
          </w:r>
          <w:r>
            <w:t>53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_Toc8388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附件五： </w:t>
          </w:r>
          <w:r>
            <w:rPr>
              <w:rFonts w:hint="eastAsia" w:cs="Times New Roman" w:asciiTheme="majorEastAsia" w:hAnsiTheme="majorEastAsia"/>
              <w:bCs w:val="0"/>
              <w:lang w:eastAsia="zh-CN"/>
            </w:rPr>
            <w:t>未被列入记录名单的声明函</w:t>
          </w:r>
          <w:r>
            <w:tab/>
          </w:r>
          <w:r>
            <w:fldChar w:fldCharType="begin"/>
          </w:r>
          <w:r>
            <w:instrText xml:space="preserve"> PAGEREF _Toc8388 \h </w:instrText>
          </w:r>
          <w:r>
            <w:fldChar w:fldCharType="separate"/>
          </w:r>
          <w:r>
            <w:t>54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_Toc31352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附件六： </w:t>
          </w:r>
          <w:r>
            <w:rPr>
              <w:rFonts w:cs="Times New Roman" w:asciiTheme="majorEastAsia" w:hAnsiTheme="majorEastAsia"/>
              <w:bCs w:val="0"/>
              <w:lang w:eastAsia="zh-CN"/>
            </w:rPr>
            <w:t>联合体协议书</w:t>
          </w:r>
          <w:r>
            <w:tab/>
          </w:r>
          <w:r>
            <w:fldChar w:fldCharType="begin"/>
          </w:r>
          <w:r>
            <w:instrText xml:space="preserve"> PAGEREF _Toc31352 \h </w:instrText>
          </w:r>
          <w:r>
            <w:fldChar w:fldCharType="separate"/>
          </w:r>
          <w:r>
            <w:t>55</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_Toc1137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附件七： </w:t>
          </w:r>
          <w:r>
            <w:rPr>
              <w:rFonts w:hint="eastAsia" w:cs="Times New Roman" w:asciiTheme="majorEastAsia" w:hAnsiTheme="majorEastAsia"/>
              <w:bCs w:val="0"/>
              <w:lang w:eastAsia="zh-CN"/>
            </w:rPr>
            <w:t>分包意向协议书</w:t>
          </w:r>
          <w:r>
            <w:tab/>
          </w:r>
          <w:r>
            <w:fldChar w:fldCharType="begin"/>
          </w:r>
          <w:r>
            <w:instrText xml:space="preserve"> PAGEREF _Toc1137 \h </w:instrText>
          </w:r>
          <w:r>
            <w:fldChar w:fldCharType="separate"/>
          </w:r>
          <w:r>
            <w:t>56</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_Toc24314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附件八： </w:t>
          </w:r>
          <w:r>
            <w:rPr>
              <w:rFonts w:hint="eastAsia" w:cs="Times New Roman" w:asciiTheme="majorEastAsia" w:hAnsiTheme="majorEastAsia"/>
              <w:bCs w:val="0"/>
              <w:lang w:eastAsia="zh-CN"/>
            </w:rPr>
            <w:t>投标书</w:t>
          </w:r>
          <w:r>
            <w:tab/>
          </w:r>
          <w:r>
            <w:fldChar w:fldCharType="begin"/>
          </w:r>
          <w:r>
            <w:instrText xml:space="preserve"> PAGEREF _Toc24314 \h </w:instrText>
          </w:r>
          <w:r>
            <w:fldChar w:fldCharType="separate"/>
          </w:r>
          <w:r>
            <w:t>57</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_Toc27888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附件九： </w:t>
          </w:r>
          <w:r>
            <w:rPr>
              <w:rFonts w:hint="eastAsia" w:cs="Times New Roman" w:asciiTheme="majorEastAsia" w:hAnsiTheme="majorEastAsia"/>
              <w:bCs w:val="0"/>
              <w:lang w:eastAsia="zh-CN"/>
            </w:rPr>
            <w:t>中小企业声明函（货物）</w:t>
          </w:r>
          <w:r>
            <w:tab/>
          </w:r>
          <w:r>
            <w:fldChar w:fldCharType="begin"/>
          </w:r>
          <w:r>
            <w:instrText xml:space="preserve"> PAGEREF _Toc27888 \h </w:instrText>
          </w:r>
          <w:r>
            <w:fldChar w:fldCharType="separate"/>
          </w:r>
          <w:r>
            <w:t>58</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_Toc5516 </w:instrText>
          </w:r>
          <w:r>
            <w:rPr>
              <w:rFonts w:eastAsia="黑体"/>
              <w:iCs/>
              <w:kern w:val="0"/>
            </w:rPr>
            <w:fldChar w:fldCharType="separate"/>
          </w:r>
          <w:r>
            <w:rPr>
              <w:rFonts w:hint="eastAsia" w:cs="Times New Roman" w:asciiTheme="majorEastAsia" w:hAnsiTheme="majorEastAsia" w:eastAsiaTheme="majorEastAsia"/>
              <w:strike w:val="0"/>
              <w:szCs w:val="32"/>
              <w:lang w:val="en-US"/>
            </w:rPr>
            <w:t xml:space="preserve">附件十： </w:t>
          </w:r>
          <w:r>
            <w:rPr>
              <w:rFonts w:hint="eastAsia" w:cs="Times New Roman" w:asciiTheme="majorEastAsia" w:hAnsiTheme="majorEastAsia" w:eastAsiaTheme="majorEastAsia"/>
              <w:szCs w:val="32"/>
            </w:rPr>
            <w:t>创新产品应用示范推荐目录内中小企业声明函（货物）</w:t>
          </w:r>
          <w:r>
            <w:tab/>
          </w:r>
          <w:r>
            <w:fldChar w:fldCharType="begin"/>
          </w:r>
          <w:r>
            <w:instrText xml:space="preserve"> PAGEREF _Toc5516 \h </w:instrText>
          </w:r>
          <w:r>
            <w:fldChar w:fldCharType="separate"/>
          </w:r>
          <w:r>
            <w:t>60</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_Toc25264 </w:instrText>
          </w:r>
          <w:r>
            <w:rPr>
              <w:rFonts w:eastAsia="黑体"/>
              <w:iCs/>
              <w:kern w:val="0"/>
            </w:rPr>
            <w:fldChar w:fldCharType="separate"/>
          </w:r>
          <w:r>
            <w:rPr>
              <w:rFonts w:hint="eastAsia" w:cs="Times New Roman" w:asciiTheme="majorEastAsia" w:hAnsiTheme="majorEastAsia" w:eastAsiaTheme="majorEastAsia"/>
              <w:strike w:val="0"/>
              <w:szCs w:val="32"/>
              <w:lang w:val="en-US"/>
            </w:rPr>
            <w:t xml:space="preserve">附件十一： </w:t>
          </w:r>
          <w:r>
            <w:rPr>
              <w:rFonts w:hint="eastAsia" w:cs="Times New Roman" w:asciiTheme="majorEastAsia" w:hAnsiTheme="majorEastAsia" w:eastAsiaTheme="majorEastAsia"/>
              <w:szCs w:val="32"/>
            </w:rPr>
            <w:t>节能环保产品中小企业声明函(货物)</w:t>
          </w:r>
          <w:r>
            <w:tab/>
          </w:r>
          <w:r>
            <w:fldChar w:fldCharType="begin"/>
          </w:r>
          <w:r>
            <w:instrText xml:space="preserve"> PAGEREF _Toc25264 \h </w:instrText>
          </w:r>
          <w:r>
            <w:fldChar w:fldCharType="separate"/>
          </w:r>
          <w:r>
            <w:t>61</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_Toc11018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附件十二： </w:t>
          </w:r>
          <w:r>
            <w:rPr>
              <w:rFonts w:hint="eastAsia" w:cs="Times New Roman" w:asciiTheme="majorEastAsia" w:hAnsiTheme="majorEastAsia"/>
              <w:bCs w:val="0"/>
              <w:lang w:eastAsia="zh-CN"/>
            </w:rPr>
            <w:t>残疾人福利性单位声明函（适用于货物类项目）</w:t>
          </w:r>
          <w:r>
            <w:tab/>
          </w:r>
          <w:r>
            <w:fldChar w:fldCharType="begin"/>
          </w:r>
          <w:r>
            <w:instrText xml:space="preserve"> PAGEREF _Toc11018 \h </w:instrText>
          </w:r>
          <w:r>
            <w:fldChar w:fldCharType="separate"/>
          </w:r>
          <w:r>
            <w:t>63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_Toc23069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附件十三： </w:t>
          </w:r>
          <w:r>
            <w:rPr>
              <w:rFonts w:hint="eastAsia" w:cs="Times New Roman" w:asciiTheme="majorEastAsia" w:hAnsiTheme="majorEastAsia"/>
              <w:bCs w:val="0"/>
              <w:lang w:eastAsia="zh-CN"/>
            </w:rPr>
            <w:t>开标一览表</w:t>
          </w:r>
          <w:r>
            <w:tab/>
          </w:r>
          <w:r>
            <w:fldChar w:fldCharType="begin"/>
          </w:r>
          <w:r>
            <w:instrText xml:space="preserve"> PAGEREF _Toc23069 \h </w:instrText>
          </w:r>
          <w:r>
            <w:fldChar w:fldCharType="separate"/>
          </w:r>
          <w:r>
            <w:t>66</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_Toc9299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附件十四： </w:t>
          </w:r>
          <w:r>
            <w:rPr>
              <w:rFonts w:hint="eastAsia" w:cs="Times New Roman" w:asciiTheme="majorEastAsia" w:hAnsiTheme="majorEastAsia"/>
              <w:bCs w:val="0"/>
              <w:lang w:eastAsia="zh-CN"/>
            </w:rPr>
            <w:t>投标报价明细表</w:t>
          </w:r>
          <w:r>
            <w:tab/>
          </w:r>
          <w:r>
            <w:fldChar w:fldCharType="begin"/>
          </w:r>
          <w:r>
            <w:instrText xml:space="preserve"> PAGEREF _Toc9299 \h </w:instrText>
          </w:r>
          <w:r>
            <w:fldChar w:fldCharType="separate"/>
          </w:r>
          <w:r>
            <w:t>67</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_Toc29725 </w:instrText>
          </w:r>
          <w:r>
            <w:rPr>
              <w:rFonts w:eastAsia="黑体"/>
              <w:iCs/>
              <w:kern w:val="0"/>
            </w:rPr>
            <w:fldChar w:fldCharType="separate"/>
          </w:r>
          <w:r>
            <w:rPr>
              <w:rFonts w:hint="eastAsia" w:ascii="宋体" w:hAnsi="宋体" w:eastAsia="宋体"/>
              <w:strike w:val="0"/>
              <w:szCs w:val="32"/>
              <w:lang w:val="en-US"/>
            </w:rPr>
            <w:t xml:space="preserve">附件十五： </w:t>
          </w:r>
          <w:r>
            <w:rPr>
              <w:rFonts w:hint="eastAsia" w:ascii="宋体" w:hAnsi="宋体" w:eastAsia="宋体"/>
              <w:szCs w:val="31"/>
            </w:rPr>
            <w:t>投标货物（工程或服务）清单</w:t>
          </w:r>
          <w:r>
            <w:tab/>
          </w:r>
          <w:r>
            <w:fldChar w:fldCharType="begin"/>
          </w:r>
          <w:r>
            <w:instrText xml:space="preserve"> PAGEREF _Toc29725 \h </w:instrText>
          </w:r>
          <w:r>
            <w:fldChar w:fldCharType="separate"/>
          </w:r>
          <w:r>
            <w:t>68</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_Toc12143 </w:instrText>
          </w:r>
          <w:r>
            <w:rPr>
              <w:rFonts w:eastAsia="黑体"/>
              <w:iCs/>
              <w:kern w:val="0"/>
            </w:rPr>
            <w:fldChar w:fldCharType="separate"/>
          </w:r>
          <w:r>
            <w:rPr>
              <w:rFonts w:hint="eastAsia" w:ascii="宋体" w:hAnsi="宋体" w:eastAsia="宋体"/>
              <w:strike w:val="0"/>
              <w:szCs w:val="32"/>
              <w:lang w:val="en-US"/>
            </w:rPr>
            <w:t xml:space="preserve">附件十六： </w:t>
          </w:r>
          <w:r>
            <w:rPr>
              <w:rFonts w:hint="eastAsia" w:ascii="宋体" w:hAnsi="宋体" w:eastAsia="宋体"/>
            </w:rPr>
            <w:t>交纳投标保证金的银行凭证</w:t>
          </w:r>
          <w:r>
            <w:tab/>
          </w:r>
          <w:r>
            <w:fldChar w:fldCharType="begin"/>
          </w:r>
          <w:r>
            <w:instrText xml:space="preserve"> PAGEREF _Toc12143 \h </w:instrText>
          </w:r>
          <w:r>
            <w:fldChar w:fldCharType="separate"/>
          </w:r>
          <w:r>
            <w:t>69</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_Toc5202 </w:instrText>
          </w:r>
          <w:r>
            <w:rPr>
              <w:rFonts w:eastAsia="黑体"/>
              <w:iCs/>
              <w:kern w:val="0"/>
            </w:rPr>
            <w:fldChar w:fldCharType="separate"/>
          </w:r>
          <w:r>
            <w:rPr>
              <w:rFonts w:hint="eastAsia" w:ascii="宋体" w:hAnsi="宋体" w:eastAsia="宋体"/>
              <w:strike w:val="0"/>
              <w:szCs w:val="32"/>
              <w:lang w:val="en-US"/>
            </w:rPr>
            <w:t xml:space="preserve">附件十七： </w:t>
          </w:r>
          <w:r>
            <w:rPr>
              <w:rFonts w:hint="eastAsia" w:ascii="宋体" w:hAnsi="宋体" w:eastAsia="宋体"/>
            </w:rPr>
            <w:t>法定代表人授权书</w:t>
          </w:r>
          <w:r>
            <w:tab/>
          </w:r>
          <w:r>
            <w:fldChar w:fldCharType="begin"/>
          </w:r>
          <w:r>
            <w:instrText xml:space="preserve"> PAGEREF _Toc5202 \h </w:instrText>
          </w:r>
          <w:r>
            <w:fldChar w:fldCharType="separate"/>
          </w:r>
          <w:r>
            <w:t>70</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_Toc1720 </w:instrText>
          </w:r>
          <w:r>
            <w:rPr>
              <w:rFonts w:eastAsia="黑体"/>
              <w:iCs/>
              <w:kern w:val="0"/>
            </w:rPr>
            <w:fldChar w:fldCharType="separate"/>
          </w:r>
          <w:r>
            <w:rPr>
              <w:rFonts w:hint="eastAsia" w:ascii="宋体" w:hAnsi="宋体" w:eastAsia="宋体"/>
              <w:strike w:val="0"/>
              <w:szCs w:val="32"/>
              <w:lang w:val="en-US"/>
            </w:rPr>
            <w:t xml:space="preserve">附件十八： </w:t>
          </w:r>
          <w:r>
            <w:rPr>
              <w:rFonts w:hint="eastAsia" w:ascii="宋体" w:hAnsi="宋体" w:eastAsia="宋体"/>
            </w:rPr>
            <w:t>投标人的资格声明</w:t>
          </w:r>
          <w:r>
            <w:tab/>
          </w:r>
          <w:r>
            <w:fldChar w:fldCharType="begin"/>
          </w:r>
          <w:r>
            <w:instrText xml:space="preserve"> PAGEREF _Toc1720 \h </w:instrText>
          </w:r>
          <w:r>
            <w:fldChar w:fldCharType="separate"/>
          </w:r>
          <w:r>
            <w:t>71</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_Toc1158 </w:instrText>
          </w:r>
          <w:r>
            <w:rPr>
              <w:rFonts w:eastAsia="黑体"/>
              <w:iCs/>
              <w:kern w:val="0"/>
            </w:rPr>
            <w:fldChar w:fldCharType="separate"/>
          </w:r>
          <w:r>
            <w:rPr>
              <w:rFonts w:hint="eastAsia" w:ascii="宋体" w:hAnsi="宋体" w:eastAsia="宋体"/>
              <w:strike w:val="0"/>
              <w:szCs w:val="32"/>
              <w:lang w:val="en-US"/>
            </w:rPr>
            <w:t xml:space="preserve">附件十九： </w:t>
          </w:r>
          <w:r>
            <w:rPr>
              <w:rFonts w:hint="eastAsia" w:ascii="宋体" w:hAnsi="宋体" w:eastAsia="宋体"/>
            </w:rPr>
            <w:t>项目负责人、技术负责人简历表</w:t>
          </w:r>
          <w:r>
            <w:tab/>
          </w:r>
          <w:r>
            <w:fldChar w:fldCharType="begin"/>
          </w:r>
          <w:r>
            <w:instrText xml:space="preserve"> PAGEREF _Toc1158 \h </w:instrText>
          </w:r>
          <w:r>
            <w:fldChar w:fldCharType="separate"/>
          </w:r>
          <w:r>
            <w:t>72</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_Toc30414 </w:instrText>
          </w:r>
          <w:r>
            <w:rPr>
              <w:rFonts w:eastAsia="黑体"/>
              <w:iCs/>
              <w:kern w:val="0"/>
            </w:rPr>
            <w:fldChar w:fldCharType="separate"/>
          </w:r>
          <w:r>
            <w:rPr>
              <w:rFonts w:hint="eastAsia" w:ascii="宋体" w:hAnsi="宋体" w:eastAsia="宋体"/>
              <w:strike w:val="0"/>
              <w:szCs w:val="32"/>
              <w:lang w:val="en-US"/>
            </w:rPr>
            <w:t xml:space="preserve">附件二十： </w:t>
          </w:r>
          <w:r>
            <w:rPr>
              <w:rFonts w:hint="eastAsia" w:ascii="宋体" w:hAnsi="宋体" w:eastAsia="宋体"/>
            </w:rPr>
            <w:t>项目班子成员情况表</w:t>
          </w:r>
          <w:r>
            <w:tab/>
          </w:r>
          <w:r>
            <w:fldChar w:fldCharType="begin"/>
          </w:r>
          <w:r>
            <w:instrText xml:space="preserve"> PAGEREF _Toc30414 \h </w:instrText>
          </w:r>
          <w:r>
            <w:fldChar w:fldCharType="separate"/>
          </w:r>
          <w:r>
            <w:t>73</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_Toc26616 </w:instrText>
          </w:r>
          <w:r>
            <w:rPr>
              <w:rFonts w:eastAsia="黑体"/>
              <w:iCs/>
              <w:kern w:val="0"/>
            </w:rPr>
            <w:fldChar w:fldCharType="separate"/>
          </w:r>
          <w:r>
            <w:rPr>
              <w:rFonts w:hint="eastAsia" w:ascii="宋体" w:hAnsi="宋体" w:eastAsia="宋体"/>
              <w:strike w:val="0"/>
              <w:szCs w:val="32"/>
              <w:lang w:val="en-US"/>
            </w:rPr>
            <w:t xml:space="preserve">附件二十一： </w:t>
          </w:r>
          <w:r>
            <w:rPr>
              <w:rFonts w:hint="eastAsia" w:ascii="宋体" w:hAnsi="宋体" w:eastAsia="宋体"/>
            </w:rPr>
            <w:t>投标人类似项目业绩表</w:t>
          </w:r>
          <w:r>
            <w:tab/>
          </w:r>
          <w:r>
            <w:fldChar w:fldCharType="begin"/>
          </w:r>
          <w:r>
            <w:instrText xml:space="preserve"> PAGEREF _Toc26616 \h </w:instrText>
          </w:r>
          <w:r>
            <w:fldChar w:fldCharType="separate"/>
          </w:r>
          <w:r>
            <w:t>74</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_Toc24721 </w:instrText>
          </w:r>
          <w:r>
            <w:rPr>
              <w:rFonts w:eastAsia="黑体"/>
              <w:iCs/>
              <w:kern w:val="0"/>
            </w:rPr>
            <w:fldChar w:fldCharType="separate"/>
          </w:r>
          <w:r>
            <w:rPr>
              <w:rFonts w:hint="eastAsia" w:ascii="宋体" w:hAnsi="宋体" w:eastAsia="宋体"/>
              <w:strike w:val="0"/>
              <w:szCs w:val="32"/>
              <w:lang w:val="en-US"/>
            </w:rPr>
            <w:t xml:space="preserve">附件二十二： </w:t>
          </w:r>
          <w:r>
            <w:rPr>
              <w:rFonts w:hint="eastAsia" w:ascii="宋体" w:hAnsi="宋体" w:eastAsia="宋体"/>
            </w:rPr>
            <w:t>符合性审查对照表</w:t>
          </w:r>
          <w:r>
            <w:tab/>
          </w:r>
          <w:r>
            <w:fldChar w:fldCharType="begin"/>
          </w:r>
          <w:r>
            <w:instrText xml:space="preserve"> PAGEREF _Toc24721 \h </w:instrText>
          </w:r>
          <w:r>
            <w:fldChar w:fldCharType="separate"/>
          </w:r>
          <w:r>
            <w:t>75</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_Toc7555 </w:instrText>
          </w:r>
          <w:r>
            <w:rPr>
              <w:rFonts w:eastAsia="黑体"/>
              <w:iCs/>
              <w:kern w:val="0"/>
            </w:rPr>
            <w:fldChar w:fldCharType="separate"/>
          </w:r>
          <w:r>
            <w:rPr>
              <w:rFonts w:hint="eastAsia" w:ascii="宋体" w:hAnsi="宋体" w:eastAsia="宋体"/>
              <w:strike w:val="0"/>
              <w:szCs w:val="32"/>
              <w:lang w:val="en-US"/>
            </w:rPr>
            <w:t xml:space="preserve">附件二十三： </w:t>
          </w:r>
          <w:r>
            <w:rPr>
              <w:rFonts w:hint="eastAsia" w:ascii="宋体" w:hAnsi="宋体" w:eastAsia="宋体"/>
            </w:rPr>
            <w:t>商务要求响应、偏离说明表</w:t>
          </w:r>
          <w:r>
            <w:tab/>
          </w:r>
          <w:r>
            <w:fldChar w:fldCharType="begin"/>
          </w:r>
          <w:r>
            <w:instrText xml:space="preserve"> PAGEREF _Toc7555 \h </w:instrText>
          </w:r>
          <w:r>
            <w:fldChar w:fldCharType="separate"/>
          </w:r>
          <w:r>
            <w:t>76</w:t>
          </w:r>
          <w:r>
            <w:fldChar w:fldCharType="end"/>
          </w:r>
          <w:r>
            <w:rPr>
              <w:rFonts w:eastAsia="黑体"/>
              <w:iCs/>
              <w:kern w:val="0"/>
            </w:rPr>
            <w:fldChar w:fldCharType="end"/>
          </w:r>
        </w:p>
        <w:p>
          <w:pPr>
            <w:pStyle w:val="20"/>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_Toc21146 </w:instrText>
          </w:r>
          <w:r>
            <w:rPr>
              <w:rFonts w:eastAsia="黑体"/>
              <w:iCs/>
              <w:kern w:val="0"/>
            </w:rPr>
            <w:fldChar w:fldCharType="separate"/>
          </w:r>
          <w:r>
            <w:rPr>
              <w:rFonts w:hint="eastAsia" w:cs="Times New Roman" w:asciiTheme="majorEastAsia" w:hAnsiTheme="majorEastAsia"/>
              <w:bCs w:val="0"/>
              <w:strike w:val="0"/>
              <w:szCs w:val="32"/>
              <w:lang w:val="en-US" w:eastAsia="zh-CN"/>
            </w:rPr>
            <w:t xml:space="preserve">附件二十四： </w:t>
          </w:r>
          <w:r>
            <w:rPr>
              <w:rFonts w:hint="eastAsia" w:cs="Times New Roman" w:asciiTheme="majorEastAsia" w:hAnsiTheme="majorEastAsia"/>
              <w:bCs w:val="0"/>
              <w:lang w:eastAsia="zh-CN"/>
            </w:rPr>
            <w:t>技术、服务要求响应、偏离说明表</w:t>
          </w:r>
          <w:r>
            <w:tab/>
          </w:r>
          <w:r>
            <w:fldChar w:fldCharType="begin"/>
          </w:r>
          <w:r>
            <w:instrText xml:space="preserve"> PAGEREF _Toc21146 \h </w:instrText>
          </w:r>
          <w:r>
            <w:fldChar w:fldCharType="separate"/>
          </w:r>
          <w:r>
            <w:t>77</w:t>
          </w:r>
          <w:r>
            <w:fldChar w:fldCharType="end"/>
          </w:r>
          <w:r>
            <w:rPr>
              <w:rFonts w:eastAsia="黑体"/>
              <w:iCs/>
              <w:kern w:val="0"/>
            </w:rPr>
            <w:fldChar w:fldCharType="end"/>
          </w:r>
        </w:p>
        <w:p>
          <w:pPr>
            <w:pStyle w:val="18"/>
            <w:widowControl/>
            <w:spacing w:line="440" w:lineRule="exact"/>
            <w:jc w:val="left"/>
            <w:rPr>
              <w:rFonts w:eastAsia="黑体"/>
              <w:bCs/>
              <w:iCs/>
              <w:kern w:val="0"/>
              <w:sz w:val="28"/>
              <w:lang w:val="zh-CN"/>
            </w:rPr>
            <w:sectPr>
              <w:headerReference r:id="rId6" w:type="default"/>
              <w:footerReference r:id="rId7" w:type="default"/>
              <w:pgSz w:w="11906" w:h="16838"/>
              <w:pgMar w:top="1134" w:right="1191" w:bottom="1134" w:left="1191" w:header="851" w:footer="992" w:gutter="0"/>
              <w:pgNumType w:fmt="decimal"/>
              <w:cols w:space="425" w:num="1"/>
              <w:docGrid w:type="lines" w:linePitch="312" w:charSpace="0"/>
            </w:sectPr>
          </w:pPr>
          <w:r>
            <w:rPr>
              <w:rFonts w:eastAsia="黑体"/>
              <w:b/>
              <w:iCs/>
              <w:kern w:val="0"/>
              <w:sz w:val="28"/>
            </w:rPr>
            <w:fldChar w:fldCharType="end"/>
          </w:r>
        </w:p>
      </w:sdtContent>
    </w:sdt>
    <w:p>
      <w:pPr>
        <w:pStyle w:val="3"/>
        <w:numPr>
          <w:ilvl w:val="0"/>
          <w:numId w:val="2"/>
        </w:numPr>
        <w:spacing w:before="240" w:after="120"/>
        <w:ind w:left="883" w:hanging="880" w:hangingChars="200"/>
        <w:jc w:val="center"/>
        <w:rPr>
          <w:rFonts w:ascii="黑体" w:hAnsi="黑体" w:eastAsia="黑体"/>
        </w:rPr>
      </w:pPr>
      <w:bookmarkStart w:id="0" w:name="_Toc511894492"/>
      <w:bookmarkStart w:id="1" w:name="_Toc511889414"/>
      <w:bookmarkStart w:id="2" w:name="_Toc9632"/>
      <w:r>
        <w:rPr>
          <w:rFonts w:hint="eastAsia" w:ascii="黑体" w:hAnsi="黑体" w:eastAsia="黑体"/>
        </w:rPr>
        <w:t>投标</w:t>
      </w:r>
      <w:bookmarkEnd w:id="0"/>
      <w:bookmarkEnd w:id="1"/>
      <w:r>
        <w:rPr>
          <w:rFonts w:hint="eastAsia" w:ascii="黑体" w:hAnsi="黑体" w:eastAsia="黑体"/>
          <w:lang w:eastAsia="zh-CN"/>
        </w:rPr>
        <w:t>公告（代招标邀请书）</w:t>
      </w:r>
      <w:bookmarkEnd w:id="2"/>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lang w:eastAsia="zh-CN"/>
        </w:rPr>
        <w:t>广水市第二人民医院保洁洗涤服务项目</w:t>
      </w:r>
      <w:r>
        <w:rPr>
          <w:rFonts w:hint="eastAsia" w:ascii="宋体" w:hAnsi="宋体" w:cs="宋体"/>
          <w:sz w:val="28"/>
          <w:szCs w:val="28"/>
        </w:rPr>
        <w:t>的潜在投标人应在湖北省电子招投标交易平台获取招标文件，并于202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日9点00分（北京时间）前递交投标文件。</w:t>
      </w:r>
    </w:p>
    <w:p>
      <w:pPr>
        <w:pStyle w:val="23"/>
        <w:snapToGrid w:val="0"/>
        <w:spacing w:line="312" w:lineRule="auto"/>
        <w:ind w:left="0" w:leftChars="0" w:firstLine="560"/>
        <w:rPr>
          <w:rFonts w:ascii="宋体" w:hAnsi="宋体" w:cs="宋体"/>
          <w:sz w:val="28"/>
          <w:szCs w:val="28"/>
        </w:rPr>
      </w:pPr>
      <w:bookmarkStart w:id="3" w:name="_Toc26147"/>
      <w:bookmarkStart w:id="4" w:name="_Toc35393621"/>
      <w:bookmarkStart w:id="5" w:name="_Toc28359002"/>
      <w:bookmarkStart w:id="6" w:name="_Toc35393790"/>
      <w:bookmarkStart w:id="7" w:name="_Toc28359079"/>
      <w:bookmarkStart w:id="8" w:name="_Hlk24379207"/>
      <w:r>
        <w:rPr>
          <w:rFonts w:hint="eastAsia" w:ascii="宋体" w:hAnsi="宋体" w:cs="宋体"/>
          <w:sz w:val="28"/>
          <w:szCs w:val="28"/>
        </w:rPr>
        <w:t>一、项目基本情况</w:t>
      </w:r>
      <w:bookmarkEnd w:id="3"/>
      <w:bookmarkEnd w:id="4"/>
      <w:bookmarkEnd w:id="5"/>
      <w:bookmarkEnd w:id="6"/>
      <w:bookmarkEnd w:id="7"/>
    </w:p>
    <w:p>
      <w:pPr>
        <w:pStyle w:val="23"/>
        <w:snapToGrid w:val="0"/>
        <w:spacing w:line="312" w:lineRule="auto"/>
        <w:ind w:left="0" w:leftChars="0" w:firstLine="560"/>
        <w:rPr>
          <w:rFonts w:hint="eastAsia" w:ascii="宋体" w:hAnsi="宋体" w:eastAsia="宋体" w:cs="宋体"/>
          <w:sz w:val="28"/>
          <w:szCs w:val="28"/>
          <w:lang w:eastAsia="zh-CN"/>
        </w:rPr>
      </w:pPr>
      <w:r>
        <w:rPr>
          <w:rFonts w:hint="eastAsia" w:ascii="宋体" w:hAnsi="宋体" w:cs="宋体"/>
          <w:sz w:val="28"/>
          <w:szCs w:val="28"/>
        </w:rPr>
        <w:t>1、项目编号：HBGS-202302ZC-007</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2、采购计划备案号：</w:t>
      </w:r>
      <w:r>
        <w:rPr>
          <w:rFonts w:hint="eastAsia" w:ascii="宋体" w:hAnsi="宋体" w:cs="宋体"/>
          <w:sz w:val="28"/>
          <w:szCs w:val="28"/>
          <w:lang w:val="en-US" w:eastAsia="zh-CN"/>
        </w:rPr>
        <w:t>421381-2023-0042</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3、项目名称：</w:t>
      </w:r>
      <w:r>
        <w:rPr>
          <w:rFonts w:hint="eastAsia" w:ascii="宋体" w:hAnsi="宋体" w:cs="宋体"/>
          <w:sz w:val="28"/>
          <w:szCs w:val="28"/>
          <w:lang w:eastAsia="zh-CN"/>
        </w:rPr>
        <w:t>广水市第二人民医院保洁洗涤服务项目</w:t>
      </w:r>
      <w:r>
        <w:rPr>
          <w:rFonts w:hint="eastAsia" w:ascii="宋体" w:hAnsi="宋体" w:cs="宋体"/>
          <w:sz w:val="28"/>
          <w:szCs w:val="28"/>
        </w:rPr>
        <w:t xml:space="preserve"> </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4.采购方式：公开招标 </w:t>
      </w:r>
    </w:p>
    <w:bookmarkEnd w:id="8"/>
    <w:p>
      <w:pPr>
        <w:pStyle w:val="23"/>
        <w:snapToGrid w:val="0"/>
        <w:spacing w:line="312" w:lineRule="auto"/>
        <w:ind w:left="0" w:leftChars="0" w:firstLine="560"/>
        <w:rPr>
          <w:rFonts w:hint="eastAsia" w:ascii="宋体" w:hAnsi="宋体" w:cs="宋体" w:eastAsiaTheme="minorEastAsia"/>
          <w:sz w:val="28"/>
          <w:szCs w:val="28"/>
          <w:lang w:val="en-US" w:eastAsia="zh-CN"/>
        </w:rPr>
      </w:pPr>
      <w:r>
        <w:rPr>
          <w:rFonts w:hint="eastAsia" w:ascii="宋体" w:hAnsi="宋体" w:cs="宋体"/>
          <w:sz w:val="28"/>
          <w:szCs w:val="28"/>
        </w:rPr>
        <w:t>5、预算金额</w:t>
      </w:r>
      <w:r>
        <w:rPr>
          <w:rFonts w:hint="eastAsia" w:ascii="宋体" w:hAnsi="宋体" w:cs="宋体"/>
          <w:sz w:val="28"/>
          <w:szCs w:val="28"/>
          <w:lang w:eastAsia="zh-CN"/>
        </w:rPr>
        <w:t>（最高限价）</w:t>
      </w:r>
      <w:r>
        <w:rPr>
          <w:rFonts w:hint="eastAsia" w:ascii="宋体" w:hAnsi="宋体" w:cs="宋体"/>
          <w:sz w:val="28"/>
          <w:szCs w:val="28"/>
        </w:rPr>
        <w:t>：人民币4</w:t>
      </w:r>
      <w:r>
        <w:rPr>
          <w:rFonts w:hint="eastAsia" w:ascii="宋体" w:hAnsi="宋体" w:cs="宋体"/>
          <w:sz w:val="28"/>
          <w:szCs w:val="28"/>
          <w:lang w:val="en-US" w:eastAsia="zh-CN"/>
        </w:rPr>
        <w:t>65</w:t>
      </w:r>
      <w:r>
        <w:rPr>
          <w:rFonts w:hint="eastAsia" w:ascii="宋体" w:hAnsi="宋体" w:cs="宋体"/>
          <w:sz w:val="28"/>
          <w:szCs w:val="28"/>
        </w:rPr>
        <w:t>万元整，服务期限三年</w:t>
      </w:r>
      <w:r>
        <w:rPr>
          <w:rFonts w:hint="eastAsia" w:ascii="宋体" w:hAnsi="宋体" w:cs="宋体"/>
          <w:sz w:val="28"/>
          <w:szCs w:val="28"/>
          <w:lang w:eastAsia="zh-CN"/>
        </w:rPr>
        <w:t>。</w:t>
      </w:r>
    </w:p>
    <w:p>
      <w:pPr>
        <w:spacing w:line="360" w:lineRule="auto"/>
        <w:ind w:firstLine="560" w:firstLineChars="200"/>
        <w:rPr>
          <w:rFonts w:ascii="宋体" w:hAnsi="宋体" w:cs="Times New Roman"/>
          <w:sz w:val="24"/>
          <w:szCs w:val="24"/>
          <w:lang w:val="zh-CN"/>
        </w:rPr>
      </w:pPr>
      <w:r>
        <w:rPr>
          <w:rFonts w:hint="eastAsia" w:ascii="宋体" w:hAnsi="宋体" w:cs="宋体"/>
          <w:sz w:val="28"/>
          <w:szCs w:val="28"/>
          <w:lang w:val="en-US" w:eastAsia="zh-CN"/>
        </w:rPr>
        <w:t>6</w:t>
      </w:r>
      <w:r>
        <w:rPr>
          <w:rFonts w:hint="eastAsia" w:ascii="宋体" w:hAnsi="宋体" w:cs="宋体"/>
          <w:sz w:val="28"/>
          <w:szCs w:val="28"/>
        </w:rPr>
        <w:t>、采购需求：</w:t>
      </w:r>
      <w:r>
        <w:rPr>
          <w:rFonts w:hint="eastAsia" w:ascii="宋体" w:hAnsi="宋体" w:eastAsia="宋体" w:cs="宋体"/>
          <w:kern w:val="2"/>
          <w:sz w:val="28"/>
          <w:szCs w:val="28"/>
          <w:lang w:val="en-US" w:eastAsia="zh-CN" w:bidi="ar-SA"/>
        </w:rPr>
        <w:t>广水市第二人民医院室内外保洁、医疗废物收集暂存管理、被服洗涤等服务，具体内容详见招标文件第三章。</w:t>
      </w:r>
    </w:p>
    <w:p>
      <w:pPr>
        <w:pStyle w:val="23"/>
        <w:snapToGrid w:val="0"/>
        <w:spacing w:line="312" w:lineRule="auto"/>
        <w:ind w:left="0" w:leftChars="0" w:firstLine="560"/>
        <w:rPr>
          <w:rFonts w:hint="eastAsia" w:ascii="宋体" w:hAnsi="宋体" w:cs="宋体"/>
          <w:sz w:val="28"/>
          <w:szCs w:val="28"/>
          <w:lang w:val="en-US" w:eastAsia="zh-CN"/>
        </w:rPr>
      </w:pPr>
      <w:r>
        <w:rPr>
          <w:rFonts w:hint="eastAsia" w:ascii="宋体" w:hAnsi="宋体" w:cs="宋体"/>
          <w:sz w:val="28"/>
          <w:szCs w:val="28"/>
          <w:lang w:val="en-US" w:eastAsia="zh-CN"/>
        </w:rPr>
        <w:t>7</w:t>
      </w:r>
      <w:r>
        <w:rPr>
          <w:rFonts w:hint="eastAsia" w:ascii="宋体" w:hAnsi="宋体" w:cs="宋体"/>
          <w:sz w:val="28"/>
          <w:szCs w:val="28"/>
        </w:rPr>
        <w:t>、合同履行期限：</w:t>
      </w:r>
      <w:bookmarkStart w:id="9" w:name="_Toc28359003"/>
      <w:bookmarkStart w:id="10" w:name="_Toc35393622"/>
      <w:bookmarkStart w:id="11" w:name="_Toc35393791"/>
      <w:bookmarkStart w:id="12" w:name="_Toc28359080"/>
      <w:r>
        <w:rPr>
          <w:rFonts w:hint="eastAsia" w:ascii="宋体" w:hAnsi="宋体" w:cs="宋体"/>
          <w:sz w:val="28"/>
          <w:szCs w:val="28"/>
          <w:lang w:val="en-US" w:eastAsia="zh-CN"/>
        </w:rPr>
        <w:t>3年</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、本项目（是/否）接受联合体投标：否</w:t>
      </w:r>
    </w:p>
    <w:p>
      <w:pPr>
        <w:pStyle w:val="23"/>
        <w:snapToGrid w:val="0"/>
        <w:spacing w:line="312" w:lineRule="auto"/>
        <w:ind w:left="0" w:leftChars="0" w:firstLine="560"/>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 xml:space="preserve">.是否可采购进口产品：否  </w:t>
      </w:r>
    </w:p>
    <w:p>
      <w:pPr>
        <w:pStyle w:val="23"/>
        <w:snapToGrid w:val="0"/>
        <w:spacing w:line="312" w:lineRule="auto"/>
        <w:ind w:left="0" w:leftChars="0" w:firstLine="560"/>
        <w:rPr>
          <w:rFonts w:hint="eastAsia" w:ascii="宋体" w:hAnsi="宋体" w:cs="宋体"/>
          <w:sz w:val="28"/>
          <w:szCs w:val="28"/>
          <w:lang w:val="en-US" w:eastAsia="zh-CN"/>
        </w:rPr>
      </w:pPr>
      <w:r>
        <w:rPr>
          <w:rFonts w:hint="eastAsia" w:ascii="宋体" w:hAnsi="宋体" w:cs="宋体"/>
          <w:sz w:val="28"/>
          <w:szCs w:val="28"/>
          <w:lang w:val="en-US" w:eastAsia="zh-CN"/>
        </w:rPr>
        <w:t>10.本项目（是/否）专门面向中小微企业：是</w:t>
      </w:r>
    </w:p>
    <w:p>
      <w:pPr>
        <w:pStyle w:val="23"/>
        <w:snapToGrid w:val="0"/>
        <w:spacing w:line="312" w:lineRule="auto"/>
        <w:ind w:left="0" w:leftChars="0" w:firstLine="560"/>
        <w:rPr>
          <w:rFonts w:hint="eastAsia" w:ascii="宋体" w:hAnsi="宋体" w:cs="宋体"/>
          <w:sz w:val="28"/>
          <w:szCs w:val="28"/>
          <w:lang w:val="en-US" w:eastAsia="zh-CN"/>
        </w:rPr>
      </w:pPr>
      <w:r>
        <w:rPr>
          <w:rFonts w:hint="eastAsia" w:ascii="宋体" w:hAnsi="宋体" w:cs="宋体"/>
          <w:sz w:val="28"/>
          <w:szCs w:val="28"/>
          <w:lang w:val="en-US" w:eastAsia="zh-CN"/>
        </w:rPr>
        <w:t>11、面向中小微企业的类型为：小、微企业采购。</w:t>
      </w:r>
    </w:p>
    <w:p>
      <w:pPr>
        <w:pStyle w:val="23"/>
        <w:snapToGrid w:val="0"/>
        <w:spacing w:line="312" w:lineRule="auto"/>
        <w:ind w:left="558" w:leftChars="266" w:firstLine="0" w:firstLineChars="0"/>
        <w:rPr>
          <w:rFonts w:hint="eastAsia" w:ascii="宋体" w:hAnsi="宋体" w:cs="宋体"/>
          <w:sz w:val="28"/>
          <w:szCs w:val="28"/>
          <w:lang w:eastAsia="zh-CN"/>
        </w:rPr>
      </w:pPr>
      <w:bookmarkStart w:id="13" w:name="_Toc4408"/>
      <w:r>
        <w:rPr>
          <w:rFonts w:hint="eastAsia" w:ascii="宋体" w:hAnsi="宋体" w:cs="宋体"/>
          <w:sz w:val="28"/>
          <w:szCs w:val="28"/>
          <w:lang w:val="en-US" w:eastAsia="zh-CN"/>
        </w:rPr>
        <w:t>12.</w:t>
      </w:r>
      <w:r>
        <w:rPr>
          <w:rFonts w:hint="eastAsia" w:ascii="宋体" w:hAnsi="宋体" w:cs="宋体"/>
          <w:sz w:val="28"/>
          <w:szCs w:val="28"/>
        </w:rPr>
        <w:t>中小企业划分标准所属行业：</w:t>
      </w:r>
      <w:r>
        <w:rPr>
          <w:rFonts w:hint="eastAsia" w:ascii="宋体" w:hAnsi="宋体" w:cs="宋体"/>
          <w:sz w:val="28"/>
          <w:szCs w:val="28"/>
          <w:lang w:eastAsia="zh-CN"/>
        </w:rPr>
        <w:t>物业管理</w:t>
      </w:r>
    </w:p>
    <w:p>
      <w:pPr>
        <w:pStyle w:val="23"/>
        <w:snapToGrid w:val="0"/>
        <w:spacing w:line="312" w:lineRule="auto"/>
        <w:ind w:left="558" w:leftChars="266" w:firstLine="0" w:firstLineChars="0"/>
        <w:rPr>
          <w:rFonts w:ascii="宋体" w:hAnsi="宋体" w:cs="宋体"/>
          <w:sz w:val="28"/>
          <w:szCs w:val="28"/>
        </w:rPr>
      </w:pPr>
      <w:r>
        <w:rPr>
          <w:rFonts w:hint="eastAsia" w:ascii="宋体" w:hAnsi="宋体" w:cs="宋体"/>
          <w:sz w:val="28"/>
          <w:szCs w:val="28"/>
        </w:rPr>
        <w:t>二、申请人的资格要求：</w:t>
      </w:r>
      <w:bookmarkEnd w:id="9"/>
      <w:bookmarkEnd w:id="10"/>
      <w:bookmarkEnd w:id="11"/>
      <w:bookmarkEnd w:id="12"/>
      <w:bookmarkEnd w:id="13"/>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1.满足《中华人民共和国政府采购法》第二十二条规定，即：</w:t>
      </w:r>
    </w:p>
    <w:p>
      <w:pPr>
        <w:pStyle w:val="23"/>
        <w:snapToGrid w:val="0"/>
        <w:spacing w:line="312" w:lineRule="auto"/>
        <w:ind w:left="558" w:leftChars="266" w:firstLine="0" w:firstLineChars="0"/>
        <w:rPr>
          <w:rFonts w:hint="eastAsia" w:ascii="宋体" w:hAnsi="宋体" w:eastAsia="宋体" w:cs="宋体"/>
          <w:sz w:val="28"/>
          <w:szCs w:val="28"/>
          <w:lang w:eastAsia="zh-CN"/>
        </w:rPr>
      </w:pPr>
      <w:r>
        <w:rPr>
          <w:rFonts w:hint="eastAsia" w:ascii="宋体" w:hAnsi="宋体" w:cs="宋体"/>
          <w:sz w:val="28"/>
          <w:szCs w:val="28"/>
        </w:rPr>
        <w:t>（1）具有独立承担民事责任的能力； </w:t>
      </w:r>
    </w:p>
    <w:p>
      <w:pPr>
        <w:pStyle w:val="23"/>
        <w:snapToGrid w:val="0"/>
        <w:spacing w:line="312" w:lineRule="auto"/>
        <w:ind w:left="558" w:leftChars="266" w:firstLine="0" w:firstLineChars="0"/>
        <w:rPr>
          <w:rFonts w:hint="eastAsia" w:ascii="宋体" w:hAnsi="宋体" w:eastAsia="宋体" w:cs="宋体"/>
          <w:sz w:val="28"/>
          <w:szCs w:val="28"/>
          <w:lang w:eastAsia="zh-CN"/>
        </w:rPr>
      </w:pPr>
      <w:r>
        <w:rPr>
          <w:rFonts w:hint="eastAsia" w:ascii="宋体" w:hAnsi="宋体" w:cs="宋体"/>
          <w:sz w:val="28"/>
          <w:szCs w:val="28"/>
        </w:rPr>
        <w:t>（2）具有良好的商业信誉和健全的财务会计制度； </w:t>
      </w:r>
    </w:p>
    <w:p>
      <w:pPr>
        <w:pStyle w:val="23"/>
        <w:snapToGrid w:val="0"/>
        <w:spacing w:line="312" w:lineRule="auto"/>
        <w:ind w:left="558" w:leftChars="266" w:firstLine="0" w:firstLineChars="0"/>
        <w:rPr>
          <w:rFonts w:hint="eastAsia" w:ascii="宋体" w:hAnsi="宋体" w:eastAsia="宋体" w:cs="宋体"/>
          <w:sz w:val="28"/>
          <w:szCs w:val="28"/>
          <w:lang w:eastAsia="zh-CN"/>
        </w:rPr>
      </w:pPr>
      <w:r>
        <w:rPr>
          <w:rFonts w:hint="eastAsia" w:ascii="宋体" w:hAnsi="宋体" w:cs="宋体"/>
          <w:sz w:val="28"/>
          <w:szCs w:val="28"/>
        </w:rPr>
        <w:t>（3）具有履行合同所必需的设备和专业技术能力； </w:t>
      </w:r>
    </w:p>
    <w:p>
      <w:pPr>
        <w:pStyle w:val="23"/>
        <w:snapToGrid w:val="0"/>
        <w:spacing w:line="312" w:lineRule="auto"/>
        <w:ind w:left="558" w:leftChars="266" w:firstLine="0" w:firstLineChars="0"/>
        <w:rPr>
          <w:rFonts w:hint="eastAsia" w:ascii="宋体" w:hAnsi="宋体" w:eastAsia="宋体" w:cs="宋体"/>
          <w:sz w:val="28"/>
          <w:szCs w:val="28"/>
          <w:lang w:eastAsia="zh-CN"/>
        </w:rPr>
      </w:pPr>
      <w:r>
        <w:rPr>
          <w:rFonts w:hint="eastAsia" w:ascii="宋体" w:hAnsi="宋体" w:cs="宋体"/>
          <w:sz w:val="28"/>
          <w:szCs w:val="28"/>
        </w:rPr>
        <w:t>（4）有依法缴纳税收和社会保障资金的良好记录；</w:t>
      </w:r>
    </w:p>
    <w:p>
      <w:pPr>
        <w:pStyle w:val="23"/>
        <w:snapToGrid w:val="0"/>
        <w:spacing w:line="312" w:lineRule="auto"/>
        <w:ind w:left="558" w:leftChars="266" w:firstLine="0" w:firstLineChars="0"/>
        <w:rPr>
          <w:rFonts w:hint="eastAsia" w:ascii="宋体" w:hAnsi="宋体" w:eastAsia="宋体" w:cs="宋体"/>
          <w:sz w:val="28"/>
          <w:szCs w:val="28"/>
          <w:lang w:eastAsia="zh-CN"/>
        </w:rPr>
      </w:pPr>
      <w:r>
        <w:rPr>
          <w:rFonts w:hint="eastAsia" w:ascii="宋体" w:hAnsi="宋体" w:cs="宋体"/>
          <w:sz w:val="28"/>
          <w:szCs w:val="28"/>
        </w:rPr>
        <w:t>（5）参加政府采购活动前三年内，在经营活动中没有重大违法记录； </w:t>
      </w:r>
    </w:p>
    <w:p>
      <w:pPr>
        <w:pStyle w:val="23"/>
        <w:snapToGrid w:val="0"/>
        <w:spacing w:line="312" w:lineRule="auto"/>
        <w:ind w:left="558" w:leftChars="266" w:firstLine="0" w:firstLineChars="0"/>
        <w:rPr>
          <w:rFonts w:ascii="宋体" w:hAnsi="宋体" w:cs="宋体"/>
          <w:sz w:val="28"/>
          <w:szCs w:val="28"/>
        </w:rPr>
      </w:pPr>
      <w:r>
        <w:rPr>
          <w:rFonts w:hint="eastAsia" w:ascii="宋体" w:hAnsi="宋体" w:cs="宋体"/>
          <w:sz w:val="28"/>
          <w:szCs w:val="28"/>
        </w:rPr>
        <w:t>（6）法律、行政法规规定的其他条件。</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2、单位负责人为同一人或者存在直接控股、管理关系的不同投标人，不得参加本项目同一合同项下的政府采购活动。</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3、为本采购项目提供整体设计、规范编制或者项目管理、监理、检测等服务的，不得再参加本项目的其他招标采购活动。</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4、未被列入失信被执行人、重大税收违法案件当事人名单，未被列入政府采购严重违法失信行为记录名单。</w:t>
      </w:r>
    </w:p>
    <w:p>
      <w:pPr>
        <w:pStyle w:val="23"/>
        <w:snapToGrid w:val="0"/>
        <w:spacing w:line="312" w:lineRule="auto"/>
        <w:ind w:left="0" w:leftChars="0" w:firstLine="560"/>
        <w:rPr>
          <w:rFonts w:ascii="宋体" w:hAnsi="宋体" w:cs="宋体"/>
          <w:sz w:val="28"/>
          <w:szCs w:val="28"/>
        </w:rPr>
      </w:pPr>
      <w:bookmarkStart w:id="14" w:name="_Toc28359004"/>
      <w:bookmarkStart w:id="15" w:name="_Toc28359081"/>
      <w:r>
        <w:rPr>
          <w:rFonts w:hint="eastAsia" w:ascii="宋体" w:hAnsi="宋体" w:cs="宋体"/>
          <w:sz w:val="28"/>
          <w:szCs w:val="28"/>
        </w:rPr>
        <w:t>5.落实政府采购政策需满足的资格要求：落实政府采购强制、优先采购节能产品政策；政府采购优先采购环保产品政策；政府采购促进中小企业发展（监狱企业、残疾人福利性单位视同小微企业）等政策，详见招标文件。</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6.本项目的特定资格要求：</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未被“信用中国”网站(www.creditchina.gov.cn) 、“中国政府采购网”(www.ccgp.gov.cn)列入失信被执行人、重大税收违法案件当事人名单、政府采购严重违法失信行为记录名单的申明函。</w:t>
      </w:r>
    </w:p>
    <w:bookmarkEnd w:id="14"/>
    <w:bookmarkEnd w:id="15"/>
    <w:p>
      <w:pPr>
        <w:pStyle w:val="23"/>
        <w:snapToGrid w:val="0"/>
        <w:spacing w:line="312" w:lineRule="auto"/>
        <w:ind w:left="0" w:leftChars="0" w:firstLine="560"/>
        <w:rPr>
          <w:rFonts w:ascii="宋体" w:hAnsi="宋体" w:cs="宋体"/>
          <w:sz w:val="28"/>
          <w:szCs w:val="28"/>
        </w:rPr>
      </w:pPr>
      <w:bookmarkStart w:id="16" w:name="_Toc35393623"/>
      <w:bookmarkStart w:id="17" w:name="_Toc30328"/>
      <w:bookmarkStart w:id="18" w:name="_Toc35393792"/>
      <w:bookmarkStart w:id="19" w:name="_Toc3023"/>
      <w:r>
        <w:rPr>
          <w:rFonts w:hint="eastAsia" w:ascii="宋体" w:hAnsi="宋体" w:cs="宋体"/>
          <w:sz w:val="28"/>
          <w:szCs w:val="28"/>
        </w:rPr>
        <w:t>三、获取招标文件</w:t>
      </w:r>
      <w:bookmarkEnd w:id="16"/>
      <w:bookmarkEnd w:id="17"/>
      <w:bookmarkEnd w:id="18"/>
      <w:bookmarkEnd w:id="19"/>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1、时间： 202</w:t>
      </w:r>
      <w:r>
        <w:rPr>
          <w:rFonts w:hint="eastAsia" w:ascii="宋体" w:hAnsi="宋体" w:cs="宋体"/>
          <w:sz w:val="28"/>
          <w:szCs w:val="28"/>
          <w:lang w:val="en-US" w:eastAsia="zh-CN"/>
        </w:rPr>
        <w:t>3</w:t>
      </w:r>
      <w:r>
        <w:rPr>
          <w:rFonts w:hint="eastAsia" w:ascii="宋体" w:hAnsi="宋体" w:cs="宋体"/>
          <w:sz w:val="28"/>
          <w:szCs w:val="28"/>
        </w:rPr>
        <w:t xml:space="preserve">年 </w:t>
      </w:r>
      <w:r>
        <w:rPr>
          <w:rFonts w:hint="eastAsia" w:ascii="宋体" w:hAnsi="宋体" w:cs="宋体"/>
          <w:sz w:val="28"/>
          <w:szCs w:val="28"/>
          <w:lang w:val="en-US" w:eastAsia="zh-CN"/>
        </w:rPr>
        <w:t>2</w:t>
      </w:r>
      <w:r>
        <w:rPr>
          <w:rFonts w:hint="eastAsia" w:ascii="宋体" w:hAnsi="宋体" w:cs="宋体"/>
          <w:sz w:val="28"/>
          <w:szCs w:val="28"/>
        </w:rPr>
        <w:t xml:space="preserve">月 </w:t>
      </w:r>
      <w:r>
        <w:rPr>
          <w:rFonts w:hint="eastAsia" w:ascii="宋体" w:hAnsi="宋体" w:cs="宋体"/>
          <w:sz w:val="28"/>
          <w:szCs w:val="28"/>
          <w:lang w:val="en-US" w:eastAsia="zh-CN"/>
        </w:rPr>
        <w:t>13</w:t>
      </w:r>
      <w:r>
        <w:rPr>
          <w:rFonts w:hint="eastAsia" w:ascii="宋体" w:hAnsi="宋体" w:cs="宋体"/>
          <w:sz w:val="28"/>
          <w:szCs w:val="28"/>
        </w:rPr>
        <w:t>日至20</w:t>
      </w:r>
      <w:r>
        <w:rPr>
          <w:rFonts w:hint="eastAsia" w:ascii="宋体" w:hAnsi="宋体" w:cs="宋体"/>
          <w:sz w:val="28"/>
          <w:szCs w:val="28"/>
          <w:lang w:val="en-US" w:eastAsia="zh-CN"/>
        </w:rPr>
        <w:t>23</w:t>
      </w:r>
      <w:r>
        <w:rPr>
          <w:rFonts w:hint="eastAsia" w:ascii="宋体" w:hAnsi="宋体" w:cs="宋体"/>
          <w:sz w:val="28"/>
          <w:szCs w:val="28"/>
        </w:rPr>
        <w:t>年</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日，每天00:00至</w:t>
      </w:r>
      <w:r>
        <w:rPr>
          <w:rFonts w:hint="eastAsia" w:ascii="宋体" w:hAnsi="宋体" w:cs="宋体"/>
          <w:sz w:val="28"/>
          <w:szCs w:val="28"/>
          <w:lang w:val="en-US" w:eastAsia="zh-CN"/>
        </w:rPr>
        <w:t>24</w:t>
      </w:r>
      <w:r>
        <w:rPr>
          <w:rFonts w:hint="eastAsia" w:ascii="宋体" w:hAnsi="宋体" w:cs="宋体"/>
          <w:sz w:val="28"/>
          <w:szCs w:val="28"/>
        </w:rPr>
        <w:t>:00（北京时间）</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2、地点：湖北省电子招投标交易平台。</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3、方式：</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1）凡有意参加投标者，应当在湖北省电子招投标交易平台（以下简称“电子交易平台”，下同）（网址：www.hbbidcloud.com）进行注册登记，并办理CA数字证书。具体操作详见《“电子交易平台”—办事指南—交易主体注册登记指南》。</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2）完成注册登记后，通过互联网使用CA数字证书登录“电子交易平台”，在所投标段免费下载招标文件。联合体投标的，由联合体牵头人下载招标文件（具体操作参见“电子交易平台”—办事指南—招标（资审）文件下载指南）。</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（3）未按规定从“电子交易平台”下载招标文件的，招标人 （“电子交易平台”）拒收其投标文件。</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4、售价：0元</w:t>
      </w:r>
    </w:p>
    <w:p>
      <w:pPr>
        <w:pStyle w:val="23"/>
        <w:snapToGrid w:val="0"/>
        <w:spacing w:line="312" w:lineRule="auto"/>
        <w:ind w:left="0" w:leftChars="0" w:firstLine="560"/>
        <w:rPr>
          <w:rFonts w:ascii="宋体" w:hAnsi="宋体" w:cs="宋体"/>
          <w:sz w:val="28"/>
          <w:szCs w:val="28"/>
        </w:rPr>
      </w:pPr>
      <w:bookmarkStart w:id="20" w:name="_Toc28359082"/>
      <w:bookmarkStart w:id="21" w:name="_Toc28359005"/>
      <w:bookmarkStart w:id="22" w:name="_Toc9581"/>
      <w:bookmarkStart w:id="23" w:name="_Toc27725"/>
      <w:bookmarkStart w:id="24" w:name="_Toc35393624"/>
      <w:bookmarkStart w:id="25" w:name="_Toc35393793"/>
      <w:r>
        <w:rPr>
          <w:rFonts w:hint="eastAsia" w:ascii="宋体" w:hAnsi="宋体" w:cs="宋体"/>
          <w:sz w:val="28"/>
          <w:szCs w:val="28"/>
        </w:rPr>
        <w:t>四、提交投标文件</w:t>
      </w:r>
      <w:bookmarkEnd w:id="20"/>
      <w:bookmarkEnd w:id="21"/>
      <w:r>
        <w:rPr>
          <w:rFonts w:hint="eastAsia" w:ascii="宋体" w:hAnsi="宋体" w:cs="宋体"/>
          <w:sz w:val="28"/>
          <w:szCs w:val="28"/>
        </w:rPr>
        <w:t>截止时间和地点</w:t>
      </w:r>
      <w:bookmarkEnd w:id="22"/>
      <w:bookmarkEnd w:id="23"/>
      <w:bookmarkEnd w:id="24"/>
      <w:bookmarkEnd w:id="25"/>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1、截止时间（开标时间）：202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 xml:space="preserve">日9:00点00分（北京时间） </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2、递交方式：网上递交</w:t>
      </w:r>
      <w:bookmarkStart w:id="26" w:name="_Toc28359084"/>
      <w:bookmarkStart w:id="27" w:name="_Toc28359007"/>
      <w:bookmarkStart w:id="28" w:name="_Toc2056"/>
      <w:bookmarkStart w:id="29" w:name="_Toc35393625"/>
      <w:bookmarkStart w:id="30" w:name="_Toc1507"/>
      <w:bookmarkStart w:id="31" w:name="_Toc35393794"/>
      <w:r>
        <w:rPr>
          <w:rFonts w:hint="eastAsia" w:ascii="宋体" w:hAnsi="宋体" w:cs="宋体"/>
          <w:sz w:val="28"/>
          <w:szCs w:val="28"/>
        </w:rPr>
        <w:t>（湖北省电子招投标交易平台）</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五、公告期限</w:t>
      </w:r>
      <w:bookmarkEnd w:id="26"/>
      <w:bookmarkEnd w:id="27"/>
      <w:bookmarkEnd w:id="28"/>
      <w:bookmarkEnd w:id="29"/>
      <w:bookmarkEnd w:id="30"/>
      <w:bookmarkEnd w:id="31"/>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自本公告发布之日起5个工作日。</w:t>
      </w:r>
    </w:p>
    <w:p>
      <w:pPr>
        <w:pStyle w:val="23"/>
        <w:snapToGrid w:val="0"/>
        <w:spacing w:line="312" w:lineRule="auto"/>
        <w:ind w:left="0" w:leftChars="0" w:firstLine="560"/>
        <w:rPr>
          <w:rFonts w:ascii="宋体" w:hAnsi="宋体" w:cs="宋体"/>
          <w:sz w:val="28"/>
          <w:szCs w:val="28"/>
        </w:rPr>
      </w:pPr>
      <w:bookmarkStart w:id="32" w:name="_Toc35393795"/>
      <w:bookmarkStart w:id="33" w:name="_Toc35393626"/>
      <w:bookmarkStart w:id="34" w:name="_Toc13097"/>
      <w:bookmarkStart w:id="35" w:name="_Toc16434"/>
      <w:r>
        <w:rPr>
          <w:rFonts w:hint="eastAsia" w:ascii="宋体" w:hAnsi="宋体" w:cs="宋体"/>
          <w:sz w:val="28"/>
          <w:szCs w:val="28"/>
        </w:rPr>
        <w:t>六、其他补充事宜</w:t>
      </w:r>
      <w:bookmarkEnd w:id="32"/>
      <w:bookmarkEnd w:id="33"/>
      <w:bookmarkEnd w:id="34"/>
      <w:bookmarkEnd w:id="35"/>
    </w:p>
    <w:p>
      <w:pPr>
        <w:pStyle w:val="23"/>
        <w:snapToGrid w:val="0"/>
        <w:spacing w:line="312" w:lineRule="auto"/>
        <w:ind w:left="0" w:leftChars="0" w:firstLine="560"/>
        <w:rPr>
          <w:rFonts w:hint="eastAsia" w:ascii="宋体" w:hAnsi="宋体" w:eastAsia="宋体" w:cs="宋体"/>
          <w:sz w:val="28"/>
          <w:szCs w:val="28"/>
          <w:lang w:eastAsia="zh-CN"/>
        </w:rPr>
      </w:pPr>
      <w:r>
        <w:rPr>
          <w:rFonts w:hint="eastAsia" w:ascii="宋体" w:hAnsi="宋体" w:cs="宋体"/>
          <w:sz w:val="28"/>
          <w:szCs w:val="28"/>
        </w:rPr>
        <w:t>1.投标文件递交：投标文件为加密的电子投标文件。供应商应当在投标截止时间前在网上递交，通过互联网使用CA数字证书登录“电子交易平台”，将加密的电子投标文件上传。逾期未完成上传或未按规定加密的投标文件，采购人将拒收。 </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    2.发布公告的媒介：本次招标公告同时在湖北省电子招投标交易平台（网址：http://www.hbbidcloud.com/hubei/xzzq/about.html）、湖北省政府采购网（http://www.ccgp-hubei.gov.cn：8070/）及中国广水网（</w:t>
      </w:r>
      <w:r>
        <w:rPr>
          <w:rFonts w:hint="eastAsia" w:ascii="宋体" w:hAnsi="宋体" w:cs="宋体"/>
          <w:sz w:val="28"/>
          <w:szCs w:val="28"/>
          <w:lang w:val="en-US" w:eastAsia="zh-CN"/>
        </w:rPr>
        <w:t>http://www.guangshui.gov.cn/</w:t>
      </w:r>
      <w:r>
        <w:rPr>
          <w:rFonts w:hint="eastAsia" w:ascii="宋体" w:hAnsi="宋体" w:cs="宋体"/>
          <w:sz w:val="28"/>
          <w:szCs w:val="28"/>
        </w:rPr>
        <w:t>）上发布。</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3.相关供应商对招标文件、招标过程和中标结果有异议的，可以在知道或者应知其权益受到损害之日起七个工作日内，向广水市政府采购中心、采购人提出询问和质疑。提出质疑时请提交书面质疑函（法人代表签字、单位公章），并附相关证据材料。</w:t>
      </w:r>
    </w:p>
    <w:p>
      <w:pPr>
        <w:pStyle w:val="23"/>
        <w:snapToGrid w:val="0"/>
        <w:spacing w:line="312" w:lineRule="auto"/>
        <w:ind w:left="0" w:leftChars="0" w:firstLine="560"/>
        <w:rPr>
          <w:rFonts w:ascii="宋体" w:hAnsi="宋体" w:cs="宋体"/>
          <w:sz w:val="28"/>
          <w:szCs w:val="28"/>
        </w:rPr>
      </w:pPr>
      <w:bookmarkStart w:id="36" w:name="_Toc35393796"/>
      <w:bookmarkStart w:id="37" w:name="_Toc28359085"/>
      <w:bookmarkStart w:id="38" w:name="_Toc21283"/>
      <w:bookmarkStart w:id="39" w:name="_Toc28359008"/>
      <w:bookmarkStart w:id="40" w:name="_Toc35393627"/>
      <w:r>
        <w:rPr>
          <w:rFonts w:hint="eastAsia" w:ascii="宋体" w:hAnsi="宋体" w:cs="宋体"/>
          <w:sz w:val="28"/>
          <w:szCs w:val="28"/>
        </w:rPr>
        <w:t>七、对本次招标提出询问，请按以下方式联系</w:t>
      </w:r>
      <w:bookmarkEnd w:id="36"/>
      <w:bookmarkEnd w:id="37"/>
      <w:bookmarkEnd w:id="38"/>
      <w:bookmarkEnd w:id="39"/>
      <w:bookmarkEnd w:id="40"/>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1.采购人信息</w:t>
      </w:r>
    </w:p>
    <w:p>
      <w:pPr>
        <w:pStyle w:val="23"/>
        <w:snapToGrid w:val="0"/>
        <w:spacing w:line="312" w:lineRule="auto"/>
        <w:ind w:left="0" w:leftChars="0" w:firstLine="560"/>
        <w:rPr>
          <w:rFonts w:hint="eastAsia" w:ascii="宋体" w:hAnsi="宋体" w:eastAsia="宋体" w:cs="宋体"/>
          <w:sz w:val="28"/>
          <w:szCs w:val="28"/>
          <w:lang w:eastAsia="zh-CN"/>
        </w:rPr>
      </w:pPr>
      <w:r>
        <w:rPr>
          <w:rFonts w:hint="eastAsia" w:ascii="宋体" w:hAnsi="宋体" w:cs="宋体"/>
          <w:sz w:val="28"/>
          <w:szCs w:val="28"/>
        </w:rPr>
        <w:t>名 称：</w:t>
      </w:r>
      <w:r>
        <w:rPr>
          <w:rFonts w:hint="eastAsia" w:ascii="宋体" w:hAnsi="宋体" w:cs="宋体"/>
          <w:sz w:val="28"/>
          <w:szCs w:val="28"/>
          <w:lang w:eastAsia="zh-CN"/>
        </w:rPr>
        <w:t>广水市第二人民医院</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地址：广水市</w:t>
      </w:r>
      <w:r>
        <w:rPr>
          <w:rFonts w:hint="eastAsia" w:ascii="宋体" w:hAnsi="宋体" w:cs="宋体"/>
          <w:sz w:val="28"/>
          <w:szCs w:val="28"/>
          <w:lang w:eastAsia="zh-CN"/>
        </w:rPr>
        <w:t>办事处解放路</w:t>
      </w:r>
      <w:r>
        <w:rPr>
          <w:rFonts w:hint="eastAsia" w:ascii="宋体" w:hAnsi="宋体" w:cs="宋体"/>
          <w:sz w:val="28"/>
          <w:szCs w:val="28"/>
          <w:lang w:val="en-US" w:eastAsia="zh-CN"/>
        </w:rPr>
        <w:t>28号</w:t>
      </w:r>
      <w:r>
        <w:rPr>
          <w:rFonts w:hint="eastAsia" w:ascii="宋体" w:hAnsi="宋体" w:cs="宋体"/>
          <w:sz w:val="28"/>
          <w:szCs w:val="28"/>
        </w:rPr>
        <w:t>　</w:t>
      </w:r>
    </w:p>
    <w:p>
      <w:pPr>
        <w:pStyle w:val="23"/>
        <w:snapToGrid w:val="0"/>
        <w:spacing w:line="312" w:lineRule="auto"/>
        <w:ind w:left="0" w:leftChars="0" w:firstLine="560"/>
        <w:rPr>
          <w:rFonts w:hint="eastAsia" w:ascii="宋体" w:hAnsi="宋体" w:cs="宋体"/>
          <w:sz w:val="28"/>
          <w:szCs w:val="28"/>
          <w:lang w:val="en-US" w:eastAsia="zh-CN"/>
        </w:rPr>
      </w:pPr>
      <w:r>
        <w:rPr>
          <w:rFonts w:hint="eastAsia" w:ascii="宋体" w:hAnsi="宋体" w:cs="宋体"/>
          <w:sz w:val="28"/>
          <w:szCs w:val="28"/>
        </w:rPr>
        <w:t>联系方式：</w:t>
      </w:r>
      <w:bookmarkStart w:id="41" w:name="_Toc28359009"/>
      <w:bookmarkStart w:id="42" w:name="_Toc28359086"/>
      <w:r>
        <w:rPr>
          <w:rFonts w:hint="eastAsia" w:ascii="宋体" w:hAnsi="宋体" w:cs="宋体"/>
          <w:sz w:val="28"/>
          <w:szCs w:val="28"/>
        </w:rPr>
        <w:t>0722-6</w:t>
      </w:r>
      <w:r>
        <w:rPr>
          <w:rFonts w:hint="eastAsia" w:ascii="宋体" w:hAnsi="宋体" w:cs="宋体"/>
          <w:sz w:val="28"/>
          <w:szCs w:val="28"/>
          <w:lang w:val="en-US" w:eastAsia="zh-CN"/>
        </w:rPr>
        <w:t>619752</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2.集中采购机构信息</w:t>
      </w:r>
      <w:bookmarkEnd w:id="41"/>
      <w:bookmarkEnd w:id="42"/>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名 称：广水市政府采购中心 </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地　址：广水市永阳大道40号</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联系方式：</w:t>
      </w:r>
      <w:bookmarkStart w:id="43" w:name="_Toc28359010"/>
      <w:bookmarkStart w:id="44" w:name="_Toc28359087"/>
      <w:r>
        <w:rPr>
          <w:rFonts w:hint="eastAsia" w:ascii="宋体" w:hAnsi="宋体" w:cs="宋体"/>
          <w:sz w:val="28"/>
          <w:szCs w:val="28"/>
        </w:rPr>
        <w:t>0722-6265331　</w:t>
      </w:r>
    </w:p>
    <w:p>
      <w:pPr>
        <w:pStyle w:val="23"/>
        <w:snapToGrid w:val="0"/>
        <w:spacing w:line="312" w:lineRule="auto"/>
        <w:ind w:left="0" w:leftChars="0" w:firstLine="560"/>
        <w:rPr>
          <w:rFonts w:ascii="宋体" w:hAnsi="宋体" w:cs="宋体"/>
          <w:sz w:val="28"/>
          <w:szCs w:val="28"/>
        </w:rPr>
      </w:pPr>
      <w:r>
        <w:rPr>
          <w:rFonts w:hint="eastAsia" w:ascii="宋体" w:hAnsi="宋体" w:cs="宋体"/>
          <w:sz w:val="28"/>
          <w:szCs w:val="28"/>
        </w:rPr>
        <w:t>3.项目联系方式</w:t>
      </w:r>
      <w:bookmarkEnd w:id="43"/>
      <w:bookmarkEnd w:id="44"/>
    </w:p>
    <w:p>
      <w:pPr>
        <w:pStyle w:val="23"/>
        <w:snapToGrid w:val="0"/>
        <w:spacing w:line="312" w:lineRule="auto"/>
        <w:ind w:left="0" w:leftChars="0" w:firstLine="560"/>
        <w:rPr>
          <w:rFonts w:hint="eastAsia" w:ascii="宋体" w:hAnsi="宋体" w:eastAsia="宋体" w:cs="宋体"/>
          <w:sz w:val="28"/>
          <w:szCs w:val="28"/>
          <w:lang w:eastAsia="zh-CN"/>
        </w:rPr>
      </w:pPr>
      <w:r>
        <w:rPr>
          <w:rFonts w:hint="eastAsia" w:ascii="宋体" w:hAnsi="宋体" w:cs="宋体"/>
          <w:sz w:val="28"/>
          <w:szCs w:val="28"/>
        </w:rPr>
        <w:t>项目联系人：</w:t>
      </w:r>
      <w:r>
        <w:rPr>
          <w:rFonts w:hint="eastAsia" w:ascii="宋体" w:hAnsi="宋体" w:cs="宋体"/>
          <w:sz w:val="28"/>
          <w:szCs w:val="28"/>
          <w:lang w:eastAsia="zh-CN"/>
        </w:rPr>
        <w:t>杨先生</w:t>
      </w:r>
    </w:p>
    <w:p>
      <w:pPr>
        <w:ind w:firstLine="560" w:firstLineChars="200"/>
        <w:rPr>
          <w:rFonts w:hint="default" w:ascii="宋体" w:hAnsi="宋体" w:cs="宋体" w:eastAsiaTheme="minorEastAsia"/>
          <w:sz w:val="28"/>
          <w:szCs w:val="28"/>
          <w:lang w:val="en-US" w:eastAsia="zh-CN"/>
        </w:rPr>
      </w:pPr>
      <w:r>
        <w:rPr>
          <w:rFonts w:hint="eastAsia" w:ascii="宋体" w:hAnsi="宋体" w:cs="宋体"/>
          <w:sz w:val="28"/>
          <w:szCs w:val="28"/>
        </w:rPr>
        <w:t>电　话：0722-6</w:t>
      </w:r>
      <w:r>
        <w:rPr>
          <w:rFonts w:hint="eastAsia" w:ascii="宋体" w:hAnsi="宋体" w:cs="宋体"/>
          <w:sz w:val="28"/>
          <w:szCs w:val="28"/>
          <w:lang w:val="en-US" w:eastAsia="zh-CN"/>
        </w:rPr>
        <w:t>619752</w:t>
      </w:r>
    </w:p>
    <w:p>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pPr>
        <w:pStyle w:val="3"/>
        <w:numPr>
          <w:ilvl w:val="0"/>
          <w:numId w:val="2"/>
        </w:numPr>
        <w:spacing w:before="240" w:after="120" w:line="360" w:lineRule="auto"/>
        <w:ind w:left="883" w:hanging="880" w:hangingChars="200"/>
        <w:jc w:val="center"/>
        <w:rPr>
          <w:rFonts w:ascii="黑体" w:hAnsi="黑体" w:eastAsia="黑体"/>
        </w:rPr>
      </w:pPr>
      <w:bookmarkStart w:id="45" w:name="_Toc18318"/>
      <w:bookmarkStart w:id="46" w:name="_Toc511889415"/>
      <w:bookmarkStart w:id="47" w:name="_Toc511894493"/>
      <w:r>
        <w:rPr>
          <w:rFonts w:hint="eastAsia" w:ascii="黑体" w:hAnsi="黑体" w:eastAsia="黑体"/>
        </w:rPr>
        <w:t>投标人须知</w:t>
      </w:r>
      <w:bookmarkEnd w:id="45"/>
      <w:bookmarkEnd w:id="46"/>
      <w:bookmarkEnd w:id="47"/>
    </w:p>
    <w:p>
      <w:pPr>
        <w:keepNext/>
        <w:keepLines/>
        <w:spacing w:line="360" w:lineRule="auto"/>
        <w:jc w:val="center"/>
        <w:outlineLvl w:val="1"/>
        <w:rPr>
          <w:rFonts w:cs="Times New Roman" w:asciiTheme="majorEastAsia" w:hAnsiTheme="majorEastAsia" w:eastAsiaTheme="majorEastAsia"/>
          <w:b/>
          <w:bCs/>
          <w:sz w:val="32"/>
          <w:szCs w:val="32"/>
          <w:lang w:val="zh-CN" w:eastAsia="zh-CN"/>
        </w:rPr>
      </w:pPr>
      <w:bookmarkStart w:id="48" w:name="_Toc511894494"/>
      <w:bookmarkStart w:id="49" w:name="_Toc10822"/>
      <w:bookmarkStart w:id="50" w:name="_Toc511889416"/>
      <w:r>
        <w:rPr>
          <w:rFonts w:cs="Times New Roman" w:asciiTheme="majorEastAsia" w:hAnsiTheme="majorEastAsia" w:eastAsiaTheme="majorEastAsia"/>
          <w:b/>
          <w:bCs/>
          <w:sz w:val="32"/>
          <w:szCs w:val="32"/>
          <w:lang w:val="zh-CN" w:eastAsia="zh-CN"/>
        </w:rPr>
        <w:t>投标须知前附表</w:t>
      </w:r>
      <w:bookmarkEnd w:id="48"/>
      <w:bookmarkEnd w:id="49"/>
      <w:bookmarkEnd w:id="50"/>
    </w:p>
    <w:tbl>
      <w:tblPr>
        <w:tblStyle w:val="24"/>
        <w:tblpPr w:leftFromText="180" w:rightFromText="180" w:vertAnchor="text" w:horzAnchor="page" w:tblpX="1375" w:tblpY="597"/>
        <w:tblOverlap w:val="never"/>
        <w:tblW w:w="0" w:type="auto"/>
        <w:tblInd w:w="0" w:type="dxa"/>
        <w:tblLayout w:type="fixed"/>
        <w:tblCellMar>
          <w:top w:w="0" w:type="dxa"/>
          <w:left w:w="108" w:type="dxa"/>
          <w:bottom w:w="0" w:type="dxa"/>
          <w:right w:w="108" w:type="dxa"/>
        </w:tblCellMar>
      </w:tblPr>
      <w:tblGrid>
        <w:gridCol w:w="676"/>
        <w:gridCol w:w="2208"/>
        <w:gridCol w:w="6470"/>
      </w:tblGrid>
      <w:tr>
        <w:tblPrEx>
          <w:tblCellMar>
            <w:top w:w="0" w:type="dxa"/>
            <w:left w:w="108" w:type="dxa"/>
            <w:bottom w:w="0" w:type="dxa"/>
            <w:right w:w="108" w:type="dxa"/>
          </w:tblCellMar>
        </w:tblPrEx>
        <w:trPr>
          <w:trHeight w:val="339"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ind w:left="-52" w:leftChars="-25" w:right="-27" w:rightChars="-13"/>
              <w:jc w:val="center"/>
              <w:rPr>
                <w:rFonts w:hint="eastAsia" w:ascii="宋体" w:hAnsi="宋体" w:cs="宋体"/>
                <w:b/>
                <w:bCs/>
                <w:sz w:val="24"/>
                <w:szCs w:val="24"/>
              </w:rPr>
            </w:pPr>
            <w:bookmarkStart w:id="51" w:name="_Toc511894495"/>
            <w:bookmarkStart w:id="52" w:name="_Toc511889417"/>
            <w:r>
              <w:rPr>
                <w:rFonts w:hint="eastAsia" w:ascii="宋体" w:hAnsi="宋体" w:cs="宋体"/>
                <w:b/>
                <w:bCs/>
                <w:sz w:val="24"/>
                <w:szCs w:val="24"/>
              </w:rPr>
              <w:t>序号</w:t>
            </w:r>
          </w:p>
        </w:tc>
        <w:tc>
          <w:tcPr>
            <w:tcW w:w="2208" w:type="dxa"/>
            <w:tcBorders>
              <w:top w:val="single" w:color="auto" w:sz="4" w:space="0"/>
              <w:left w:val="nil"/>
              <w:bottom w:val="single" w:color="auto" w:sz="4" w:space="0"/>
              <w:right w:val="single" w:color="auto" w:sz="4" w:space="0"/>
            </w:tcBorders>
            <w:noWrap w:val="0"/>
            <w:vAlign w:val="center"/>
          </w:tcPr>
          <w:p>
            <w:pPr>
              <w:spacing w:line="273" w:lineRule="auto"/>
              <w:ind w:right="-11"/>
              <w:jc w:val="center"/>
              <w:rPr>
                <w:rFonts w:hint="eastAsia" w:ascii="宋体" w:hAnsi="宋体" w:cs="宋体"/>
                <w:b/>
                <w:bCs/>
                <w:sz w:val="24"/>
                <w:szCs w:val="24"/>
              </w:rPr>
            </w:pPr>
            <w:r>
              <w:rPr>
                <w:rFonts w:hint="eastAsia" w:ascii="宋体" w:hAnsi="宋体" w:cs="宋体"/>
                <w:b/>
                <w:bCs/>
                <w:sz w:val="24"/>
                <w:szCs w:val="24"/>
              </w:rPr>
              <w:t>名  称</w:t>
            </w:r>
          </w:p>
        </w:tc>
        <w:tc>
          <w:tcPr>
            <w:tcW w:w="6470" w:type="dxa"/>
            <w:tcBorders>
              <w:top w:val="single" w:color="auto" w:sz="4" w:space="0"/>
              <w:left w:val="nil"/>
              <w:bottom w:val="single" w:color="auto" w:sz="4" w:space="0"/>
              <w:right w:val="single" w:color="auto" w:sz="4" w:space="0"/>
            </w:tcBorders>
            <w:noWrap w:val="0"/>
            <w:vAlign w:val="center"/>
          </w:tcPr>
          <w:p>
            <w:pPr>
              <w:spacing w:line="273" w:lineRule="auto"/>
              <w:ind w:left="57" w:right="57" w:firstLine="482" w:firstLineChars="201"/>
              <w:jc w:val="center"/>
              <w:rPr>
                <w:rFonts w:hint="eastAsia" w:ascii="宋体" w:hAnsi="宋体" w:cs="宋体"/>
                <w:b/>
                <w:bCs/>
                <w:sz w:val="24"/>
                <w:szCs w:val="24"/>
              </w:rPr>
            </w:pPr>
            <w:r>
              <w:rPr>
                <w:rFonts w:hint="eastAsia" w:ascii="宋体" w:hAnsi="宋体" w:cs="宋体"/>
                <w:b/>
                <w:bCs/>
                <w:sz w:val="24"/>
                <w:szCs w:val="24"/>
              </w:rPr>
              <w:t>内容</w:t>
            </w:r>
          </w:p>
        </w:tc>
      </w:tr>
      <w:tr>
        <w:tblPrEx>
          <w:tblCellMar>
            <w:top w:w="0" w:type="dxa"/>
            <w:left w:w="108" w:type="dxa"/>
            <w:bottom w:w="0" w:type="dxa"/>
            <w:right w:w="108" w:type="dxa"/>
          </w:tblCellMar>
        </w:tblPrEx>
        <w:trPr>
          <w:trHeight w:val="497"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ind w:right="57"/>
              <w:jc w:val="center"/>
              <w:rPr>
                <w:rFonts w:hint="eastAsia" w:ascii="宋体" w:hAnsi="宋体" w:cs="宋体"/>
                <w:b/>
                <w:bCs/>
                <w:sz w:val="24"/>
                <w:szCs w:val="24"/>
              </w:rPr>
            </w:pP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color w:val="auto"/>
                <w:sz w:val="24"/>
                <w:szCs w:val="24"/>
              </w:rPr>
              <w:t>项目编号</w:t>
            </w:r>
          </w:p>
        </w:tc>
        <w:tc>
          <w:tcPr>
            <w:tcW w:w="6470" w:type="dxa"/>
            <w:tcBorders>
              <w:top w:val="single" w:color="auto" w:sz="4" w:space="0"/>
              <w:left w:val="nil"/>
              <w:bottom w:val="single" w:color="auto" w:sz="4" w:space="0"/>
              <w:right w:val="single" w:color="auto" w:sz="4" w:space="0"/>
            </w:tcBorders>
            <w:noWrap w:val="0"/>
            <w:vAlign w:val="center"/>
          </w:tcPr>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HBGS-202302ZC-007</w:t>
            </w:r>
          </w:p>
        </w:tc>
      </w:tr>
      <w:tr>
        <w:tblPrEx>
          <w:tblCellMar>
            <w:top w:w="0" w:type="dxa"/>
            <w:left w:w="108" w:type="dxa"/>
            <w:bottom w:w="0" w:type="dxa"/>
            <w:right w:w="108" w:type="dxa"/>
          </w:tblCellMar>
        </w:tblPrEx>
        <w:trPr>
          <w:trHeight w:val="500"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ind w:right="57"/>
              <w:jc w:val="center"/>
              <w:rPr>
                <w:rFonts w:hint="eastAsia" w:ascii="宋体" w:hAnsi="宋体" w:cs="宋体"/>
                <w:b/>
                <w:bCs/>
                <w:sz w:val="24"/>
                <w:szCs w:val="24"/>
              </w:rPr>
            </w:pP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采购计划备案号</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lang w:eastAsia="zh-CN"/>
              </w:rPr>
            </w:pPr>
            <w:r>
              <w:rPr>
                <w:rFonts w:hint="eastAsia" w:ascii="宋体" w:hAnsi="宋体" w:cs="宋体"/>
                <w:sz w:val="24"/>
                <w:szCs w:val="24"/>
                <w:lang w:val="en-US" w:eastAsia="zh-CN"/>
              </w:rPr>
              <w:t>421381-2023-0042</w:t>
            </w:r>
          </w:p>
        </w:tc>
      </w:tr>
      <w:tr>
        <w:tblPrEx>
          <w:tblCellMar>
            <w:top w:w="0" w:type="dxa"/>
            <w:left w:w="108" w:type="dxa"/>
            <w:bottom w:w="0" w:type="dxa"/>
            <w:right w:w="108" w:type="dxa"/>
          </w:tblCellMar>
        </w:tblPrEx>
        <w:trPr>
          <w:trHeight w:val="500"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ind w:right="57"/>
              <w:jc w:val="center"/>
              <w:rPr>
                <w:rFonts w:hint="eastAsia" w:ascii="宋体" w:hAnsi="宋体" w:cs="宋体"/>
                <w:b/>
                <w:bCs/>
                <w:sz w:val="24"/>
                <w:szCs w:val="24"/>
              </w:rPr>
            </w:pP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lang w:eastAsia="zh-CN"/>
              </w:rPr>
              <w:t>广水市第二人民医院保洁洗涤服务项目</w:t>
            </w:r>
          </w:p>
        </w:tc>
      </w:tr>
      <w:tr>
        <w:tblPrEx>
          <w:tblCellMar>
            <w:top w:w="0" w:type="dxa"/>
            <w:left w:w="108" w:type="dxa"/>
            <w:bottom w:w="0" w:type="dxa"/>
            <w:right w:w="108" w:type="dxa"/>
          </w:tblCellMar>
        </w:tblPrEx>
        <w:trPr>
          <w:trHeight w:val="499"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ind w:right="57"/>
              <w:jc w:val="center"/>
              <w:rPr>
                <w:rFonts w:hint="eastAsia" w:ascii="宋体" w:hAnsi="宋体" w:cs="宋体"/>
                <w:b/>
                <w:bCs/>
                <w:sz w:val="24"/>
                <w:szCs w:val="24"/>
              </w:rPr>
            </w:pP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项目属性</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服务</w:t>
            </w:r>
          </w:p>
        </w:tc>
      </w:tr>
      <w:tr>
        <w:tblPrEx>
          <w:tblCellMar>
            <w:top w:w="0" w:type="dxa"/>
            <w:left w:w="108" w:type="dxa"/>
            <w:bottom w:w="0" w:type="dxa"/>
            <w:right w:w="108" w:type="dxa"/>
          </w:tblCellMar>
        </w:tblPrEx>
        <w:trPr>
          <w:trHeight w:val="549"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jc w:val="left"/>
              <w:rPr>
                <w:rFonts w:hint="eastAsia" w:ascii="宋体" w:hAnsi="宋体" w:cs="宋体"/>
                <w:b/>
                <w:bCs/>
                <w:sz w:val="24"/>
                <w:szCs w:val="24"/>
              </w:rPr>
            </w:pPr>
            <w:r>
              <w:rPr>
                <w:rFonts w:hint="eastAsia" w:ascii="宋体" w:hAnsi="宋体" w:cs="宋体"/>
                <w:b/>
                <w:bCs/>
                <w:sz w:val="24"/>
                <w:szCs w:val="24"/>
              </w:rPr>
              <w:t>4</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采购人</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4"/>
                <w:szCs w:val="24"/>
              </w:rPr>
            </w:pPr>
            <w:r>
              <w:rPr>
                <w:rFonts w:hint="eastAsia" w:ascii="宋体" w:hAnsi="宋体" w:cs="宋体"/>
                <w:kern w:val="0"/>
                <w:sz w:val="24"/>
                <w:szCs w:val="24"/>
                <w:lang w:eastAsia="zh-CN"/>
              </w:rPr>
              <w:t>广水市第二人民医院</w:t>
            </w:r>
          </w:p>
        </w:tc>
      </w:tr>
      <w:tr>
        <w:tblPrEx>
          <w:tblCellMar>
            <w:top w:w="0" w:type="dxa"/>
            <w:left w:w="108" w:type="dxa"/>
            <w:bottom w:w="0" w:type="dxa"/>
            <w:right w:w="108" w:type="dxa"/>
          </w:tblCellMar>
        </w:tblPrEx>
        <w:trPr>
          <w:trHeight w:val="713"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5</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投标文件份数</w:t>
            </w:r>
          </w:p>
        </w:tc>
        <w:tc>
          <w:tcPr>
            <w:tcW w:w="64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4"/>
                <w:szCs w:val="24"/>
              </w:rPr>
            </w:pPr>
            <w:r>
              <w:rPr>
                <w:rFonts w:hint="eastAsia" w:ascii="宋体" w:hAnsi="宋体" w:cs="宋体"/>
                <w:kern w:val="0"/>
                <w:sz w:val="24"/>
                <w:szCs w:val="24"/>
              </w:rPr>
              <w:t>加密电子投标文件一份。</w:t>
            </w:r>
          </w:p>
        </w:tc>
      </w:tr>
      <w:tr>
        <w:tblPrEx>
          <w:tblCellMar>
            <w:top w:w="0" w:type="dxa"/>
            <w:left w:w="108" w:type="dxa"/>
            <w:bottom w:w="0" w:type="dxa"/>
            <w:right w:w="108" w:type="dxa"/>
          </w:tblCellMar>
        </w:tblPrEx>
        <w:trPr>
          <w:trHeight w:val="637"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jc w:val="left"/>
              <w:rPr>
                <w:rFonts w:hint="eastAsia" w:ascii="宋体" w:hAnsi="宋体" w:cs="宋体"/>
                <w:b/>
                <w:bCs/>
                <w:sz w:val="24"/>
                <w:szCs w:val="24"/>
              </w:rPr>
            </w:pPr>
            <w:r>
              <w:rPr>
                <w:rFonts w:hint="eastAsia" w:ascii="宋体" w:hAnsi="宋体" w:cs="宋体"/>
                <w:b/>
                <w:bCs/>
                <w:sz w:val="24"/>
                <w:szCs w:val="24"/>
              </w:rPr>
              <w:t>6</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投标有效期</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kern w:val="0"/>
                <w:sz w:val="24"/>
                <w:szCs w:val="24"/>
              </w:rPr>
              <w:t>提交投标文件截止之日起90日历日</w:t>
            </w:r>
          </w:p>
        </w:tc>
      </w:tr>
      <w:tr>
        <w:tblPrEx>
          <w:tblCellMar>
            <w:top w:w="0" w:type="dxa"/>
            <w:left w:w="108" w:type="dxa"/>
            <w:bottom w:w="0" w:type="dxa"/>
            <w:right w:w="108" w:type="dxa"/>
          </w:tblCellMar>
        </w:tblPrEx>
        <w:trPr>
          <w:trHeight w:val="385"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jc w:val="left"/>
              <w:rPr>
                <w:rFonts w:hint="eastAsia" w:ascii="宋体" w:hAnsi="宋体" w:cs="宋体"/>
                <w:b/>
                <w:bCs/>
                <w:sz w:val="24"/>
                <w:szCs w:val="24"/>
              </w:rPr>
            </w:pPr>
            <w:r>
              <w:rPr>
                <w:rFonts w:hint="eastAsia" w:ascii="宋体" w:hAnsi="宋体" w:cs="宋体"/>
                <w:b/>
                <w:bCs/>
                <w:sz w:val="24"/>
                <w:szCs w:val="24"/>
              </w:rPr>
              <w:t>7</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lang w:eastAsia="zh-CN"/>
              </w:rPr>
              <w:t>预算金额（</w:t>
            </w:r>
            <w:r>
              <w:rPr>
                <w:rFonts w:hint="eastAsia" w:ascii="宋体" w:hAnsi="宋体" w:cs="宋体"/>
                <w:sz w:val="24"/>
                <w:szCs w:val="24"/>
              </w:rPr>
              <w:t>最高限价</w:t>
            </w:r>
            <w:r>
              <w:rPr>
                <w:rFonts w:hint="eastAsia" w:ascii="宋体" w:hAnsi="宋体" w:cs="宋体"/>
                <w:sz w:val="24"/>
                <w:szCs w:val="24"/>
                <w:lang w:eastAsia="zh-CN"/>
              </w:rPr>
              <w:t>）</w:t>
            </w:r>
          </w:p>
        </w:tc>
        <w:tc>
          <w:tcPr>
            <w:tcW w:w="64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60" w:lineRule="exact"/>
              <w:jc w:val="left"/>
              <w:rPr>
                <w:rFonts w:hint="eastAsia" w:ascii="宋体" w:hAnsi="宋体" w:cs="宋体" w:eastAsiaTheme="minorEastAsia"/>
                <w:sz w:val="24"/>
                <w:szCs w:val="24"/>
                <w:lang w:eastAsia="zh-CN"/>
              </w:rPr>
            </w:pPr>
            <w:r>
              <w:rPr>
                <w:rFonts w:hint="eastAsia" w:ascii="宋体" w:hAnsi="宋体" w:cs="宋体"/>
                <w:sz w:val="24"/>
                <w:szCs w:val="24"/>
              </w:rPr>
              <w:t>人民币4</w:t>
            </w:r>
            <w:r>
              <w:rPr>
                <w:rFonts w:hint="eastAsia" w:ascii="宋体" w:hAnsi="宋体" w:cs="宋体"/>
                <w:sz w:val="24"/>
                <w:szCs w:val="24"/>
                <w:lang w:val="en-US" w:eastAsia="zh-CN"/>
              </w:rPr>
              <w:t>65</w:t>
            </w:r>
            <w:r>
              <w:rPr>
                <w:rFonts w:hint="eastAsia" w:ascii="宋体" w:hAnsi="宋体" w:cs="宋体"/>
                <w:sz w:val="24"/>
                <w:szCs w:val="24"/>
              </w:rPr>
              <w:t>万元整，服务期限三年</w:t>
            </w:r>
            <w:r>
              <w:rPr>
                <w:rFonts w:hint="eastAsia" w:ascii="宋体" w:hAnsi="宋体" w:cs="宋体"/>
                <w:sz w:val="24"/>
                <w:szCs w:val="24"/>
                <w:lang w:eastAsia="zh-CN"/>
              </w:rPr>
              <w:t>。</w:t>
            </w:r>
          </w:p>
        </w:tc>
      </w:tr>
      <w:tr>
        <w:tblPrEx>
          <w:tblCellMar>
            <w:top w:w="0" w:type="dxa"/>
            <w:left w:w="108" w:type="dxa"/>
            <w:bottom w:w="0" w:type="dxa"/>
            <w:right w:w="108" w:type="dxa"/>
          </w:tblCellMar>
        </w:tblPrEx>
        <w:trPr>
          <w:trHeight w:val="549"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jc w:val="left"/>
              <w:rPr>
                <w:rFonts w:hint="eastAsia" w:ascii="宋体" w:hAnsi="宋体" w:cs="宋体"/>
                <w:b/>
                <w:bCs/>
                <w:sz w:val="24"/>
                <w:szCs w:val="24"/>
              </w:rPr>
            </w:pPr>
            <w:r>
              <w:rPr>
                <w:rFonts w:hint="eastAsia" w:ascii="宋体" w:hAnsi="宋体" w:cs="宋体"/>
                <w:b/>
                <w:bCs/>
                <w:sz w:val="24"/>
                <w:szCs w:val="24"/>
              </w:rPr>
              <w:t>8</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资格预审</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不进行</w:t>
            </w:r>
          </w:p>
        </w:tc>
      </w:tr>
      <w:tr>
        <w:tblPrEx>
          <w:tblCellMar>
            <w:top w:w="0" w:type="dxa"/>
            <w:left w:w="108" w:type="dxa"/>
            <w:bottom w:w="0" w:type="dxa"/>
            <w:right w:w="108" w:type="dxa"/>
          </w:tblCellMar>
        </w:tblPrEx>
        <w:trPr>
          <w:trHeight w:val="494"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9</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投标文件递交时间</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详见第一章“投标邀请书”要求</w:t>
            </w:r>
          </w:p>
        </w:tc>
      </w:tr>
      <w:tr>
        <w:tblPrEx>
          <w:tblCellMar>
            <w:top w:w="0" w:type="dxa"/>
            <w:left w:w="108" w:type="dxa"/>
            <w:bottom w:w="0" w:type="dxa"/>
            <w:right w:w="108" w:type="dxa"/>
          </w:tblCellMar>
        </w:tblPrEx>
        <w:trPr>
          <w:trHeight w:val="734"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10</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开标时间、地点</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开标时间：同投标截止时间</w:t>
            </w:r>
          </w:p>
          <w:p>
            <w:pPr>
              <w:rPr>
                <w:rFonts w:hint="eastAsia" w:ascii="宋体" w:hAnsi="宋体" w:cs="宋体"/>
                <w:sz w:val="24"/>
                <w:szCs w:val="24"/>
              </w:rPr>
            </w:pPr>
            <w:r>
              <w:rPr>
                <w:rFonts w:hint="eastAsia" w:ascii="宋体" w:hAnsi="宋体" w:cs="宋体"/>
                <w:sz w:val="24"/>
                <w:szCs w:val="24"/>
              </w:rPr>
              <w:t>地点：网上开标（广水市公共资源交易中心</w:t>
            </w:r>
            <w:r>
              <w:rPr>
                <w:rFonts w:hint="eastAsia" w:ascii="宋体" w:hAnsi="宋体" w:cs="宋体"/>
                <w:sz w:val="24"/>
                <w:szCs w:val="24"/>
                <w:u w:val="single"/>
                <w:lang w:val="en-US" w:eastAsia="zh-CN"/>
              </w:rPr>
              <w:t>502</w:t>
            </w:r>
            <w:r>
              <w:rPr>
                <w:rFonts w:hint="eastAsia" w:ascii="宋体" w:hAnsi="宋体" w:cs="宋体"/>
                <w:sz w:val="24"/>
                <w:szCs w:val="24"/>
              </w:rPr>
              <w:t>开标厅）</w:t>
            </w:r>
          </w:p>
        </w:tc>
      </w:tr>
      <w:tr>
        <w:tblPrEx>
          <w:tblCellMar>
            <w:top w:w="0" w:type="dxa"/>
            <w:left w:w="108" w:type="dxa"/>
            <w:bottom w:w="0" w:type="dxa"/>
            <w:right w:w="108" w:type="dxa"/>
          </w:tblCellMar>
        </w:tblPrEx>
        <w:trPr>
          <w:trHeight w:val="740"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jc w:val="left"/>
              <w:rPr>
                <w:rFonts w:hint="eastAsia" w:ascii="宋体" w:hAnsi="宋体" w:cs="宋体"/>
                <w:b/>
                <w:bCs/>
                <w:sz w:val="24"/>
                <w:szCs w:val="24"/>
              </w:rPr>
            </w:pPr>
            <w:r>
              <w:rPr>
                <w:rFonts w:hint="eastAsia" w:ascii="宋体" w:hAnsi="宋体" w:cs="宋体"/>
                <w:b/>
                <w:bCs/>
                <w:sz w:val="24"/>
                <w:szCs w:val="24"/>
              </w:rPr>
              <w:t>11</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解密时间</w:t>
            </w:r>
          </w:p>
        </w:tc>
        <w:tc>
          <w:tcPr>
            <w:tcW w:w="64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4"/>
                <w:szCs w:val="24"/>
              </w:rPr>
            </w:pPr>
            <w:r>
              <w:rPr>
                <w:rFonts w:hint="eastAsia" w:ascii="宋体" w:hAnsi="宋体" w:cs="宋体"/>
                <w:kern w:val="0"/>
                <w:sz w:val="24"/>
                <w:szCs w:val="24"/>
              </w:rPr>
              <w:t>招标人发出解密提示后30分钟内</w:t>
            </w:r>
          </w:p>
        </w:tc>
      </w:tr>
      <w:tr>
        <w:tblPrEx>
          <w:tblCellMar>
            <w:top w:w="0" w:type="dxa"/>
            <w:left w:w="108" w:type="dxa"/>
            <w:bottom w:w="0" w:type="dxa"/>
            <w:right w:w="108" w:type="dxa"/>
          </w:tblCellMar>
        </w:tblPrEx>
        <w:trPr>
          <w:trHeight w:val="740"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ascii="宋体" w:hAnsi="宋体" w:cs="宋体"/>
                <w:b/>
                <w:bCs/>
                <w:sz w:val="24"/>
                <w:szCs w:val="24"/>
              </w:rPr>
            </w:pPr>
            <w:r>
              <w:rPr>
                <w:rFonts w:hint="eastAsia" w:ascii="宋体" w:hAnsi="宋体" w:cs="宋体"/>
                <w:b/>
                <w:bCs/>
                <w:sz w:val="24"/>
                <w:szCs w:val="24"/>
              </w:rPr>
              <w:t>12</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备选方案</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不允许</w:t>
            </w:r>
          </w:p>
          <w:p>
            <w:pPr>
              <w:rPr>
                <w:rFonts w:hint="eastAsia" w:ascii="宋体" w:hAnsi="宋体" w:cs="宋体"/>
                <w:sz w:val="24"/>
                <w:szCs w:val="24"/>
              </w:rPr>
            </w:pPr>
            <w:r>
              <w:rPr>
                <w:rFonts w:hint="eastAsia" w:ascii="宋体" w:hAnsi="宋体" w:cs="宋体"/>
                <w:sz w:val="24"/>
                <w:szCs w:val="24"/>
              </w:rPr>
              <w:t>详见第三章“项目技术、服务及商务要求”要求</w:t>
            </w:r>
          </w:p>
        </w:tc>
      </w:tr>
      <w:tr>
        <w:tblPrEx>
          <w:tblCellMar>
            <w:top w:w="0" w:type="dxa"/>
            <w:left w:w="108" w:type="dxa"/>
            <w:bottom w:w="0" w:type="dxa"/>
            <w:right w:w="108" w:type="dxa"/>
          </w:tblCellMar>
        </w:tblPrEx>
        <w:trPr>
          <w:trHeight w:val="709"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13</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实物样品</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不提交</w:t>
            </w:r>
          </w:p>
          <w:p>
            <w:pPr>
              <w:rPr>
                <w:rFonts w:hint="eastAsia" w:ascii="宋体" w:hAnsi="宋体" w:cs="宋体"/>
                <w:sz w:val="24"/>
                <w:szCs w:val="24"/>
              </w:rPr>
            </w:pPr>
            <w:r>
              <w:rPr>
                <w:rFonts w:hint="eastAsia" w:ascii="宋体" w:hAnsi="宋体" w:cs="宋体"/>
                <w:sz w:val="24"/>
                <w:szCs w:val="24"/>
              </w:rPr>
              <w:t>详见第三章“项目技术、服务及商务要求”要求</w:t>
            </w:r>
          </w:p>
        </w:tc>
      </w:tr>
      <w:tr>
        <w:tblPrEx>
          <w:tblCellMar>
            <w:top w:w="0" w:type="dxa"/>
            <w:left w:w="108" w:type="dxa"/>
            <w:bottom w:w="0" w:type="dxa"/>
            <w:right w:w="108" w:type="dxa"/>
          </w:tblCellMar>
        </w:tblPrEx>
        <w:trPr>
          <w:trHeight w:val="772"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14</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现场考察</w:t>
            </w:r>
          </w:p>
        </w:tc>
        <w:tc>
          <w:tcPr>
            <w:tcW w:w="6470" w:type="dxa"/>
            <w:tcBorders>
              <w:top w:val="single" w:color="auto" w:sz="4" w:space="0"/>
              <w:left w:val="nil"/>
              <w:bottom w:val="single" w:color="auto" w:sz="4" w:space="0"/>
              <w:right w:val="single" w:color="auto" w:sz="4" w:space="0"/>
            </w:tcBorders>
            <w:noWrap w:val="0"/>
            <w:vAlign w:val="center"/>
          </w:tcPr>
          <w:p>
            <w:pPr>
              <w:ind w:right="-105" w:rightChars="-50"/>
              <w:rPr>
                <w:rFonts w:hint="eastAsia" w:ascii="宋体" w:hAnsi="宋体" w:cs="宋体"/>
                <w:sz w:val="24"/>
                <w:szCs w:val="24"/>
              </w:rPr>
            </w:pPr>
            <w:r>
              <w:rPr>
                <w:rFonts w:hint="eastAsia" w:ascii="宋体" w:hAnsi="宋体" w:cs="宋体"/>
                <w:sz w:val="24"/>
                <w:szCs w:val="24"/>
              </w:rPr>
              <w:t>不组织</w:t>
            </w:r>
          </w:p>
          <w:p>
            <w:pPr>
              <w:ind w:right="-105" w:rightChars="-50"/>
              <w:rPr>
                <w:rFonts w:hint="eastAsia" w:ascii="宋体" w:hAnsi="宋体" w:cs="宋体"/>
                <w:sz w:val="24"/>
                <w:szCs w:val="24"/>
              </w:rPr>
            </w:pPr>
            <w:r>
              <w:rPr>
                <w:rFonts w:hint="eastAsia" w:ascii="宋体" w:hAnsi="宋体" w:cs="宋体"/>
                <w:sz w:val="24"/>
                <w:szCs w:val="24"/>
              </w:rPr>
              <w:t>详见第三章“项目技术、服务及商务要求”要求</w:t>
            </w:r>
          </w:p>
        </w:tc>
      </w:tr>
      <w:tr>
        <w:tblPrEx>
          <w:tblCellMar>
            <w:top w:w="0" w:type="dxa"/>
            <w:left w:w="108" w:type="dxa"/>
            <w:bottom w:w="0" w:type="dxa"/>
            <w:right w:w="108" w:type="dxa"/>
          </w:tblCellMar>
        </w:tblPrEx>
        <w:trPr>
          <w:trHeight w:val="856"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15</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中标后分包</w:t>
            </w:r>
          </w:p>
        </w:tc>
        <w:tc>
          <w:tcPr>
            <w:tcW w:w="6470" w:type="dxa"/>
            <w:tcBorders>
              <w:top w:val="single" w:color="auto" w:sz="4" w:space="0"/>
              <w:left w:val="nil"/>
              <w:bottom w:val="single" w:color="auto" w:sz="4" w:space="0"/>
              <w:right w:val="single" w:color="auto" w:sz="4" w:space="0"/>
            </w:tcBorders>
            <w:noWrap w:val="0"/>
            <w:vAlign w:val="center"/>
          </w:tcPr>
          <w:p>
            <w:pPr>
              <w:pStyle w:val="8"/>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不允许</w:t>
            </w:r>
          </w:p>
          <w:p>
            <w:pPr>
              <w:pStyle w:val="8"/>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详见第三章“项目技术、服务及商务要求”要求</w:t>
            </w:r>
          </w:p>
          <w:p>
            <w:pPr>
              <w:pStyle w:val="8"/>
              <w:rPr>
                <w:rFonts w:hint="eastAsia"/>
              </w:rPr>
            </w:pPr>
            <w:r>
              <w:rPr>
                <w:rFonts w:hint="eastAsia" w:ascii="宋体" w:hAnsi="宋体" w:cs="宋体" w:eastAsiaTheme="minorEastAsia"/>
                <w:kern w:val="2"/>
                <w:sz w:val="24"/>
                <w:szCs w:val="24"/>
                <w:lang w:val="en-US" w:eastAsia="zh-CN" w:bidi="ar-SA"/>
              </w:rPr>
              <w:t>享受中小企业扶持政策获得政府采购合同的，小微企业不得将合同分包给大中型企业，中型企业不得将合同分包给大型企业。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709"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16</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评标办法</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综合评分法</w:t>
            </w:r>
          </w:p>
          <w:p>
            <w:pPr>
              <w:rPr>
                <w:rFonts w:hint="eastAsia" w:ascii="宋体" w:hAnsi="宋体" w:cs="宋体"/>
                <w:sz w:val="24"/>
                <w:szCs w:val="24"/>
              </w:rPr>
            </w:pPr>
            <w:r>
              <w:rPr>
                <w:rFonts w:hint="eastAsia" w:ascii="宋体" w:hAnsi="宋体" w:cs="宋体"/>
                <w:sz w:val="24"/>
                <w:szCs w:val="24"/>
              </w:rPr>
              <w:t>详见第五章“评标方法、程序及标准”要求</w:t>
            </w:r>
          </w:p>
        </w:tc>
      </w:tr>
      <w:tr>
        <w:tblPrEx>
          <w:tblCellMar>
            <w:top w:w="0" w:type="dxa"/>
            <w:left w:w="108" w:type="dxa"/>
            <w:bottom w:w="0" w:type="dxa"/>
            <w:right w:w="108" w:type="dxa"/>
          </w:tblCellMar>
        </w:tblPrEx>
        <w:trPr>
          <w:trHeight w:val="823"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17</w:t>
            </w:r>
          </w:p>
        </w:tc>
        <w:tc>
          <w:tcPr>
            <w:tcW w:w="220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质疑及提交</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详见第一章“投标邀请书”要求</w:t>
            </w:r>
          </w:p>
        </w:tc>
      </w:tr>
      <w:tr>
        <w:tblPrEx>
          <w:tblCellMar>
            <w:top w:w="0" w:type="dxa"/>
            <w:left w:w="108" w:type="dxa"/>
            <w:bottom w:w="0" w:type="dxa"/>
            <w:right w:w="108" w:type="dxa"/>
          </w:tblCellMar>
        </w:tblPrEx>
        <w:trPr>
          <w:trHeight w:val="694"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hint="eastAsia" w:ascii="宋体" w:hAnsi="宋体" w:cs="宋体"/>
                <w:b/>
                <w:bCs/>
                <w:sz w:val="24"/>
                <w:szCs w:val="24"/>
              </w:rPr>
            </w:pPr>
            <w:r>
              <w:rPr>
                <w:rFonts w:hint="eastAsia" w:ascii="宋体" w:hAnsi="宋体" w:cs="宋体"/>
                <w:b/>
                <w:bCs/>
                <w:sz w:val="24"/>
                <w:szCs w:val="24"/>
              </w:rPr>
              <w:t>18</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中小企业</w:t>
            </w:r>
          </w:p>
        </w:tc>
        <w:tc>
          <w:tcPr>
            <w:tcW w:w="647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本项目专门面向中小企业采购</w:t>
            </w:r>
          </w:p>
          <w:p>
            <w:pPr>
              <w:rPr>
                <w:rFonts w:hint="eastAsia" w:ascii="宋体" w:hAnsi="宋体" w:cs="宋体"/>
                <w:sz w:val="24"/>
                <w:szCs w:val="24"/>
              </w:rPr>
            </w:pPr>
            <w:r>
              <w:rPr>
                <w:rFonts w:hint="eastAsia" w:ascii="宋体" w:hAnsi="宋体" w:cs="宋体"/>
                <w:sz w:val="24"/>
                <w:szCs w:val="24"/>
              </w:rPr>
              <w:t>联合体各方均为中小企业的联合体、符合中小企业划分标准的个体工商户视同中小企业， 监狱企业、残疾人福利性单位视同小微企业。</w:t>
            </w:r>
          </w:p>
          <w:p>
            <w:pPr>
              <w:rPr>
                <w:rFonts w:hint="eastAsia"/>
              </w:rPr>
            </w:pPr>
            <w:r>
              <w:rPr>
                <w:rFonts w:hint="eastAsia" w:ascii="宋体" w:hAnsi="宋体" w:cs="宋体"/>
                <w:sz w:val="24"/>
                <w:szCs w:val="24"/>
              </w:rPr>
              <w:t>中小企业参加政府采购活动，应当出具招标文件规定的《中小企业声明函》，监狱企业应提供由省级监狱局、戒毒局（含新疆生产建设兵团）出具的监狱企业的证明文件；残疾人福利性单位应提供《声明函》，否则不得享受相关中小企业扶持政策</w:t>
            </w:r>
          </w:p>
        </w:tc>
      </w:tr>
      <w:tr>
        <w:tblPrEx>
          <w:tblCellMar>
            <w:top w:w="0" w:type="dxa"/>
            <w:left w:w="108" w:type="dxa"/>
            <w:bottom w:w="0" w:type="dxa"/>
            <w:right w:w="108" w:type="dxa"/>
          </w:tblCellMar>
        </w:tblPrEx>
        <w:trPr>
          <w:trHeight w:val="694" w:hRule="atLeast"/>
        </w:trPr>
        <w:tc>
          <w:tcPr>
            <w:tcW w:w="676" w:type="dxa"/>
            <w:tcBorders>
              <w:top w:val="single" w:color="auto" w:sz="4" w:space="0"/>
              <w:left w:val="single" w:color="auto" w:sz="4" w:space="0"/>
              <w:bottom w:val="single" w:color="auto" w:sz="4" w:space="0"/>
              <w:right w:val="single" w:color="auto" w:sz="4" w:space="0"/>
            </w:tcBorders>
            <w:noWrap w:val="0"/>
            <w:vAlign w:val="center"/>
          </w:tcPr>
          <w:p>
            <w:pPr>
              <w:ind w:right="57"/>
              <w:rPr>
                <w:rFonts w:ascii="宋体" w:hAnsi="宋体" w:cs="宋体"/>
                <w:b/>
                <w:bCs/>
                <w:sz w:val="24"/>
                <w:szCs w:val="24"/>
              </w:rPr>
            </w:pPr>
            <w:r>
              <w:rPr>
                <w:rFonts w:hint="eastAsia" w:ascii="宋体" w:hAnsi="宋体" w:cs="宋体"/>
                <w:b/>
                <w:bCs/>
                <w:sz w:val="24"/>
                <w:szCs w:val="24"/>
              </w:rPr>
              <w:t>19</w:t>
            </w:r>
          </w:p>
        </w:tc>
        <w:tc>
          <w:tcPr>
            <w:tcW w:w="220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政府采购相关政策执行</w:t>
            </w:r>
          </w:p>
        </w:tc>
        <w:tc>
          <w:tcPr>
            <w:tcW w:w="6470"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hint="eastAsia" w:ascii="宋体" w:hAnsi="宋体"/>
                <w:sz w:val="24"/>
                <w:szCs w:val="28"/>
                <w:lang w:val="zh-CN"/>
              </w:rPr>
            </w:pPr>
            <w:r>
              <w:rPr>
                <w:rFonts w:hint="eastAsia" w:ascii="宋体" w:hAnsi="宋体"/>
                <w:sz w:val="24"/>
                <w:szCs w:val="28"/>
                <w:lang w:val="en-US" w:eastAsia="zh-CN"/>
              </w:rPr>
              <w:t>1、</w:t>
            </w:r>
            <w:r>
              <w:rPr>
                <w:rFonts w:hint="eastAsia" w:ascii="宋体" w:hAnsi="宋体"/>
                <w:sz w:val="24"/>
                <w:szCs w:val="28"/>
                <w:lang w:val="zh-CN" w:eastAsia="zh-CN"/>
              </w:rPr>
              <w:t>非专门面向中小企业</w:t>
            </w:r>
            <w:r>
              <w:rPr>
                <w:rFonts w:hint="eastAsia" w:ascii="宋体" w:hAnsi="宋体"/>
                <w:sz w:val="24"/>
                <w:szCs w:val="28"/>
                <w:lang w:val="zh-CN"/>
              </w:rPr>
              <w:t>的采购项目或采购包，对符合规定的小微企业报价</w:t>
            </w:r>
            <w:r>
              <w:rPr>
                <w:rFonts w:hint="eastAsia" w:ascii="宋体" w:hAnsi="宋体"/>
                <w:sz w:val="24"/>
                <w:szCs w:val="28"/>
                <w:lang w:val="zh-CN" w:eastAsia="zh-CN"/>
              </w:rPr>
              <w:t>给予</w:t>
            </w:r>
            <w:r>
              <w:rPr>
                <w:rFonts w:hint="eastAsia" w:ascii="宋体" w:hAnsi="宋体"/>
                <w:sz w:val="24"/>
                <w:szCs w:val="28"/>
                <w:lang w:val="zh-CN"/>
              </w:rPr>
              <w:t>1</w:t>
            </w:r>
            <w:r>
              <w:rPr>
                <w:rFonts w:hint="eastAsia" w:ascii="宋体" w:hAnsi="宋体"/>
                <w:sz w:val="24"/>
                <w:szCs w:val="28"/>
                <w:lang w:val="en-US" w:eastAsia="zh-CN"/>
              </w:rPr>
              <w:t>5</w:t>
            </w:r>
            <w:r>
              <w:rPr>
                <w:rFonts w:hint="eastAsia" w:ascii="宋体" w:hAnsi="宋体"/>
                <w:sz w:val="24"/>
                <w:szCs w:val="28"/>
                <w:lang w:val="zh-CN"/>
              </w:rPr>
              <w:t>%</w:t>
            </w:r>
            <w:r>
              <w:rPr>
                <w:rFonts w:hint="eastAsia" w:ascii="宋体" w:hAnsi="宋体"/>
                <w:sz w:val="24"/>
                <w:szCs w:val="28"/>
                <w:lang w:val="zh-CN" w:eastAsia="zh-CN"/>
              </w:rPr>
              <w:t>的扣除</w:t>
            </w:r>
            <w:r>
              <w:rPr>
                <w:rFonts w:hint="eastAsia" w:ascii="宋体" w:hAnsi="宋体"/>
                <w:sz w:val="24"/>
                <w:szCs w:val="28"/>
                <w:lang w:val="zh-CN"/>
              </w:rPr>
              <w:t>，其中对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w:t>
            </w:r>
          </w:p>
          <w:p>
            <w:pPr>
              <w:snapToGrid w:val="0"/>
              <w:spacing w:line="500" w:lineRule="exact"/>
              <w:rPr>
                <w:rFonts w:hint="eastAsia" w:ascii="宋体" w:hAnsi="宋体"/>
                <w:sz w:val="24"/>
                <w:szCs w:val="28"/>
                <w:lang w:val="zh-CN" w:eastAsia="zh-CN"/>
              </w:rPr>
            </w:pPr>
            <w:r>
              <w:rPr>
                <w:rFonts w:hint="eastAsia" w:ascii="宋体" w:hAnsi="宋体"/>
                <w:sz w:val="24"/>
                <w:szCs w:val="28"/>
                <w:lang w:val="en-US" w:eastAsia="zh-CN"/>
              </w:rPr>
              <w:t>2、</w:t>
            </w:r>
            <w:r>
              <w:rPr>
                <w:rFonts w:hint="eastAsia" w:ascii="宋体" w:hAnsi="宋体"/>
                <w:sz w:val="24"/>
                <w:szCs w:val="28"/>
                <w:lang w:val="zh-CN"/>
              </w:rPr>
              <w:t>接受</w:t>
            </w:r>
            <w:r>
              <w:rPr>
                <w:rFonts w:hint="eastAsia" w:ascii="宋体" w:hAnsi="宋体"/>
                <w:sz w:val="24"/>
                <w:szCs w:val="28"/>
                <w:lang w:val="zh-CN" w:eastAsia="zh-CN"/>
              </w:rPr>
              <w:t>大中型</w:t>
            </w:r>
            <w:r>
              <w:rPr>
                <w:rFonts w:hint="eastAsia" w:ascii="宋体" w:hAnsi="宋体"/>
                <w:sz w:val="24"/>
                <w:szCs w:val="28"/>
                <w:lang w:val="zh-CN"/>
              </w:rPr>
              <w:t>企业与小微企业组成联合体或者允许大中型企业向一家或者多家小微企业分包的采购</w:t>
            </w:r>
            <w:r>
              <w:rPr>
                <w:rFonts w:hint="eastAsia" w:ascii="宋体" w:hAnsi="宋体"/>
                <w:sz w:val="24"/>
                <w:szCs w:val="28"/>
                <w:lang w:val="zh-CN" w:eastAsia="zh-CN"/>
              </w:rPr>
              <w:t>项目，对于联合</w:t>
            </w:r>
            <w:r>
              <w:rPr>
                <w:rFonts w:hint="eastAsia" w:ascii="宋体" w:hAnsi="宋体"/>
                <w:sz w:val="24"/>
                <w:szCs w:val="28"/>
                <w:lang w:val="zh-CN"/>
              </w:rPr>
              <w:t>投标</w:t>
            </w:r>
            <w:r>
              <w:rPr>
                <w:rFonts w:hint="eastAsia" w:ascii="宋体" w:hAnsi="宋体"/>
                <w:sz w:val="24"/>
                <w:szCs w:val="28"/>
                <w:lang w:val="zh-CN" w:eastAsia="zh-CN"/>
              </w:rPr>
              <w:t>协议或者分包意向协议约定小微企业的合同份额占到合同总金额30%以上的，对联合体或者大中型企业的报价给予</w:t>
            </w:r>
            <w:r>
              <w:rPr>
                <w:rFonts w:hint="eastAsia" w:ascii="宋体" w:hAnsi="宋体"/>
                <w:sz w:val="24"/>
                <w:szCs w:val="28"/>
                <w:lang w:val="en-US" w:eastAsia="zh-CN"/>
              </w:rPr>
              <w:t>5</w:t>
            </w:r>
            <w:r>
              <w:rPr>
                <w:rFonts w:hint="eastAsia" w:ascii="宋体" w:hAnsi="宋体"/>
                <w:sz w:val="24"/>
                <w:szCs w:val="28"/>
                <w:lang w:val="zh-CN" w:eastAsia="zh-CN"/>
              </w:rPr>
              <w:t>%的扣除</w:t>
            </w:r>
            <w:r>
              <w:rPr>
                <w:rFonts w:hint="eastAsia" w:ascii="宋体" w:hAnsi="宋体"/>
                <w:sz w:val="24"/>
                <w:szCs w:val="28"/>
                <w:lang w:val="zh-CN"/>
              </w:rPr>
              <w:t>，用扣除后的价格参加评审。</w:t>
            </w:r>
          </w:p>
          <w:p>
            <w:pPr>
              <w:snapToGrid w:val="0"/>
              <w:spacing w:line="500" w:lineRule="exact"/>
              <w:rPr>
                <w:rFonts w:hint="eastAsia" w:ascii="宋体" w:hAnsi="宋体"/>
                <w:sz w:val="24"/>
                <w:szCs w:val="28"/>
                <w:lang w:val="zh-CN"/>
              </w:rPr>
            </w:pPr>
            <w:r>
              <w:rPr>
                <w:rFonts w:hint="eastAsia" w:ascii="宋体" w:hAnsi="宋体"/>
                <w:sz w:val="24"/>
                <w:szCs w:val="28"/>
                <w:lang w:val="en-US" w:eastAsia="zh-CN"/>
              </w:rPr>
              <w:t>3、</w:t>
            </w:r>
            <w:r>
              <w:rPr>
                <w:rFonts w:hint="eastAsia" w:ascii="宋体" w:hAnsi="宋体"/>
                <w:sz w:val="24"/>
                <w:szCs w:val="28"/>
                <w:lang w:val="zh-CN"/>
              </w:rPr>
              <w:t>参加政府采购活动的</w:t>
            </w:r>
            <w:r>
              <w:rPr>
                <w:rFonts w:hint="eastAsia" w:ascii="宋体" w:hAnsi="宋体"/>
                <w:sz w:val="24"/>
                <w:szCs w:val="28"/>
                <w:lang w:val="zh-CN" w:eastAsia="zh-CN"/>
              </w:rPr>
              <w:t>小微企业</w:t>
            </w:r>
            <w:r>
              <w:rPr>
                <w:rFonts w:hint="eastAsia" w:ascii="宋体" w:hAnsi="宋体"/>
                <w:sz w:val="24"/>
                <w:szCs w:val="28"/>
                <w:lang w:val="zh-CN"/>
              </w:rPr>
              <w:t>（监狱企业、残疾人福利性单位、</w:t>
            </w:r>
            <w:r>
              <w:rPr>
                <w:rFonts w:hint="eastAsia" w:ascii="宋体" w:hAnsi="宋体"/>
                <w:sz w:val="24"/>
                <w:szCs w:val="28"/>
                <w:lang w:val="zh-CN" w:eastAsia="zh-CN"/>
              </w:rPr>
              <w:t>联合体各方均为小微企业的联合体</w:t>
            </w:r>
            <w:r>
              <w:rPr>
                <w:rFonts w:hint="eastAsia" w:ascii="宋体" w:hAnsi="宋体"/>
                <w:sz w:val="24"/>
                <w:szCs w:val="28"/>
                <w:lang w:val="zh-CN"/>
              </w:rPr>
              <w:t>、符合小微企业划分标准的个体工商户</w:t>
            </w:r>
            <w:r>
              <w:rPr>
                <w:rFonts w:hint="eastAsia" w:ascii="宋体" w:hAnsi="宋体"/>
                <w:sz w:val="24"/>
                <w:szCs w:val="28"/>
                <w:lang w:val="zh-CN" w:eastAsia="zh-CN"/>
              </w:rPr>
              <w:t>视同小微企业）</w:t>
            </w:r>
            <w:r>
              <w:rPr>
                <w:rFonts w:hint="eastAsia" w:ascii="宋体" w:hAnsi="宋体"/>
                <w:sz w:val="24"/>
                <w:szCs w:val="28"/>
                <w:lang w:val="zh-CN"/>
              </w:rPr>
              <w:t>未提供“中小企业</w:t>
            </w:r>
            <w:r>
              <w:rPr>
                <w:rFonts w:hint="eastAsia" w:ascii="宋体" w:hAnsi="宋体"/>
                <w:sz w:val="24"/>
                <w:szCs w:val="28"/>
                <w:lang w:val="zh-CN" w:eastAsia="zh-CN"/>
              </w:rPr>
              <w:t>声明函</w:t>
            </w:r>
            <w:r>
              <w:rPr>
                <w:rFonts w:hint="eastAsia" w:ascii="宋体" w:hAnsi="宋体"/>
                <w:sz w:val="24"/>
                <w:szCs w:val="28"/>
                <w:lang w:val="zh-CN"/>
              </w:rPr>
              <w:t>”的，其中</w:t>
            </w:r>
            <w:r>
              <w:rPr>
                <w:rFonts w:hint="eastAsia" w:ascii="宋体" w:hAnsi="宋体"/>
                <w:sz w:val="24"/>
                <w:szCs w:val="28"/>
                <w:lang w:val="zh-CN" w:eastAsia="zh-CN"/>
              </w:rPr>
              <w:t>监狱企业</w:t>
            </w:r>
            <w:r>
              <w:rPr>
                <w:rFonts w:hint="eastAsia" w:ascii="宋体" w:hAnsi="宋体"/>
                <w:sz w:val="24"/>
                <w:szCs w:val="28"/>
                <w:lang w:val="zh-CN"/>
              </w:rPr>
              <w:t>未</w:t>
            </w:r>
            <w:r>
              <w:rPr>
                <w:rFonts w:hint="eastAsia" w:ascii="宋体" w:hAnsi="宋体"/>
                <w:sz w:val="24"/>
                <w:szCs w:val="28"/>
                <w:lang w:val="zh-CN" w:eastAsia="zh-CN"/>
              </w:rPr>
              <w:t>提供由省级</w:t>
            </w:r>
            <w:r>
              <w:rPr>
                <w:rFonts w:hint="eastAsia" w:ascii="宋体" w:hAnsi="宋体"/>
                <w:sz w:val="24"/>
                <w:szCs w:val="28"/>
                <w:lang w:val="zh-CN"/>
              </w:rPr>
              <w:t>监狱管理</w:t>
            </w:r>
            <w:r>
              <w:rPr>
                <w:rFonts w:hint="eastAsia" w:ascii="宋体" w:hAnsi="宋体"/>
                <w:sz w:val="24"/>
                <w:szCs w:val="28"/>
                <w:lang w:val="zh-CN" w:eastAsia="zh-CN"/>
              </w:rPr>
              <w:t>局</w:t>
            </w:r>
            <w:r>
              <w:rPr>
                <w:rFonts w:hint="eastAsia" w:ascii="宋体" w:hAnsi="宋体"/>
                <w:sz w:val="24"/>
                <w:szCs w:val="28"/>
                <w:lang w:val="zh-CN"/>
              </w:rPr>
              <w:t>或</w:t>
            </w:r>
            <w:r>
              <w:rPr>
                <w:rFonts w:hint="eastAsia" w:ascii="宋体" w:hAnsi="宋体"/>
                <w:sz w:val="24"/>
                <w:szCs w:val="28"/>
                <w:lang w:val="zh-CN" w:eastAsia="zh-CN"/>
              </w:rPr>
              <w:t>戒毒局（含新疆生产建设兵团）出具的监狱企业的证明文件</w:t>
            </w:r>
            <w:r>
              <w:rPr>
                <w:rFonts w:hint="eastAsia" w:ascii="宋体" w:hAnsi="宋体"/>
                <w:sz w:val="24"/>
                <w:szCs w:val="28"/>
                <w:lang w:val="zh-CN"/>
              </w:rPr>
              <w:t>的，</w:t>
            </w:r>
            <w:r>
              <w:rPr>
                <w:rFonts w:hint="eastAsia" w:ascii="宋体" w:hAnsi="宋体"/>
                <w:sz w:val="24"/>
                <w:szCs w:val="28"/>
                <w:lang w:val="zh-CN" w:eastAsia="zh-CN"/>
              </w:rPr>
              <w:t>残疾人福利性单位</w:t>
            </w:r>
            <w:r>
              <w:rPr>
                <w:rFonts w:hint="eastAsia" w:ascii="宋体" w:hAnsi="宋体"/>
                <w:sz w:val="24"/>
                <w:szCs w:val="28"/>
                <w:lang w:val="zh-CN"/>
              </w:rPr>
              <w:t>未提供“</w:t>
            </w:r>
            <w:r>
              <w:rPr>
                <w:rFonts w:hint="eastAsia" w:ascii="宋体" w:hAnsi="宋体"/>
                <w:sz w:val="24"/>
                <w:szCs w:val="28"/>
                <w:lang w:val="zh-CN" w:eastAsia="zh-CN"/>
              </w:rPr>
              <w:t>残疾人福利性单位声明函</w:t>
            </w:r>
            <w:r>
              <w:rPr>
                <w:rFonts w:hint="eastAsia" w:ascii="宋体" w:hAnsi="宋体"/>
                <w:sz w:val="24"/>
                <w:szCs w:val="28"/>
                <w:lang w:val="zh-CN"/>
              </w:rPr>
              <w:t>”的；组成联合体或者接受分包的小微企业与联合体内其他企业、分包企业之间存在直接控股、管理关系的，不得享受价格扣除优惠政策。</w:t>
            </w:r>
          </w:p>
          <w:p>
            <w:pPr>
              <w:snapToGrid w:val="0"/>
              <w:spacing w:line="500" w:lineRule="exact"/>
              <w:rPr>
                <w:rFonts w:hint="eastAsia" w:ascii="宋体" w:hAnsi="宋体"/>
                <w:sz w:val="24"/>
                <w:szCs w:val="28"/>
                <w:lang w:val="zh-CN"/>
              </w:rPr>
            </w:pPr>
            <w:r>
              <w:rPr>
                <w:rFonts w:hint="eastAsia" w:ascii="宋体" w:hAnsi="宋体"/>
                <w:sz w:val="24"/>
                <w:szCs w:val="28"/>
                <w:lang w:val="en-US" w:eastAsia="zh-CN"/>
              </w:rPr>
              <w:t>4、</w:t>
            </w:r>
            <w:r>
              <w:rPr>
                <w:rFonts w:hint="eastAsia" w:ascii="宋体" w:hAnsi="宋体"/>
                <w:sz w:val="24"/>
                <w:szCs w:val="28"/>
                <w:lang w:val="zh-CN"/>
              </w:rPr>
              <w:t>专门面向</w:t>
            </w:r>
            <w:r>
              <w:rPr>
                <w:rFonts w:hint="eastAsia" w:ascii="宋体" w:hAnsi="宋体"/>
                <w:sz w:val="24"/>
                <w:szCs w:val="28"/>
                <w:lang w:val="zh-CN" w:eastAsia="zh-CN"/>
              </w:rPr>
              <w:t>中小企业、</w:t>
            </w:r>
            <w:r>
              <w:rPr>
                <w:rFonts w:hint="eastAsia" w:ascii="宋体" w:hAnsi="宋体"/>
                <w:sz w:val="24"/>
                <w:szCs w:val="28"/>
                <w:lang w:val="zh-CN"/>
              </w:rPr>
              <w:t>预留部分采购份额面向中小企业采购的项目或采购包</w:t>
            </w:r>
            <w:r>
              <w:rPr>
                <w:rFonts w:hint="eastAsia" w:ascii="宋体" w:hAnsi="宋体"/>
                <w:sz w:val="24"/>
                <w:szCs w:val="28"/>
                <w:lang w:val="zh-CN" w:eastAsia="zh-CN"/>
              </w:rPr>
              <w:t>，评审时不再进行价格扣除。</w:t>
            </w:r>
          </w:p>
          <w:p>
            <w:pPr>
              <w:snapToGrid w:val="0"/>
              <w:spacing w:line="500" w:lineRule="exact"/>
              <w:rPr>
                <w:rFonts w:hint="eastAsia"/>
              </w:rPr>
            </w:pPr>
            <w:r>
              <w:rPr>
                <w:rFonts w:hint="eastAsia" w:ascii="宋体" w:hAnsi="宋体"/>
                <w:sz w:val="24"/>
                <w:szCs w:val="28"/>
                <w:lang w:val="en-US" w:eastAsia="zh-CN"/>
              </w:rPr>
              <w:t>5、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r>
              <w:rPr>
                <w:rFonts w:hint="eastAsia" w:ascii="宋体" w:hAnsi="宋体"/>
                <w:sz w:val="24"/>
                <w:szCs w:val="28"/>
                <w:lang w:val="zh-CN"/>
              </w:rPr>
              <w:t>。</w:t>
            </w:r>
          </w:p>
        </w:tc>
      </w:tr>
    </w:tbl>
    <w:p>
      <w:pPr>
        <w:spacing w:line="360" w:lineRule="auto"/>
        <w:ind w:firstLine="420" w:firstLineChars="200"/>
        <w:rPr>
          <w:rFonts w:cs="Times New Roman" w:asciiTheme="majorEastAsia" w:hAnsiTheme="majorEastAsia"/>
          <w:bCs/>
          <w:lang w:val="zh-CN" w:eastAsia="zh-CN"/>
        </w:rPr>
      </w:pPr>
    </w:p>
    <w:p>
      <w:pPr>
        <w:widowControl/>
        <w:jc w:val="left"/>
        <w:rPr>
          <w:rFonts w:cs="Times New Roman" w:asciiTheme="majorEastAsia" w:hAnsiTheme="majorEastAsia"/>
          <w:bCs/>
          <w:lang w:val="zh-CN" w:eastAsia="zh-CN"/>
        </w:rPr>
        <w:sectPr>
          <w:pgSz w:w="11906" w:h="16838"/>
          <w:pgMar w:top="1134" w:right="1191" w:bottom="1134" w:left="1191" w:header="851" w:footer="992" w:gutter="0"/>
          <w:pgNumType w:fmt="decimal"/>
          <w:cols w:space="425" w:num="1"/>
          <w:docGrid w:type="linesAndChars" w:linePitch="312" w:charSpace="0"/>
        </w:sectPr>
      </w:pPr>
      <w:r>
        <w:rPr>
          <w:rFonts w:cs="Times New Roman" w:asciiTheme="majorEastAsia" w:hAnsiTheme="majorEastAsia"/>
          <w:bCs/>
          <w:lang w:val="zh-CN" w:eastAsia="zh-CN"/>
        </w:rPr>
        <w:br w:type="page"/>
      </w:r>
    </w:p>
    <w:p>
      <w:pPr>
        <w:pStyle w:val="4"/>
        <w:numPr>
          <w:ilvl w:val="0"/>
          <w:numId w:val="4"/>
        </w:numPr>
      </w:pPr>
      <w:bookmarkStart w:id="53" w:name="_Toc16232345"/>
      <w:bookmarkStart w:id="54" w:name="_Toc27742"/>
      <w:bookmarkStart w:id="55" w:name="_Toc19206"/>
      <w:bookmarkStart w:id="56" w:name="_Toc5822"/>
      <w:bookmarkStart w:id="57" w:name="_Toc11553"/>
      <w:bookmarkStart w:id="58" w:name="_Toc6043"/>
      <w:bookmarkStart w:id="59" w:name="_Toc19302"/>
      <w:bookmarkStart w:id="60" w:name="_Toc80682149"/>
      <w:bookmarkStart w:id="61" w:name="_Toc20041"/>
      <w:bookmarkStart w:id="62" w:name="_Toc29294"/>
      <w:bookmarkStart w:id="63" w:name="_Toc26642"/>
      <w:bookmarkStart w:id="64" w:name="_Toc9740"/>
      <w:r>
        <w:rPr>
          <w:rFonts w:hint="eastAsia"/>
        </w:rPr>
        <w:t>说</w:t>
      </w:r>
      <w:r>
        <w:t xml:space="preserve">  </w:t>
      </w:r>
      <w:r>
        <w:rPr>
          <w:rFonts w:hint="eastAsia"/>
        </w:rPr>
        <w:t>明</w:t>
      </w:r>
      <w:bookmarkEnd w:id="53"/>
      <w:bookmarkEnd w:id="54"/>
      <w:bookmarkEnd w:id="55"/>
      <w:bookmarkEnd w:id="56"/>
      <w:bookmarkEnd w:id="57"/>
      <w:bookmarkEnd w:id="58"/>
      <w:bookmarkEnd w:id="59"/>
      <w:bookmarkEnd w:id="60"/>
      <w:bookmarkEnd w:id="61"/>
      <w:bookmarkEnd w:id="62"/>
      <w:bookmarkEnd w:id="63"/>
      <w:bookmarkEnd w:id="64"/>
    </w:p>
    <w:p>
      <w:pPr>
        <w:numPr>
          <w:ilvl w:val="0"/>
          <w:numId w:val="5"/>
        </w:numPr>
        <w:spacing w:line="360" w:lineRule="auto"/>
        <w:rPr>
          <w:rFonts w:ascii="宋体"/>
          <w:b/>
          <w:sz w:val="24"/>
          <w:szCs w:val="24"/>
        </w:rPr>
      </w:pPr>
      <w:r>
        <w:rPr>
          <w:rFonts w:hint="eastAsia" w:ascii="宋体" w:hAnsi="宋体"/>
          <w:b/>
          <w:sz w:val="24"/>
          <w:szCs w:val="24"/>
        </w:rPr>
        <w:t>适用范围</w:t>
      </w:r>
    </w:p>
    <w:p>
      <w:pPr>
        <w:spacing w:line="360" w:lineRule="auto"/>
        <w:ind w:firstLine="480" w:firstLineChars="200"/>
        <w:rPr>
          <w:rFonts w:ascii="宋体"/>
          <w:sz w:val="24"/>
          <w:szCs w:val="24"/>
        </w:rPr>
      </w:pPr>
      <w:r>
        <w:rPr>
          <w:rFonts w:hint="eastAsia" w:ascii="宋体" w:hAnsi="宋体"/>
          <w:sz w:val="24"/>
          <w:szCs w:val="24"/>
        </w:rPr>
        <w:t>招标文件仅适用于第一章“投标邀请书”中所述项目的货物、工程及服务的采购。</w:t>
      </w:r>
    </w:p>
    <w:p>
      <w:pPr>
        <w:numPr>
          <w:ilvl w:val="0"/>
          <w:numId w:val="5"/>
        </w:numPr>
        <w:spacing w:line="360" w:lineRule="auto"/>
        <w:rPr>
          <w:rFonts w:ascii="宋体"/>
          <w:b/>
          <w:sz w:val="24"/>
          <w:szCs w:val="24"/>
        </w:rPr>
      </w:pPr>
      <w:r>
        <w:rPr>
          <w:rFonts w:hint="eastAsia" w:ascii="宋体" w:hAnsi="宋体"/>
          <w:b/>
          <w:sz w:val="24"/>
          <w:szCs w:val="24"/>
        </w:rPr>
        <w:t>当事人定义</w:t>
      </w:r>
    </w:p>
    <w:p>
      <w:pPr>
        <w:numPr>
          <w:ilvl w:val="0"/>
          <w:numId w:val="6"/>
        </w:numPr>
        <w:spacing w:line="360" w:lineRule="auto"/>
        <w:ind w:left="896" w:hanging="476"/>
        <w:rPr>
          <w:rFonts w:ascii="宋体"/>
          <w:sz w:val="24"/>
          <w:szCs w:val="24"/>
        </w:rPr>
      </w:pPr>
      <w:r>
        <w:rPr>
          <w:rFonts w:hint="eastAsia" w:ascii="宋体" w:hAnsi="宋体"/>
          <w:b/>
          <w:sz w:val="24"/>
          <w:szCs w:val="24"/>
        </w:rPr>
        <w:t>“采购人”是指：</w:t>
      </w:r>
      <w:r>
        <w:rPr>
          <w:rFonts w:hint="eastAsia" w:ascii="宋体" w:hAnsi="宋体"/>
          <w:sz w:val="24"/>
          <w:szCs w:val="24"/>
        </w:rPr>
        <w:t>详见第一章“投标邀请书”。</w:t>
      </w:r>
    </w:p>
    <w:p>
      <w:pPr>
        <w:numPr>
          <w:ilvl w:val="0"/>
          <w:numId w:val="6"/>
        </w:numPr>
        <w:spacing w:line="360" w:lineRule="auto"/>
        <w:ind w:left="896" w:hanging="476"/>
        <w:rPr>
          <w:rFonts w:ascii="宋体"/>
          <w:sz w:val="24"/>
          <w:szCs w:val="24"/>
        </w:rPr>
      </w:pPr>
      <w:r>
        <w:rPr>
          <w:rFonts w:hint="eastAsia" w:ascii="宋体" w:hAnsi="宋体"/>
          <w:b/>
          <w:sz w:val="24"/>
          <w:szCs w:val="24"/>
        </w:rPr>
        <w:t>“监管部门”是指：</w:t>
      </w:r>
      <w:r>
        <w:rPr>
          <w:rFonts w:hint="eastAsia" w:ascii="宋体" w:hAnsi="宋体"/>
          <w:sz w:val="24"/>
          <w:szCs w:val="24"/>
        </w:rPr>
        <w:t>广水市财政局。</w:t>
      </w:r>
    </w:p>
    <w:p>
      <w:pPr>
        <w:numPr>
          <w:ilvl w:val="0"/>
          <w:numId w:val="6"/>
        </w:numPr>
        <w:spacing w:line="360" w:lineRule="auto"/>
        <w:ind w:left="896" w:hanging="476"/>
        <w:rPr>
          <w:rFonts w:ascii="宋体"/>
          <w:sz w:val="24"/>
          <w:szCs w:val="24"/>
        </w:rPr>
      </w:pPr>
      <w:r>
        <w:rPr>
          <w:rFonts w:hint="eastAsia" w:ascii="宋体" w:hAnsi="宋体"/>
          <w:b/>
          <w:sz w:val="24"/>
          <w:szCs w:val="24"/>
        </w:rPr>
        <w:t>“集中采购机构”是指：</w:t>
      </w:r>
      <w:r>
        <w:rPr>
          <w:rFonts w:hint="eastAsia" w:ascii="宋体" w:hAnsi="宋体"/>
          <w:sz w:val="24"/>
          <w:szCs w:val="24"/>
        </w:rPr>
        <w:t>广水市政府采购中心。</w:t>
      </w:r>
    </w:p>
    <w:p>
      <w:pPr>
        <w:numPr>
          <w:ilvl w:val="0"/>
          <w:numId w:val="6"/>
        </w:numPr>
        <w:spacing w:line="360" w:lineRule="auto"/>
        <w:ind w:left="896" w:hanging="476"/>
        <w:rPr>
          <w:rFonts w:ascii="宋体"/>
          <w:sz w:val="24"/>
          <w:szCs w:val="24"/>
        </w:rPr>
      </w:pPr>
      <w:r>
        <w:rPr>
          <w:rFonts w:hint="eastAsia" w:ascii="宋体" w:hAnsi="宋体"/>
          <w:b/>
          <w:sz w:val="24"/>
          <w:szCs w:val="24"/>
        </w:rPr>
        <w:t>“投标人”是指：</w:t>
      </w:r>
      <w:r>
        <w:rPr>
          <w:rFonts w:hint="eastAsia" w:ascii="宋体" w:hAnsi="宋体" w:cs="Helvetica"/>
          <w:kern w:val="0"/>
          <w:sz w:val="24"/>
          <w:szCs w:val="24"/>
        </w:rPr>
        <w:t>响应招标、参加投标竞争的法人、其他组织或者自然人。</w:t>
      </w:r>
    </w:p>
    <w:p>
      <w:pPr>
        <w:numPr>
          <w:ilvl w:val="0"/>
          <w:numId w:val="6"/>
        </w:numPr>
        <w:spacing w:line="360" w:lineRule="auto"/>
        <w:ind w:left="896" w:hanging="476"/>
        <w:rPr>
          <w:rFonts w:ascii="宋体" w:cs="Helvetica"/>
          <w:kern w:val="0"/>
          <w:sz w:val="24"/>
          <w:szCs w:val="24"/>
        </w:rPr>
      </w:pPr>
      <w:r>
        <w:rPr>
          <w:rFonts w:hint="eastAsia" w:ascii="宋体" w:hAnsi="宋体"/>
          <w:b/>
          <w:sz w:val="24"/>
          <w:szCs w:val="24"/>
        </w:rPr>
        <w:t>“合格的投标人”是指：</w:t>
      </w:r>
      <w:r>
        <w:rPr>
          <w:rFonts w:hint="eastAsia" w:ascii="宋体" w:hAnsi="宋体" w:cs="Helvetica"/>
          <w:kern w:val="0"/>
          <w:sz w:val="24"/>
          <w:szCs w:val="24"/>
        </w:rPr>
        <w:t>资格审查和符合性审查合格的投标人。</w:t>
      </w:r>
    </w:p>
    <w:p>
      <w:pPr>
        <w:numPr>
          <w:ilvl w:val="0"/>
          <w:numId w:val="6"/>
        </w:numPr>
        <w:spacing w:line="360" w:lineRule="auto"/>
        <w:ind w:left="896" w:hanging="476"/>
        <w:rPr>
          <w:rFonts w:ascii="宋体"/>
          <w:sz w:val="24"/>
          <w:szCs w:val="24"/>
        </w:rPr>
      </w:pPr>
      <w:r>
        <w:rPr>
          <w:rFonts w:hint="eastAsia" w:ascii="宋体" w:hAnsi="宋体"/>
          <w:b/>
          <w:sz w:val="24"/>
          <w:szCs w:val="24"/>
        </w:rPr>
        <w:t>“中标人”是指：</w:t>
      </w:r>
      <w:r>
        <w:rPr>
          <w:rFonts w:hint="eastAsia" w:ascii="宋体" w:hAnsi="宋体"/>
          <w:sz w:val="24"/>
          <w:szCs w:val="24"/>
        </w:rPr>
        <w:t>经评标委员会评审，授予合同的投标人。</w:t>
      </w:r>
    </w:p>
    <w:p>
      <w:pPr>
        <w:numPr>
          <w:ilvl w:val="0"/>
          <w:numId w:val="5"/>
        </w:numPr>
        <w:spacing w:line="360" w:lineRule="auto"/>
        <w:rPr>
          <w:rFonts w:ascii="宋体"/>
          <w:b/>
          <w:sz w:val="24"/>
          <w:szCs w:val="24"/>
        </w:rPr>
      </w:pPr>
      <w:r>
        <w:rPr>
          <w:rFonts w:hint="eastAsia" w:ascii="宋体" w:hAnsi="宋体"/>
          <w:b/>
          <w:sz w:val="24"/>
          <w:szCs w:val="24"/>
        </w:rPr>
        <w:t>项目属性及定义</w:t>
      </w:r>
    </w:p>
    <w:p>
      <w:pPr>
        <w:numPr>
          <w:ilvl w:val="0"/>
          <w:numId w:val="7"/>
        </w:numPr>
        <w:spacing w:line="360" w:lineRule="auto"/>
        <w:ind w:left="896" w:hanging="476"/>
        <w:rPr>
          <w:rFonts w:ascii="宋体"/>
          <w:sz w:val="24"/>
          <w:szCs w:val="24"/>
        </w:rPr>
      </w:pPr>
      <w:r>
        <w:rPr>
          <w:rFonts w:hint="eastAsia" w:ascii="宋体" w:hAnsi="宋体"/>
          <w:b/>
          <w:sz w:val="24"/>
          <w:szCs w:val="24"/>
        </w:rPr>
        <w:t>“货物”是指</w:t>
      </w:r>
      <w:r>
        <w:rPr>
          <w:rFonts w:hint="eastAsia" w:ascii="宋体" w:hAnsi="宋体"/>
          <w:sz w:val="24"/>
          <w:szCs w:val="24"/>
        </w:rPr>
        <w:t>：各种形态和种类的物品，包括原材料、燃料、设备、产品等。</w:t>
      </w:r>
    </w:p>
    <w:p>
      <w:pPr>
        <w:numPr>
          <w:ilvl w:val="0"/>
          <w:numId w:val="7"/>
        </w:numPr>
        <w:spacing w:line="360" w:lineRule="auto"/>
        <w:ind w:left="896" w:hanging="476"/>
        <w:rPr>
          <w:rFonts w:ascii="宋体" w:hAnsi="宋体"/>
          <w:bCs/>
          <w:sz w:val="24"/>
          <w:szCs w:val="24"/>
        </w:rPr>
      </w:pPr>
      <w:r>
        <w:rPr>
          <w:rFonts w:hint="eastAsia" w:ascii="宋体" w:hAnsi="宋体"/>
          <w:bCs/>
          <w:sz w:val="24"/>
          <w:szCs w:val="24"/>
        </w:rPr>
        <w:t>招标文件中没有提及招标货物来源地的，根据《政府采购法》及相关规定均应是本国货物，另有规定的除外。</w:t>
      </w:r>
    </w:p>
    <w:p>
      <w:pPr>
        <w:numPr>
          <w:ilvl w:val="0"/>
          <w:numId w:val="7"/>
        </w:numPr>
        <w:spacing w:line="360" w:lineRule="auto"/>
        <w:ind w:left="896" w:hanging="476"/>
        <w:rPr>
          <w:rFonts w:ascii="宋体"/>
          <w:sz w:val="24"/>
          <w:szCs w:val="24"/>
        </w:rPr>
      </w:pPr>
      <w:r>
        <w:rPr>
          <w:rFonts w:hint="eastAsia" w:ascii="宋体" w:hAnsi="宋体"/>
          <w:bCs/>
          <w:sz w:val="24"/>
          <w:szCs w:val="24"/>
        </w:rPr>
        <w:t>投标</w:t>
      </w:r>
      <w:r>
        <w:rPr>
          <w:rFonts w:hint="eastAsia" w:ascii="宋体" w:hAnsi="宋体"/>
          <w:sz w:val="24"/>
          <w:szCs w:val="24"/>
        </w:rPr>
        <w:t>的货物应是合法生产的符合国家有关标准要求的货物，并能够按照合同规定的品牌、产地、质量、价格和有效期等履约。</w:t>
      </w:r>
    </w:p>
    <w:p>
      <w:pPr>
        <w:numPr>
          <w:ilvl w:val="0"/>
          <w:numId w:val="7"/>
        </w:numPr>
        <w:spacing w:line="360" w:lineRule="auto"/>
        <w:ind w:left="896" w:hanging="476"/>
        <w:rPr>
          <w:rFonts w:ascii="宋体"/>
          <w:b/>
          <w:sz w:val="24"/>
          <w:szCs w:val="24"/>
        </w:rPr>
      </w:pPr>
      <w:r>
        <w:rPr>
          <w:rFonts w:hint="eastAsia" w:ascii="宋体" w:hAnsi="宋体"/>
          <w:b/>
          <w:sz w:val="24"/>
          <w:szCs w:val="24"/>
        </w:rPr>
        <w:t>“工程”是</w:t>
      </w:r>
      <w:r>
        <w:rPr>
          <w:rFonts w:hint="eastAsia" w:ascii="宋体" w:hAnsi="宋体"/>
          <w:b/>
          <w:color w:val="000000"/>
          <w:sz w:val="24"/>
          <w:szCs w:val="24"/>
        </w:rPr>
        <w:t>指</w:t>
      </w:r>
      <w:r>
        <w:rPr>
          <w:rFonts w:hint="eastAsia" w:ascii="宋体" w:hAnsi="宋体"/>
          <w:color w:val="000000"/>
          <w:sz w:val="24"/>
          <w:szCs w:val="24"/>
        </w:rPr>
        <w:t>：计算机网络系统工程。</w:t>
      </w:r>
    </w:p>
    <w:p>
      <w:pPr>
        <w:numPr>
          <w:ilvl w:val="0"/>
          <w:numId w:val="7"/>
        </w:numPr>
        <w:spacing w:line="360" w:lineRule="auto"/>
        <w:ind w:left="896" w:hanging="476"/>
        <w:rPr>
          <w:rFonts w:ascii="宋体"/>
          <w:sz w:val="24"/>
          <w:szCs w:val="24"/>
        </w:rPr>
      </w:pPr>
      <w:r>
        <w:rPr>
          <w:rFonts w:hint="eastAsia" w:ascii="宋体" w:hAnsi="宋体"/>
          <w:b/>
          <w:sz w:val="24"/>
          <w:szCs w:val="24"/>
        </w:rPr>
        <w:t>“服务”是指：</w:t>
      </w:r>
      <w:r>
        <w:rPr>
          <w:rFonts w:hint="eastAsia" w:ascii="宋体" w:hAnsi="宋体"/>
          <w:sz w:val="24"/>
          <w:szCs w:val="24"/>
        </w:rPr>
        <w:t>除货物和工程（含本章</w:t>
      </w:r>
      <w:r>
        <w:rPr>
          <w:rFonts w:ascii="宋体" w:hAnsi="宋体"/>
          <w:sz w:val="24"/>
          <w:szCs w:val="24"/>
        </w:rPr>
        <w:t>3.2</w:t>
      </w:r>
      <w:r>
        <w:rPr>
          <w:rFonts w:hint="eastAsia" w:ascii="宋体" w:hAnsi="宋体"/>
          <w:sz w:val="24"/>
          <w:szCs w:val="24"/>
        </w:rPr>
        <w:t>条所述工程及《招标投标法》所定义工程）以外的其他政府采购对象</w:t>
      </w:r>
      <w:r>
        <w:rPr>
          <w:rFonts w:ascii="宋体"/>
          <w:sz w:val="24"/>
          <w:szCs w:val="24"/>
        </w:rPr>
        <w:t>,</w:t>
      </w:r>
      <w:r>
        <w:rPr>
          <w:rFonts w:hint="eastAsia" w:ascii="宋体" w:hAnsi="宋体"/>
          <w:sz w:val="24"/>
          <w:szCs w:val="24"/>
        </w:rPr>
        <w:t>包括政府自身需要的服务和政府向社会公众提供的公共服务。</w:t>
      </w:r>
    </w:p>
    <w:p>
      <w:pPr>
        <w:numPr>
          <w:ilvl w:val="0"/>
          <w:numId w:val="7"/>
        </w:numPr>
        <w:spacing w:line="360" w:lineRule="auto"/>
        <w:ind w:left="896" w:hanging="476"/>
        <w:rPr>
          <w:rFonts w:ascii="宋体"/>
          <w:sz w:val="24"/>
          <w:szCs w:val="24"/>
        </w:rPr>
      </w:pPr>
      <w:r>
        <w:rPr>
          <w:rFonts w:hint="eastAsia" w:ascii="宋体" w:hAnsi="宋体"/>
          <w:sz w:val="24"/>
          <w:szCs w:val="24"/>
        </w:rPr>
        <w:t>采购人应当按照财政部制定的《政府采购品目分类目录》确定采购项目属性。按照《政府采购品目分类目录》无法确定的，按照有利于采购项目实施的原则确定。</w:t>
      </w:r>
    </w:p>
    <w:p>
      <w:pPr>
        <w:numPr>
          <w:ilvl w:val="0"/>
          <w:numId w:val="5"/>
        </w:numPr>
        <w:spacing w:line="360" w:lineRule="auto"/>
        <w:rPr>
          <w:rFonts w:ascii="宋体"/>
          <w:b/>
          <w:sz w:val="24"/>
          <w:szCs w:val="24"/>
        </w:rPr>
      </w:pPr>
      <w:r>
        <w:rPr>
          <w:rFonts w:hint="eastAsia" w:ascii="宋体" w:hAnsi="宋体"/>
          <w:b/>
          <w:sz w:val="24"/>
          <w:szCs w:val="24"/>
        </w:rPr>
        <w:t>投标费用</w:t>
      </w:r>
    </w:p>
    <w:p>
      <w:pPr>
        <w:numPr>
          <w:ilvl w:val="0"/>
          <w:numId w:val="8"/>
        </w:numPr>
        <w:spacing w:line="360" w:lineRule="auto"/>
        <w:ind w:left="896" w:hanging="476"/>
        <w:rPr>
          <w:rFonts w:ascii="宋体"/>
          <w:sz w:val="24"/>
          <w:szCs w:val="24"/>
        </w:rPr>
      </w:pPr>
      <w:r>
        <w:rPr>
          <w:rFonts w:hint="eastAsia" w:ascii="宋体" w:hAnsi="宋体"/>
          <w:sz w:val="24"/>
          <w:szCs w:val="24"/>
        </w:rPr>
        <w:t>投标人应承担所有与准备和参加投标有关的费用。不论投标的结果如何，集中采购机构和采购人均无义务和责任承担这些费用。</w:t>
      </w:r>
    </w:p>
    <w:p>
      <w:pPr>
        <w:numPr>
          <w:ilvl w:val="0"/>
          <w:numId w:val="8"/>
        </w:numPr>
        <w:spacing w:line="360" w:lineRule="auto"/>
        <w:ind w:left="896" w:hanging="476"/>
        <w:rPr>
          <w:rFonts w:ascii="宋体"/>
          <w:sz w:val="24"/>
          <w:szCs w:val="24"/>
        </w:rPr>
      </w:pPr>
      <w:r>
        <w:rPr>
          <w:rFonts w:hint="eastAsia" w:ascii="宋体" w:hAnsi="宋体"/>
          <w:sz w:val="24"/>
          <w:szCs w:val="24"/>
        </w:rPr>
        <w:t>根据《政府采购法》和有关规定，集中采购机构不向中标人收取中标服务费。</w:t>
      </w:r>
      <w:r>
        <w:rPr>
          <w:rFonts w:ascii="宋体" w:hAnsi="宋体"/>
          <w:sz w:val="24"/>
          <w:szCs w:val="24"/>
        </w:rPr>
        <w:t xml:space="preserve"> </w:t>
      </w:r>
    </w:p>
    <w:p>
      <w:pPr>
        <w:spacing w:line="360" w:lineRule="auto"/>
        <w:rPr>
          <w:rFonts w:ascii="宋体"/>
          <w:sz w:val="24"/>
          <w:szCs w:val="24"/>
        </w:rPr>
      </w:pPr>
    </w:p>
    <w:p>
      <w:pPr>
        <w:pStyle w:val="4"/>
        <w:numPr>
          <w:ilvl w:val="0"/>
          <w:numId w:val="4"/>
        </w:numPr>
      </w:pPr>
      <w:bookmarkStart w:id="65" w:name="_Toc16386"/>
      <w:bookmarkStart w:id="66" w:name="_Toc20534"/>
      <w:bookmarkStart w:id="67" w:name="_Toc21802"/>
      <w:bookmarkStart w:id="68" w:name="_Toc4285"/>
      <w:bookmarkStart w:id="69" w:name="_Toc5622"/>
      <w:bookmarkStart w:id="70" w:name="_Toc18165"/>
      <w:bookmarkStart w:id="71" w:name="_Toc18808"/>
      <w:bookmarkStart w:id="72" w:name="_Toc32014"/>
      <w:bookmarkStart w:id="73" w:name="_Toc511889418"/>
      <w:bookmarkStart w:id="74" w:name="_Toc16232346"/>
      <w:bookmarkStart w:id="75" w:name="_Toc80682150"/>
      <w:bookmarkStart w:id="76" w:name="_Toc511894496"/>
      <w:bookmarkStart w:id="77" w:name="_Toc24342"/>
      <w:bookmarkStart w:id="78" w:name="_Toc3742"/>
      <w:r>
        <w:rPr>
          <w:rFonts w:hint="eastAsia"/>
        </w:rPr>
        <w:t>招标文件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numPr>
          <w:ilvl w:val="0"/>
          <w:numId w:val="5"/>
        </w:numPr>
        <w:spacing w:line="360" w:lineRule="auto"/>
        <w:rPr>
          <w:rFonts w:ascii="宋体"/>
          <w:b/>
          <w:sz w:val="24"/>
          <w:szCs w:val="20"/>
        </w:rPr>
      </w:pPr>
      <w:r>
        <w:rPr>
          <w:rFonts w:hint="eastAsia" w:ascii="宋体" w:hAnsi="宋体"/>
          <w:b/>
          <w:sz w:val="24"/>
          <w:szCs w:val="20"/>
        </w:rPr>
        <w:t>招标文件的构成</w:t>
      </w:r>
    </w:p>
    <w:p>
      <w:pPr>
        <w:tabs>
          <w:tab w:val="left" w:pos="476"/>
        </w:tabs>
        <w:spacing w:line="360" w:lineRule="auto"/>
        <w:ind w:left="476"/>
        <w:rPr>
          <w:rFonts w:ascii="宋体"/>
          <w:sz w:val="24"/>
          <w:szCs w:val="20"/>
        </w:rPr>
      </w:pPr>
      <w:r>
        <w:rPr>
          <w:rFonts w:hint="eastAsia" w:ascii="宋体" w:hAnsi="宋体"/>
          <w:sz w:val="24"/>
          <w:szCs w:val="20"/>
        </w:rPr>
        <w:t>第一章</w:t>
      </w:r>
      <w:r>
        <w:rPr>
          <w:rFonts w:ascii="宋体" w:hAnsi="宋体"/>
          <w:sz w:val="24"/>
          <w:szCs w:val="20"/>
        </w:rPr>
        <w:t xml:space="preserve"> </w:t>
      </w:r>
      <w:r>
        <w:rPr>
          <w:rFonts w:hint="eastAsia" w:ascii="宋体" w:hAnsi="宋体"/>
          <w:sz w:val="24"/>
          <w:szCs w:val="20"/>
        </w:rPr>
        <w:t>投标邀请书</w:t>
      </w:r>
    </w:p>
    <w:p>
      <w:pPr>
        <w:tabs>
          <w:tab w:val="left" w:pos="476"/>
        </w:tabs>
        <w:spacing w:line="360" w:lineRule="auto"/>
        <w:ind w:left="476"/>
        <w:rPr>
          <w:rFonts w:ascii="宋体"/>
          <w:sz w:val="24"/>
          <w:szCs w:val="20"/>
        </w:rPr>
      </w:pPr>
      <w:r>
        <w:rPr>
          <w:rFonts w:hint="eastAsia" w:ascii="宋体" w:hAnsi="宋体"/>
          <w:sz w:val="24"/>
          <w:szCs w:val="20"/>
        </w:rPr>
        <w:t>第二章</w:t>
      </w:r>
      <w:r>
        <w:rPr>
          <w:rFonts w:ascii="宋体" w:hAnsi="宋体"/>
          <w:sz w:val="24"/>
          <w:szCs w:val="20"/>
        </w:rPr>
        <w:t xml:space="preserve"> </w:t>
      </w:r>
      <w:r>
        <w:rPr>
          <w:rFonts w:hint="eastAsia" w:ascii="宋体" w:hAnsi="宋体"/>
          <w:sz w:val="24"/>
          <w:szCs w:val="20"/>
        </w:rPr>
        <w:t>投标人须知</w:t>
      </w:r>
    </w:p>
    <w:p>
      <w:pPr>
        <w:tabs>
          <w:tab w:val="left" w:pos="476"/>
        </w:tabs>
        <w:spacing w:line="360" w:lineRule="auto"/>
        <w:ind w:left="476"/>
        <w:rPr>
          <w:rFonts w:ascii="宋体"/>
          <w:sz w:val="24"/>
          <w:szCs w:val="20"/>
        </w:rPr>
      </w:pPr>
      <w:r>
        <w:rPr>
          <w:rFonts w:hint="eastAsia" w:ascii="宋体" w:hAnsi="宋体"/>
          <w:sz w:val="24"/>
          <w:szCs w:val="20"/>
        </w:rPr>
        <w:t>第三章</w:t>
      </w:r>
      <w:r>
        <w:rPr>
          <w:rFonts w:ascii="宋体" w:hAnsi="宋体"/>
          <w:sz w:val="24"/>
          <w:szCs w:val="20"/>
        </w:rPr>
        <w:t xml:space="preserve"> </w:t>
      </w:r>
      <w:r>
        <w:rPr>
          <w:rFonts w:hint="eastAsia" w:ascii="宋体" w:hAnsi="宋体"/>
          <w:sz w:val="24"/>
          <w:szCs w:val="20"/>
        </w:rPr>
        <w:t>项目技术、服务及商务要求</w:t>
      </w:r>
    </w:p>
    <w:p>
      <w:pPr>
        <w:tabs>
          <w:tab w:val="left" w:pos="476"/>
        </w:tabs>
        <w:spacing w:line="360" w:lineRule="auto"/>
        <w:ind w:left="476"/>
        <w:rPr>
          <w:rFonts w:ascii="宋体"/>
          <w:sz w:val="24"/>
          <w:szCs w:val="20"/>
        </w:rPr>
      </w:pPr>
      <w:r>
        <w:rPr>
          <w:rFonts w:hint="eastAsia" w:ascii="宋体" w:hAnsi="宋体"/>
          <w:sz w:val="24"/>
          <w:szCs w:val="20"/>
        </w:rPr>
        <w:t>第四章</w:t>
      </w:r>
      <w:r>
        <w:rPr>
          <w:rFonts w:ascii="宋体" w:hAnsi="宋体"/>
          <w:sz w:val="24"/>
          <w:szCs w:val="20"/>
        </w:rPr>
        <w:t xml:space="preserve"> </w:t>
      </w:r>
      <w:r>
        <w:rPr>
          <w:rFonts w:hint="eastAsia" w:ascii="宋体" w:hAnsi="宋体"/>
          <w:sz w:val="24"/>
          <w:szCs w:val="20"/>
        </w:rPr>
        <w:t>资格审查方法及标准</w:t>
      </w:r>
    </w:p>
    <w:p>
      <w:pPr>
        <w:tabs>
          <w:tab w:val="left" w:pos="476"/>
        </w:tabs>
        <w:spacing w:line="360" w:lineRule="auto"/>
        <w:ind w:left="476"/>
        <w:rPr>
          <w:rFonts w:ascii="宋体"/>
          <w:sz w:val="24"/>
          <w:szCs w:val="20"/>
        </w:rPr>
      </w:pPr>
      <w:r>
        <w:rPr>
          <w:rFonts w:hint="eastAsia" w:ascii="宋体" w:hAnsi="宋体"/>
          <w:sz w:val="24"/>
          <w:szCs w:val="20"/>
        </w:rPr>
        <w:t>第五章</w:t>
      </w:r>
      <w:r>
        <w:rPr>
          <w:rFonts w:ascii="宋体" w:hAnsi="宋体"/>
          <w:sz w:val="24"/>
          <w:szCs w:val="20"/>
        </w:rPr>
        <w:t xml:space="preserve"> </w:t>
      </w:r>
      <w:r>
        <w:rPr>
          <w:rFonts w:hint="eastAsia" w:ascii="宋体" w:hAnsi="宋体"/>
          <w:sz w:val="24"/>
          <w:szCs w:val="20"/>
        </w:rPr>
        <w:t>评标方法、程序及标准</w:t>
      </w:r>
    </w:p>
    <w:p>
      <w:pPr>
        <w:tabs>
          <w:tab w:val="left" w:pos="476"/>
        </w:tabs>
        <w:spacing w:line="360" w:lineRule="auto"/>
        <w:ind w:left="476"/>
        <w:rPr>
          <w:rFonts w:ascii="宋体"/>
          <w:sz w:val="24"/>
          <w:szCs w:val="20"/>
        </w:rPr>
      </w:pPr>
      <w:r>
        <w:rPr>
          <w:rFonts w:hint="eastAsia" w:ascii="宋体" w:hAnsi="宋体"/>
          <w:sz w:val="24"/>
          <w:szCs w:val="20"/>
        </w:rPr>
        <w:t>第六章</w:t>
      </w:r>
      <w:r>
        <w:rPr>
          <w:rFonts w:ascii="宋体" w:hAnsi="宋体"/>
          <w:sz w:val="24"/>
          <w:szCs w:val="20"/>
        </w:rPr>
        <w:t xml:space="preserve"> </w:t>
      </w:r>
      <w:r>
        <w:rPr>
          <w:rFonts w:hint="eastAsia" w:ascii="宋体" w:hAnsi="宋体"/>
          <w:sz w:val="24"/>
          <w:szCs w:val="20"/>
        </w:rPr>
        <w:t>合同书格式（参考）</w:t>
      </w:r>
    </w:p>
    <w:p>
      <w:pPr>
        <w:tabs>
          <w:tab w:val="left" w:pos="476"/>
        </w:tabs>
        <w:spacing w:line="360" w:lineRule="auto"/>
        <w:ind w:left="476"/>
        <w:rPr>
          <w:rFonts w:ascii="宋体"/>
          <w:sz w:val="24"/>
          <w:szCs w:val="20"/>
        </w:rPr>
      </w:pPr>
      <w:r>
        <w:rPr>
          <w:rFonts w:hint="eastAsia" w:ascii="宋体" w:hAnsi="宋体"/>
          <w:sz w:val="24"/>
          <w:szCs w:val="20"/>
        </w:rPr>
        <w:t>第七章</w:t>
      </w:r>
      <w:r>
        <w:rPr>
          <w:rFonts w:ascii="宋体" w:hAnsi="宋体"/>
          <w:sz w:val="24"/>
          <w:szCs w:val="20"/>
        </w:rPr>
        <w:t xml:space="preserve"> </w:t>
      </w:r>
      <w:r>
        <w:rPr>
          <w:rFonts w:hint="eastAsia" w:ascii="宋体" w:hAnsi="宋体"/>
          <w:sz w:val="24"/>
          <w:szCs w:val="20"/>
        </w:rPr>
        <w:t>投标文件格式（参考）</w:t>
      </w:r>
    </w:p>
    <w:p>
      <w:pPr>
        <w:tabs>
          <w:tab w:val="left" w:pos="476"/>
        </w:tabs>
        <w:spacing w:line="360" w:lineRule="auto"/>
        <w:ind w:left="476"/>
        <w:rPr>
          <w:rFonts w:ascii="宋体"/>
          <w:sz w:val="24"/>
          <w:szCs w:val="20"/>
        </w:rPr>
      </w:pPr>
      <w:r>
        <w:rPr>
          <w:rFonts w:hint="eastAsia" w:ascii="宋体" w:hAnsi="宋体"/>
          <w:sz w:val="24"/>
          <w:szCs w:val="20"/>
        </w:rPr>
        <w:t>其</w:t>
      </w:r>
      <w:r>
        <w:rPr>
          <w:rFonts w:ascii="宋体" w:hAnsi="宋体"/>
          <w:sz w:val="24"/>
          <w:szCs w:val="20"/>
        </w:rPr>
        <w:t xml:space="preserve">  </w:t>
      </w:r>
      <w:r>
        <w:rPr>
          <w:rFonts w:hint="eastAsia" w:ascii="宋体" w:hAnsi="宋体"/>
          <w:sz w:val="24"/>
          <w:szCs w:val="20"/>
        </w:rPr>
        <w:t>他</w:t>
      </w:r>
      <w:r>
        <w:rPr>
          <w:rFonts w:ascii="宋体" w:hAnsi="宋体"/>
          <w:sz w:val="24"/>
          <w:szCs w:val="20"/>
        </w:rPr>
        <w:t xml:space="preserve"> </w:t>
      </w:r>
      <w:r>
        <w:rPr>
          <w:rFonts w:hint="eastAsia" w:ascii="宋体" w:hAnsi="宋体"/>
          <w:sz w:val="24"/>
          <w:szCs w:val="20"/>
        </w:rPr>
        <w:t>在招标过程中由集中采购机构发出的修正和补充文件等</w:t>
      </w:r>
    </w:p>
    <w:p>
      <w:pPr>
        <w:numPr>
          <w:ilvl w:val="0"/>
          <w:numId w:val="5"/>
        </w:numPr>
        <w:spacing w:line="360" w:lineRule="auto"/>
        <w:rPr>
          <w:rFonts w:ascii="宋体"/>
          <w:b/>
          <w:sz w:val="24"/>
          <w:szCs w:val="20"/>
        </w:rPr>
      </w:pPr>
      <w:r>
        <w:rPr>
          <w:rFonts w:hint="eastAsia" w:ascii="宋体" w:hAnsi="宋体"/>
          <w:b/>
          <w:sz w:val="24"/>
          <w:szCs w:val="20"/>
        </w:rPr>
        <w:t>招标文件疑问的提交</w:t>
      </w:r>
    </w:p>
    <w:p>
      <w:pPr>
        <w:numPr>
          <w:ilvl w:val="0"/>
          <w:numId w:val="9"/>
        </w:numPr>
        <w:spacing w:line="360" w:lineRule="auto"/>
        <w:ind w:left="856" w:hanging="436"/>
        <w:rPr>
          <w:rFonts w:ascii="宋体"/>
          <w:sz w:val="24"/>
          <w:szCs w:val="20"/>
        </w:rPr>
      </w:pPr>
      <w:r>
        <w:rPr>
          <w:rFonts w:hint="eastAsia" w:ascii="宋体" w:hAnsi="宋体"/>
          <w:sz w:val="24"/>
          <w:szCs w:val="20"/>
        </w:rPr>
        <w:t>潜在投标人对招标文件有疑问的，可以向集中采购机构提出询问，或在</w:t>
      </w:r>
      <w:r>
        <w:rPr>
          <w:rFonts w:ascii="宋体" w:hAnsi="宋体"/>
          <w:sz w:val="24"/>
          <w:szCs w:val="20"/>
        </w:rPr>
        <w:t>6.2</w:t>
      </w:r>
      <w:r>
        <w:rPr>
          <w:rFonts w:hint="eastAsia" w:ascii="宋体" w:hAnsi="宋体"/>
          <w:sz w:val="24"/>
          <w:szCs w:val="20"/>
        </w:rPr>
        <w:t>规定的时间前以书面的形式向集中采购机构提交疑问函。</w:t>
      </w:r>
    </w:p>
    <w:p>
      <w:pPr>
        <w:numPr>
          <w:ilvl w:val="0"/>
          <w:numId w:val="9"/>
        </w:numPr>
        <w:spacing w:line="360" w:lineRule="auto"/>
        <w:ind w:left="856" w:hanging="436"/>
        <w:rPr>
          <w:rFonts w:ascii="宋体"/>
          <w:sz w:val="24"/>
          <w:szCs w:val="20"/>
        </w:rPr>
      </w:pPr>
      <w:r>
        <w:rPr>
          <w:rFonts w:hint="eastAsia" w:ascii="宋体" w:hAnsi="宋体"/>
          <w:sz w:val="24"/>
          <w:szCs w:val="20"/>
        </w:rPr>
        <w:t>潜在投标人在项目招标公告期限届满之日起</w:t>
      </w:r>
      <w:r>
        <w:rPr>
          <w:rFonts w:ascii="宋体" w:hAnsi="宋体"/>
          <w:sz w:val="24"/>
          <w:szCs w:val="20"/>
        </w:rPr>
        <w:t>7</w:t>
      </w:r>
      <w:r>
        <w:rPr>
          <w:rFonts w:hint="eastAsia" w:ascii="宋体" w:hAnsi="宋体"/>
          <w:sz w:val="24"/>
          <w:szCs w:val="20"/>
        </w:rPr>
        <w:t>个工作日内未对招标文件提出疑问的，集中采购机构将视其认同招标文件，在规定的时间后就招标文件内容提出的疑问将不予受理。</w:t>
      </w:r>
    </w:p>
    <w:p>
      <w:pPr>
        <w:numPr>
          <w:ilvl w:val="0"/>
          <w:numId w:val="9"/>
        </w:numPr>
        <w:spacing w:line="360" w:lineRule="auto"/>
        <w:ind w:left="856" w:hanging="436"/>
        <w:rPr>
          <w:rFonts w:ascii="宋体"/>
          <w:sz w:val="24"/>
          <w:szCs w:val="20"/>
        </w:rPr>
      </w:pPr>
      <w:r>
        <w:rPr>
          <w:rFonts w:hint="eastAsia" w:ascii="宋体" w:hAnsi="宋体"/>
          <w:sz w:val="24"/>
          <w:szCs w:val="20"/>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b/>
          <w:sz w:val="24"/>
          <w:szCs w:val="20"/>
        </w:rPr>
      </w:pPr>
      <w:r>
        <w:rPr>
          <w:rFonts w:hint="eastAsia" w:ascii="宋体" w:hAnsi="宋体"/>
          <w:b/>
          <w:sz w:val="24"/>
          <w:szCs w:val="20"/>
        </w:rPr>
        <w:t>招标文件的澄清、修改</w:t>
      </w:r>
    </w:p>
    <w:p>
      <w:pPr>
        <w:numPr>
          <w:ilvl w:val="0"/>
          <w:numId w:val="10"/>
        </w:numPr>
        <w:spacing w:line="360" w:lineRule="auto"/>
        <w:ind w:left="896" w:hanging="476"/>
        <w:rPr>
          <w:rFonts w:ascii="Helvetica" w:hAnsi="Helvetica" w:cs="Helvetica"/>
          <w:kern w:val="0"/>
          <w:sz w:val="24"/>
          <w:szCs w:val="24"/>
        </w:rPr>
      </w:pPr>
      <w:r>
        <w:rPr>
          <w:rFonts w:hint="eastAsia" w:ascii="宋体" w:hAnsi="宋体"/>
          <w:sz w:val="24"/>
          <w:szCs w:val="20"/>
        </w:rPr>
        <w:t>集中采购机构和采购人可以对已发出的招标文件进行必要的澄清或者修改，</w:t>
      </w:r>
      <w:r>
        <w:rPr>
          <w:rFonts w:hint="eastAsia" w:ascii="Helvetica" w:hAnsi="Helvetica" w:cs="Helvetica"/>
          <w:kern w:val="0"/>
          <w:sz w:val="24"/>
          <w:szCs w:val="24"/>
        </w:rPr>
        <w:t>但不得改变采购标的和资格条件</w:t>
      </w:r>
      <w:r>
        <w:rPr>
          <w:rFonts w:hint="eastAsia" w:ascii="宋体" w:hAnsi="宋体"/>
          <w:sz w:val="24"/>
          <w:szCs w:val="20"/>
        </w:rPr>
        <w:t>。</w:t>
      </w:r>
      <w:r>
        <w:rPr>
          <w:rFonts w:hint="eastAsia" w:ascii="Helvetica" w:hAnsi="Helvetica" w:cs="Helvetica"/>
          <w:kern w:val="0"/>
          <w:sz w:val="24"/>
          <w:szCs w:val="24"/>
        </w:rPr>
        <w:t>澄清或者修改将在原公告发布媒体上发布澄清公告。澄清或者修改的内容可能影响投标文件编制的，集中采购机构和采购人将在投标截止时间至少</w:t>
      </w:r>
      <w:r>
        <w:rPr>
          <w:rFonts w:ascii="宋体" w:hAnsi="宋体"/>
          <w:sz w:val="24"/>
          <w:szCs w:val="20"/>
        </w:rPr>
        <w:t>15</w:t>
      </w:r>
      <w:r>
        <w:rPr>
          <w:rFonts w:hint="eastAsia" w:ascii="Helvetica" w:hAnsi="Helvetica" w:cs="Helvetica"/>
          <w:kern w:val="0"/>
          <w:sz w:val="24"/>
          <w:szCs w:val="24"/>
        </w:rPr>
        <w:t>日前，以书面形式通知所有获取招标文件的潜在投标人。</w:t>
      </w:r>
    </w:p>
    <w:p>
      <w:pPr>
        <w:numPr>
          <w:ilvl w:val="0"/>
          <w:numId w:val="10"/>
        </w:numPr>
        <w:spacing w:line="360" w:lineRule="auto"/>
        <w:ind w:left="896" w:hanging="476"/>
        <w:rPr>
          <w:rFonts w:ascii="宋体"/>
          <w:sz w:val="24"/>
          <w:szCs w:val="20"/>
        </w:rPr>
      </w:pPr>
      <w:r>
        <w:rPr>
          <w:rFonts w:hint="eastAsia" w:ascii="宋体" w:hAnsi="宋体"/>
          <w:sz w:val="24"/>
          <w:szCs w:val="20"/>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0"/>
        </w:numPr>
        <w:spacing w:line="360" w:lineRule="auto"/>
        <w:ind w:left="896" w:hanging="476"/>
        <w:rPr>
          <w:rFonts w:ascii="宋体"/>
          <w:sz w:val="24"/>
          <w:szCs w:val="20"/>
        </w:rPr>
      </w:pPr>
      <w:r>
        <w:rPr>
          <w:rFonts w:hint="eastAsia" w:ascii="宋体" w:hAnsi="宋体"/>
          <w:sz w:val="24"/>
          <w:szCs w:val="20"/>
        </w:rPr>
        <w:t>澄清或者修改的内容为招标文件的组成部分，并对潜在投标人具有约束力。潜在投标人在收到上述通知后，应立即以书面（或邮件）形式向集中采购机构确认收悉。</w:t>
      </w:r>
    </w:p>
    <w:p>
      <w:pPr>
        <w:spacing w:line="360" w:lineRule="auto"/>
        <w:rPr>
          <w:rFonts w:ascii="宋体"/>
          <w:sz w:val="24"/>
          <w:szCs w:val="20"/>
        </w:rPr>
      </w:pPr>
    </w:p>
    <w:p>
      <w:pPr>
        <w:numPr>
          <w:ilvl w:val="0"/>
          <w:numId w:val="5"/>
        </w:numPr>
        <w:spacing w:line="360" w:lineRule="auto"/>
        <w:rPr>
          <w:rFonts w:ascii="宋体"/>
          <w:b/>
          <w:sz w:val="24"/>
          <w:szCs w:val="20"/>
        </w:rPr>
      </w:pPr>
      <w:r>
        <w:rPr>
          <w:rFonts w:hint="eastAsia" w:ascii="宋体" w:hAnsi="宋体"/>
          <w:b/>
          <w:sz w:val="24"/>
          <w:szCs w:val="20"/>
        </w:rPr>
        <w:t>现场考察</w:t>
      </w:r>
    </w:p>
    <w:p>
      <w:pPr>
        <w:numPr>
          <w:ilvl w:val="0"/>
          <w:numId w:val="11"/>
        </w:numPr>
        <w:spacing w:line="360" w:lineRule="auto"/>
        <w:ind w:left="896" w:hanging="476"/>
        <w:rPr>
          <w:rFonts w:ascii="宋体"/>
          <w:sz w:val="24"/>
          <w:szCs w:val="20"/>
        </w:rPr>
      </w:pPr>
      <w:r>
        <w:rPr>
          <w:rFonts w:hint="eastAsia" w:ascii="宋体" w:hAnsi="宋体"/>
          <w:sz w:val="24"/>
          <w:szCs w:val="20"/>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896" w:hanging="476"/>
        <w:rPr>
          <w:rFonts w:ascii="宋体"/>
          <w:sz w:val="24"/>
          <w:szCs w:val="20"/>
        </w:rPr>
      </w:pPr>
      <w:r>
        <w:rPr>
          <w:rFonts w:hint="eastAsia" w:ascii="宋体" w:hAnsi="宋体"/>
          <w:sz w:val="24"/>
          <w:szCs w:val="20"/>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896" w:hanging="476"/>
        <w:rPr>
          <w:rFonts w:ascii="宋体"/>
          <w:sz w:val="24"/>
          <w:szCs w:val="20"/>
        </w:rPr>
      </w:pPr>
      <w:r>
        <w:rPr>
          <w:rFonts w:hint="eastAsia" w:ascii="宋体" w:hAnsi="宋体"/>
          <w:sz w:val="24"/>
          <w:szCs w:val="20"/>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pPr>
      <w:bookmarkStart w:id="79" w:name="_Toc10791"/>
      <w:bookmarkStart w:id="80" w:name="_Toc16232347"/>
      <w:bookmarkStart w:id="81" w:name="_Toc80682151"/>
      <w:bookmarkStart w:id="82" w:name="_Toc26412"/>
      <w:bookmarkStart w:id="83" w:name="_Toc26772"/>
      <w:bookmarkStart w:id="84" w:name="_Toc4675"/>
      <w:bookmarkStart w:id="85" w:name="_Toc17018"/>
      <w:bookmarkStart w:id="86" w:name="_Toc10465"/>
      <w:bookmarkStart w:id="87" w:name="_Toc511889419"/>
      <w:bookmarkStart w:id="88" w:name="_Toc511894497"/>
      <w:bookmarkStart w:id="89" w:name="_Toc32650"/>
      <w:bookmarkStart w:id="90" w:name="_Toc19616"/>
      <w:bookmarkStart w:id="91" w:name="_Toc11084"/>
      <w:bookmarkStart w:id="92" w:name="_Toc6125"/>
      <w:r>
        <w:rPr>
          <w:rFonts w:hint="eastAsia"/>
        </w:rPr>
        <w:t>投标文件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numPr>
          <w:ilvl w:val="0"/>
          <w:numId w:val="5"/>
        </w:numPr>
        <w:spacing w:line="360" w:lineRule="auto"/>
        <w:rPr>
          <w:rFonts w:ascii="宋体"/>
          <w:b/>
          <w:sz w:val="24"/>
          <w:szCs w:val="24"/>
        </w:rPr>
      </w:pPr>
      <w:r>
        <w:rPr>
          <w:rFonts w:hint="eastAsia" w:ascii="宋体" w:hAnsi="宋体"/>
          <w:b/>
          <w:sz w:val="24"/>
          <w:szCs w:val="24"/>
        </w:rPr>
        <w:t>投标的语言</w:t>
      </w:r>
    </w:p>
    <w:p>
      <w:pPr>
        <w:spacing w:line="360" w:lineRule="auto"/>
        <w:ind w:firstLine="480" w:firstLineChars="200"/>
        <w:rPr>
          <w:rFonts w:ascii="宋体"/>
          <w:sz w:val="24"/>
          <w:szCs w:val="24"/>
        </w:rPr>
      </w:pPr>
      <w:r>
        <w:rPr>
          <w:rFonts w:hint="eastAsia" w:ascii="宋体" w:hAnsi="宋体"/>
          <w:sz w:val="24"/>
          <w:szCs w:val="24"/>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b/>
          <w:sz w:val="24"/>
          <w:szCs w:val="24"/>
        </w:rPr>
      </w:pPr>
      <w:r>
        <w:rPr>
          <w:rFonts w:hint="eastAsia" w:ascii="宋体" w:hAnsi="宋体"/>
          <w:b/>
          <w:sz w:val="24"/>
          <w:szCs w:val="24"/>
        </w:rPr>
        <w:t>投标文件的构成</w:t>
      </w:r>
    </w:p>
    <w:p>
      <w:pPr>
        <w:spacing w:line="360" w:lineRule="auto"/>
        <w:ind w:firstLine="480" w:firstLineChars="200"/>
        <w:rPr>
          <w:rFonts w:ascii="宋体"/>
          <w:sz w:val="24"/>
          <w:szCs w:val="24"/>
        </w:rPr>
      </w:pPr>
      <w:r>
        <w:rPr>
          <w:rFonts w:hint="eastAsia" w:ascii="宋体" w:hAnsi="宋体"/>
          <w:sz w:val="24"/>
          <w:szCs w:val="24"/>
        </w:rPr>
        <w:t>投标人编制的投标文件应包括但不限于下列内容：</w:t>
      </w:r>
    </w:p>
    <w:p>
      <w:pPr>
        <w:spacing w:line="360" w:lineRule="auto"/>
        <w:ind w:left="1672" w:leftChars="229" w:hanging="1192" w:hangingChars="497"/>
        <w:rPr>
          <w:rFonts w:ascii="宋体"/>
          <w:sz w:val="24"/>
          <w:szCs w:val="24"/>
        </w:rPr>
      </w:pPr>
      <w:r>
        <w:rPr>
          <w:rFonts w:hint="eastAsia" w:ascii="宋体" w:hAnsi="宋体"/>
          <w:sz w:val="24"/>
          <w:szCs w:val="24"/>
        </w:rPr>
        <w:t>第一部分</w:t>
      </w:r>
      <w:r>
        <w:rPr>
          <w:rFonts w:ascii="宋体" w:hAnsi="宋体"/>
          <w:sz w:val="24"/>
          <w:szCs w:val="24"/>
        </w:rPr>
        <w:t xml:space="preserve">  </w:t>
      </w:r>
      <w:r>
        <w:rPr>
          <w:rFonts w:hint="eastAsia" w:ascii="宋体" w:hAnsi="宋体"/>
          <w:sz w:val="24"/>
          <w:szCs w:val="24"/>
        </w:rPr>
        <w:t>资格证明文件（详见第七章“投标文件格式”中资格证明文件组成），</w:t>
      </w:r>
      <w:r>
        <w:rPr>
          <w:rFonts w:hint="eastAsia" w:ascii="宋体" w:hAnsi="宋体"/>
          <w:b/>
          <w:sz w:val="24"/>
          <w:szCs w:val="24"/>
        </w:rPr>
        <w:t>如</w:t>
      </w:r>
      <w:r>
        <w:rPr>
          <w:rFonts w:hint="eastAsia" w:ascii="宋体" w:hAnsi="宋体" w:cs="Helvetica"/>
          <w:b/>
          <w:kern w:val="0"/>
          <w:sz w:val="24"/>
          <w:szCs w:val="24"/>
        </w:rPr>
        <w:t>采购人已组织过项目资格预审的，投标人无需再提交资格证明文件</w:t>
      </w:r>
      <w:r>
        <w:rPr>
          <w:rFonts w:hint="eastAsia" w:ascii="宋体" w:hAnsi="宋体"/>
          <w:sz w:val="24"/>
          <w:szCs w:val="24"/>
        </w:rPr>
        <w:t>）</w:t>
      </w:r>
    </w:p>
    <w:p>
      <w:pPr>
        <w:spacing w:line="360" w:lineRule="auto"/>
        <w:ind w:firstLine="480" w:firstLineChars="200"/>
        <w:rPr>
          <w:rFonts w:ascii="宋体"/>
          <w:sz w:val="24"/>
          <w:szCs w:val="24"/>
        </w:rPr>
      </w:pPr>
      <w:r>
        <w:rPr>
          <w:rFonts w:hint="eastAsia" w:ascii="宋体" w:hAnsi="宋体"/>
          <w:sz w:val="24"/>
          <w:szCs w:val="24"/>
        </w:rPr>
        <w:t>第二部分</w:t>
      </w:r>
      <w:r>
        <w:rPr>
          <w:rFonts w:ascii="宋体" w:hAnsi="宋体"/>
          <w:sz w:val="24"/>
          <w:szCs w:val="24"/>
        </w:rPr>
        <w:t xml:space="preserve">  </w:t>
      </w:r>
      <w:r>
        <w:rPr>
          <w:rFonts w:hint="eastAsia" w:ascii="宋体" w:hAnsi="宋体"/>
          <w:sz w:val="24"/>
          <w:szCs w:val="24"/>
        </w:rPr>
        <w:t>商务文件（详见第七章“投标文件格式”中商务文件组成）</w:t>
      </w:r>
    </w:p>
    <w:p>
      <w:pPr>
        <w:spacing w:line="360" w:lineRule="auto"/>
        <w:ind w:firstLine="480" w:firstLineChars="200"/>
        <w:rPr>
          <w:rFonts w:ascii="宋体"/>
          <w:sz w:val="24"/>
          <w:szCs w:val="24"/>
        </w:rPr>
      </w:pPr>
      <w:r>
        <w:rPr>
          <w:rFonts w:hint="eastAsia" w:ascii="宋体" w:hAnsi="宋体"/>
          <w:sz w:val="24"/>
          <w:szCs w:val="24"/>
        </w:rPr>
        <w:t>第三部分</w:t>
      </w:r>
      <w:r>
        <w:rPr>
          <w:rFonts w:ascii="宋体" w:hAnsi="宋体"/>
          <w:sz w:val="24"/>
          <w:szCs w:val="24"/>
        </w:rPr>
        <w:t xml:space="preserve">  </w:t>
      </w:r>
      <w:r>
        <w:rPr>
          <w:rFonts w:hint="eastAsia" w:ascii="宋体" w:hAnsi="宋体"/>
          <w:sz w:val="24"/>
          <w:szCs w:val="24"/>
        </w:rPr>
        <w:t>技术、服务文件（详见第七章“投标文件格式”中技术、服务文件组成）</w:t>
      </w:r>
    </w:p>
    <w:p>
      <w:pPr>
        <w:numPr>
          <w:ilvl w:val="0"/>
          <w:numId w:val="5"/>
        </w:numPr>
        <w:spacing w:line="360" w:lineRule="auto"/>
        <w:ind w:left="560" w:hanging="560"/>
        <w:rPr>
          <w:rFonts w:ascii="宋体"/>
          <w:b/>
          <w:sz w:val="24"/>
          <w:szCs w:val="24"/>
        </w:rPr>
      </w:pPr>
      <w:r>
        <w:rPr>
          <w:rFonts w:hint="eastAsia" w:ascii="宋体" w:hAnsi="宋体"/>
          <w:b/>
          <w:sz w:val="24"/>
          <w:szCs w:val="24"/>
        </w:rPr>
        <w:t>投标文件编制</w:t>
      </w:r>
    </w:p>
    <w:p>
      <w:pPr>
        <w:numPr>
          <w:ilvl w:val="0"/>
          <w:numId w:val="12"/>
        </w:numPr>
        <w:spacing w:line="360" w:lineRule="auto"/>
        <w:ind w:left="1036" w:hanging="616"/>
        <w:rPr>
          <w:rFonts w:ascii="宋体" w:hAnsi="宋体" w:cs="宋体"/>
          <w:sz w:val="24"/>
          <w:szCs w:val="24"/>
        </w:rPr>
      </w:pPr>
      <w:r>
        <w:rPr>
          <w:rFonts w:hint="eastAsia" w:ascii="宋体" w:hAnsi="宋体" w:cs="宋体"/>
          <w:sz w:val="24"/>
          <w:szCs w:val="24"/>
        </w:rPr>
        <w:t>供应商应按招标文件中提供的投标文件组成格式的要求，完整、清晰、正确填写。如本文件表格中的栏目与供应商的实际情况不相适应，供应商可按照统一格式自行制表填写，但每一项都不得遗漏。</w:t>
      </w:r>
    </w:p>
    <w:p>
      <w:pPr>
        <w:numPr>
          <w:ilvl w:val="0"/>
          <w:numId w:val="12"/>
        </w:numPr>
        <w:spacing w:line="360" w:lineRule="auto"/>
        <w:ind w:left="1036" w:hanging="616"/>
        <w:rPr>
          <w:rFonts w:ascii="宋体" w:hAnsi="宋体" w:cs="宋体"/>
          <w:sz w:val="24"/>
          <w:szCs w:val="24"/>
        </w:rPr>
      </w:pPr>
      <w:r>
        <w:rPr>
          <w:rFonts w:hint="eastAsia" w:ascii="宋体" w:hAnsi="宋体"/>
          <w:sz w:val="24"/>
          <w:szCs w:val="24"/>
        </w:rPr>
        <w:t>供应商提交的投标文件以及供应商与采购代理机构就有关招标的所有来往函电均应使用简体中文。供应商提交的支持文件或印刷的文献可以用另一种语言，但相应内容应附有中文翻译本，在解释投标文件的修改内容时以中文翻译本为准</w:t>
      </w:r>
      <w:r>
        <w:rPr>
          <w:rFonts w:hint="eastAsia" w:ascii="宋体" w:hAnsi="宋体" w:cs="宋体"/>
          <w:sz w:val="24"/>
          <w:szCs w:val="24"/>
        </w:rPr>
        <w:t>。</w:t>
      </w:r>
    </w:p>
    <w:p>
      <w:pPr>
        <w:numPr>
          <w:ilvl w:val="0"/>
          <w:numId w:val="12"/>
        </w:numPr>
        <w:spacing w:line="360" w:lineRule="auto"/>
        <w:ind w:left="1036" w:hanging="616"/>
        <w:rPr>
          <w:rFonts w:ascii="宋体" w:hAnsi="宋体" w:cs="宋体"/>
          <w:sz w:val="24"/>
          <w:szCs w:val="24"/>
        </w:rPr>
      </w:pPr>
      <w:r>
        <w:rPr>
          <w:rFonts w:hint="eastAsia" w:ascii="宋体" w:hAnsi="宋体" w:cs="宋体"/>
          <w:sz w:val="24"/>
          <w:szCs w:val="24"/>
        </w:rPr>
        <w:t>供应商应认真阅读招标文件中所有的事项、格式、条款和规范等要求，按招标文件的要求提供投标文件，并保证所提供的全部资料的有效性和真实性。如果供应商没有按照招标文件要求和规定编制投标文件及提交全部资料，或者投标文件没有对招标文件在各方面都作出实质性响应，或者投标文件弄虚作假，其风险应由供应商承担。</w:t>
      </w:r>
    </w:p>
    <w:p>
      <w:pPr>
        <w:numPr>
          <w:ilvl w:val="0"/>
          <w:numId w:val="12"/>
        </w:numPr>
        <w:spacing w:line="360" w:lineRule="auto"/>
        <w:ind w:left="1036" w:hanging="616"/>
        <w:rPr>
          <w:rFonts w:ascii="宋体" w:hAnsi="宋体" w:cs="宋体"/>
          <w:sz w:val="24"/>
          <w:szCs w:val="24"/>
        </w:rPr>
      </w:pPr>
      <w:r>
        <w:rPr>
          <w:rFonts w:hint="eastAsia" w:ascii="宋体" w:hAnsi="宋体" w:cs="宋体"/>
          <w:sz w:val="24"/>
          <w:szCs w:val="24"/>
        </w:rPr>
        <w:t>电子投标文件制作</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1.5.1</w:t>
      </w:r>
      <w:r>
        <w:rPr>
          <w:rFonts w:hint="eastAsia" w:ascii="宋体" w:hAnsi="宋体" w:cs="宋体"/>
          <w:sz w:val="24"/>
          <w:szCs w:val="24"/>
        </w:rPr>
        <w:t>电子投标文件由供应商使用“湖北省电子招投标交易平台”自带的“投标文件制作工具”制作生成。</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1.5.2</w:t>
      </w:r>
      <w:r>
        <w:rPr>
          <w:rFonts w:hint="eastAsia" w:ascii="宋体" w:hAnsi="宋体" w:cs="宋体"/>
          <w:sz w:val="24"/>
          <w:szCs w:val="24"/>
        </w:rPr>
        <w:t>供应商在编制电子投标文件时按照标签提示导入相关内容。</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1.5.3</w:t>
      </w:r>
      <w:r>
        <w:rPr>
          <w:rFonts w:hint="eastAsia" w:ascii="宋体" w:hAnsi="宋体" w:cs="宋体"/>
          <w:color w:val="000000" w:themeColor="text1"/>
          <w:sz w:val="24"/>
          <w:szCs w:val="24"/>
          <w14:textFill>
            <w14:solidFill>
              <w14:schemeClr w14:val="tx1"/>
            </w14:solidFill>
          </w14:textFill>
        </w:rPr>
        <w:t>电子投标文件中的证明资料均为“原件的扫描件”，应从“湖北省电子招投标交易平台”会员诚信库中选择，会员诚信库中没有的“复印件”，应以附件形式直接导入，未标示“复印件”的证明资料均应直接制作生成。</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1.5. 4</w:t>
      </w:r>
      <w:r>
        <w:rPr>
          <w:rFonts w:hint="eastAsia" w:ascii="宋体" w:hAnsi="宋体" w:cs="宋体"/>
          <w:sz w:val="24"/>
          <w:szCs w:val="24"/>
        </w:rPr>
        <w:t>投标文件格式文件要求盖单位章和（或）签字的地方，供应商均应使用CA数字证书加盖供应商的单位电子印章和（或）法定代表人的个人电子印章。</w:t>
      </w:r>
    </w:p>
    <w:p>
      <w:pPr>
        <w:numPr>
          <w:ilvl w:val="0"/>
          <w:numId w:val="12"/>
        </w:numPr>
        <w:spacing w:line="360" w:lineRule="auto"/>
        <w:ind w:left="1036" w:hanging="616"/>
        <w:rPr>
          <w:rFonts w:ascii="宋体"/>
          <w:sz w:val="24"/>
          <w:szCs w:val="24"/>
        </w:rPr>
      </w:pPr>
      <w:r>
        <w:rPr>
          <w:rFonts w:hint="eastAsia" w:ascii="宋体" w:hAnsi="宋体"/>
          <w:sz w:val="24"/>
          <w:szCs w:val="24"/>
        </w:rPr>
        <w:t>投标人应按照招标文件第七章“投标文件格式”提供的附件格式、要求、规定来编制投标文件。</w:t>
      </w:r>
    </w:p>
    <w:p>
      <w:pPr>
        <w:numPr>
          <w:ilvl w:val="0"/>
          <w:numId w:val="12"/>
        </w:numPr>
        <w:spacing w:line="360" w:lineRule="auto"/>
        <w:ind w:left="1036" w:hanging="616"/>
        <w:rPr>
          <w:rFonts w:ascii="宋体"/>
          <w:sz w:val="24"/>
          <w:szCs w:val="24"/>
        </w:rPr>
      </w:pPr>
      <w:r>
        <w:rPr>
          <w:rFonts w:hint="eastAsia" w:ascii="宋体" w:hAnsi="宋体"/>
          <w:sz w:val="24"/>
          <w:szCs w:val="24"/>
        </w:rPr>
        <w:t>投标人应对投标文件中所提供资料的真实性负责，若有虚假，将依法承担相应责任。投标人应自觉接受集中采购机构对其中任何资料进一步核实的要求。</w:t>
      </w:r>
    </w:p>
    <w:p>
      <w:pPr>
        <w:numPr>
          <w:ilvl w:val="0"/>
          <w:numId w:val="12"/>
        </w:numPr>
        <w:spacing w:line="360" w:lineRule="auto"/>
        <w:ind w:left="1036" w:hanging="616"/>
        <w:rPr>
          <w:rFonts w:ascii="宋体"/>
          <w:sz w:val="24"/>
          <w:szCs w:val="24"/>
        </w:rPr>
      </w:pPr>
      <w:r>
        <w:rPr>
          <w:rFonts w:hint="eastAsia" w:ascii="宋体" w:hAnsi="宋体"/>
          <w:sz w:val="24"/>
          <w:szCs w:val="24"/>
        </w:rPr>
        <w:t>因投标人投标文件填报的内容不详，或没有提供招标文件中所要求的全部资料及数据等，由此产生的后果及责任由投标人自行承担。</w:t>
      </w:r>
    </w:p>
    <w:p>
      <w:pPr>
        <w:numPr>
          <w:ilvl w:val="0"/>
          <w:numId w:val="12"/>
        </w:numPr>
        <w:spacing w:line="360" w:lineRule="auto"/>
        <w:ind w:left="1036" w:hanging="616"/>
        <w:rPr>
          <w:rFonts w:ascii="宋体"/>
          <w:b/>
          <w:sz w:val="24"/>
          <w:szCs w:val="24"/>
        </w:rPr>
      </w:pPr>
      <w:r>
        <w:rPr>
          <w:rFonts w:hint="eastAsia" w:ascii="宋体" w:hAnsi="宋体"/>
          <w:b/>
          <w:sz w:val="24"/>
          <w:szCs w:val="24"/>
        </w:rPr>
        <w:t>投标人应将投标文件逐页连续标注页码，建立目录索引。</w:t>
      </w:r>
      <w:r>
        <w:rPr>
          <w:rFonts w:hint="eastAsia" w:ascii="宋体" w:hAnsi="宋体"/>
          <w:b/>
          <w:sz w:val="24"/>
          <w:szCs w:val="20"/>
        </w:rPr>
        <w:t>各部分文件及内容详见第七章“投标文件格式”要求。</w:t>
      </w:r>
    </w:p>
    <w:p>
      <w:pPr>
        <w:numPr>
          <w:ilvl w:val="0"/>
          <w:numId w:val="5"/>
        </w:numPr>
        <w:spacing w:line="360" w:lineRule="auto"/>
        <w:ind w:left="560" w:hanging="560"/>
        <w:rPr>
          <w:rFonts w:ascii="宋体"/>
          <w:b/>
          <w:sz w:val="24"/>
          <w:szCs w:val="24"/>
        </w:rPr>
      </w:pPr>
      <w:r>
        <w:rPr>
          <w:rFonts w:hint="eastAsia" w:ascii="宋体" w:hAnsi="宋体"/>
          <w:b/>
          <w:sz w:val="24"/>
          <w:szCs w:val="24"/>
        </w:rPr>
        <w:t>投标报价</w:t>
      </w:r>
    </w:p>
    <w:p>
      <w:pPr>
        <w:numPr>
          <w:ilvl w:val="0"/>
          <w:numId w:val="13"/>
        </w:numPr>
        <w:spacing w:line="360" w:lineRule="auto"/>
        <w:ind w:left="1036" w:hanging="616"/>
        <w:rPr>
          <w:rFonts w:ascii="宋体"/>
          <w:sz w:val="24"/>
          <w:szCs w:val="24"/>
        </w:rPr>
      </w:pPr>
      <w:r>
        <w:rPr>
          <w:rFonts w:hint="eastAsia" w:ascii="宋体" w:hAnsi="宋体"/>
          <w:sz w:val="24"/>
          <w:szCs w:val="24"/>
        </w:rPr>
        <w:t>投标人所提供的货物（工程或服务）均以人民币计价。</w:t>
      </w:r>
    </w:p>
    <w:p>
      <w:pPr>
        <w:numPr>
          <w:ilvl w:val="0"/>
          <w:numId w:val="13"/>
        </w:numPr>
        <w:spacing w:line="360" w:lineRule="auto"/>
        <w:ind w:left="1036" w:hanging="616"/>
        <w:rPr>
          <w:rFonts w:ascii="宋体"/>
          <w:sz w:val="24"/>
          <w:szCs w:val="24"/>
        </w:rPr>
      </w:pPr>
      <w:r>
        <w:rPr>
          <w:rFonts w:hint="eastAsia" w:ascii="宋体" w:hAnsi="宋体"/>
          <w:sz w:val="24"/>
          <w:szCs w:val="24"/>
        </w:rPr>
        <w:t>投标人应按照“第三章</w:t>
      </w:r>
      <w:r>
        <w:rPr>
          <w:rFonts w:ascii="宋体" w:hAnsi="宋体"/>
          <w:sz w:val="24"/>
          <w:szCs w:val="24"/>
        </w:rPr>
        <w:t xml:space="preserve"> </w:t>
      </w:r>
      <w:r>
        <w:rPr>
          <w:rFonts w:hint="eastAsia" w:ascii="宋体" w:hAnsi="宋体"/>
          <w:sz w:val="24"/>
          <w:szCs w:val="24"/>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1036" w:hanging="616"/>
        <w:rPr>
          <w:rFonts w:ascii="宋体"/>
          <w:sz w:val="24"/>
          <w:szCs w:val="24"/>
        </w:rPr>
      </w:pPr>
      <w:r>
        <w:rPr>
          <w:rFonts w:hint="eastAsia" w:ascii="宋体" w:hAnsi="宋体"/>
          <w:sz w:val="24"/>
          <w:szCs w:val="24"/>
        </w:rPr>
        <w:t>《投标报价明细表》填写时应响应下列要求：</w:t>
      </w:r>
    </w:p>
    <w:p>
      <w:pPr>
        <w:numPr>
          <w:ilvl w:val="0"/>
          <w:numId w:val="13"/>
        </w:numPr>
        <w:spacing w:line="360" w:lineRule="auto"/>
        <w:ind w:left="1036" w:hanging="616"/>
        <w:rPr>
          <w:rFonts w:ascii="宋体" w:hAnsi="宋体"/>
          <w:sz w:val="24"/>
          <w:szCs w:val="24"/>
        </w:rPr>
      </w:pPr>
      <w:r>
        <w:rPr>
          <w:rFonts w:hint="eastAsia" w:ascii="宋体" w:hAnsi="宋体"/>
          <w:sz w:val="24"/>
          <w:szCs w:val="24"/>
        </w:rPr>
        <w:t>应包括所有根据合同或其他原因由投标人支付的款项、费用；</w:t>
      </w:r>
    </w:p>
    <w:p>
      <w:pPr>
        <w:numPr>
          <w:ilvl w:val="0"/>
          <w:numId w:val="13"/>
        </w:numPr>
        <w:spacing w:line="360" w:lineRule="auto"/>
        <w:ind w:left="1036" w:hanging="616"/>
        <w:rPr>
          <w:rFonts w:ascii="宋体" w:hAnsi="宋体"/>
          <w:sz w:val="24"/>
          <w:szCs w:val="24"/>
        </w:rPr>
      </w:pPr>
      <w:r>
        <w:rPr>
          <w:rFonts w:hint="eastAsia" w:ascii="宋体" w:hAnsi="宋体"/>
          <w:sz w:val="24"/>
          <w:szCs w:val="24"/>
        </w:rPr>
        <w:t>应包含货物运至最终目的地的运输、保险和伴随货物（工程或服务）的有关费用；</w:t>
      </w:r>
    </w:p>
    <w:p>
      <w:pPr>
        <w:numPr>
          <w:ilvl w:val="0"/>
          <w:numId w:val="13"/>
        </w:numPr>
        <w:spacing w:line="360" w:lineRule="auto"/>
        <w:ind w:left="1036" w:hanging="616"/>
        <w:rPr>
          <w:rFonts w:ascii="宋体" w:cs="Courier New"/>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应详细提供《投标报价明细表》和《投标货物、服务清单》等内容，否则按照</w:t>
      </w:r>
      <w:r>
        <w:rPr>
          <w:rFonts w:hint="eastAsia" w:ascii="宋体" w:hAnsi="宋体"/>
          <w:b/>
          <w:color w:val="000000" w:themeColor="text1"/>
          <w:sz w:val="24"/>
          <w:szCs w:val="24"/>
          <w14:textFill>
            <w14:solidFill>
              <w14:schemeClr w14:val="tx1"/>
            </w14:solidFill>
          </w14:textFill>
        </w:rPr>
        <w:t>无效投标处理。</w:t>
      </w:r>
    </w:p>
    <w:p>
      <w:pPr>
        <w:numPr>
          <w:ilvl w:val="0"/>
          <w:numId w:val="13"/>
        </w:numPr>
        <w:spacing w:line="360" w:lineRule="auto"/>
        <w:ind w:left="1036" w:hanging="616"/>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每一种规格的货物（工程或服务）只允许有一个报价，否则按照</w:t>
      </w:r>
      <w:r>
        <w:rPr>
          <w:rFonts w:hint="eastAsia" w:ascii="宋体" w:hAnsi="宋体"/>
          <w:b/>
          <w:color w:val="000000" w:themeColor="text1"/>
          <w:sz w:val="24"/>
          <w:szCs w:val="24"/>
          <w14:textFill>
            <w14:solidFill>
              <w14:schemeClr w14:val="tx1"/>
            </w14:solidFill>
          </w14:textFill>
        </w:rPr>
        <w:t>无效投标处理</w:t>
      </w:r>
      <w:r>
        <w:rPr>
          <w:rFonts w:hint="eastAsia" w:ascii="宋体" w:hAnsi="宋体"/>
          <w:color w:val="000000" w:themeColor="text1"/>
          <w:sz w:val="24"/>
          <w:szCs w:val="24"/>
          <w14:textFill>
            <w14:solidFill>
              <w14:schemeClr w14:val="tx1"/>
            </w14:solidFill>
          </w14:textFill>
        </w:rPr>
        <w:t>。</w:t>
      </w:r>
    </w:p>
    <w:p>
      <w:pPr>
        <w:numPr>
          <w:ilvl w:val="0"/>
          <w:numId w:val="13"/>
        </w:numPr>
        <w:spacing w:line="360" w:lineRule="auto"/>
        <w:ind w:left="1036" w:hanging="616"/>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1036" w:hanging="616"/>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1036" w:hanging="616"/>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投标人应对项目招标范围内的全部内容进行报价，不得缺、漏项或只投其中的部分内容的，否则按照</w:t>
      </w:r>
      <w:r>
        <w:rPr>
          <w:rFonts w:hint="eastAsia" w:ascii="宋体" w:hAnsi="宋体"/>
          <w:b/>
          <w:color w:val="000000" w:themeColor="text1"/>
          <w:sz w:val="24"/>
          <w:szCs w:val="24"/>
          <w14:textFill>
            <w14:solidFill>
              <w14:schemeClr w14:val="tx1"/>
            </w14:solidFill>
          </w14:textFill>
        </w:rPr>
        <w:t>无效投标处理</w:t>
      </w:r>
      <w:r>
        <w:rPr>
          <w:rFonts w:hint="eastAsia" w:ascii="宋体" w:hAnsi="宋体"/>
          <w:color w:val="000000" w:themeColor="text1"/>
          <w:sz w:val="24"/>
          <w:szCs w:val="24"/>
          <w14:textFill>
            <w14:solidFill>
              <w14:schemeClr w14:val="tx1"/>
            </w14:solidFill>
          </w14:textFill>
        </w:rPr>
        <w:t>。</w:t>
      </w:r>
    </w:p>
    <w:p>
      <w:pPr>
        <w:numPr>
          <w:ilvl w:val="0"/>
          <w:numId w:val="5"/>
        </w:numPr>
        <w:spacing w:line="360" w:lineRule="auto"/>
        <w:ind w:left="560" w:hanging="560"/>
        <w:rPr>
          <w:rFonts w:ascii="宋体"/>
          <w:b/>
          <w:sz w:val="24"/>
          <w:szCs w:val="24"/>
        </w:rPr>
      </w:pPr>
      <w:r>
        <w:rPr>
          <w:rFonts w:hint="eastAsia" w:ascii="宋体" w:hAnsi="宋体"/>
          <w:b/>
          <w:sz w:val="24"/>
          <w:szCs w:val="24"/>
        </w:rPr>
        <w:t>备选方案</w:t>
      </w:r>
    </w:p>
    <w:p>
      <w:pPr>
        <w:spacing w:line="360" w:lineRule="auto"/>
        <w:ind w:firstLine="480" w:firstLineChars="200"/>
        <w:rPr>
          <w:rFonts w:ascii="宋体"/>
          <w:sz w:val="24"/>
          <w:szCs w:val="24"/>
        </w:rPr>
      </w:pPr>
      <w:r>
        <w:rPr>
          <w:rFonts w:hint="eastAsia" w:ascii="宋体" w:hAnsi="宋体"/>
          <w:sz w:val="24"/>
          <w:szCs w:val="24"/>
        </w:rPr>
        <w:t>只允许投标人提供一个投标方案（招标文件中要求提供备选方案的除外），否则按照</w:t>
      </w:r>
      <w:r>
        <w:rPr>
          <w:rFonts w:hint="eastAsia" w:ascii="宋体" w:hAnsi="宋体"/>
          <w:b/>
          <w:sz w:val="24"/>
          <w:szCs w:val="24"/>
        </w:rPr>
        <w:t>无效投标处理</w:t>
      </w:r>
      <w:r>
        <w:rPr>
          <w:rFonts w:hint="eastAsia" w:ascii="宋体" w:hAnsi="宋体"/>
          <w:sz w:val="24"/>
          <w:szCs w:val="24"/>
        </w:rPr>
        <w:t>。</w:t>
      </w:r>
    </w:p>
    <w:p>
      <w:pPr>
        <w:numPr>
          <w:ilvl w:val="0"/>
          <w:numId w:val="5"/>
        </w:numPr>
        <w:spacing w:line="360" w:lineRule="auto"/>
        <w:ind w:left="560" w:hanging="560"/>
        <w:rPr>
          <w:rFonts w:ascii="宋体"/>
          <w:b/>
          <w:sz w:val="24"/>
          <w:szCs w:val="24"/>
        </w:rPr>
      </w:pPr>
      <w:r>
        <w:rPr>
          <w:rFonts w:hint="eastAsia" w:ascii="宋体" w:hAnsi="宋体"/>
          <w:b/>
          <w:sz w:val="24"/>
          <w:szCs w:val="24"/>
        </w:rPr>
        <w:t>中标后分包</w:t>
      </w:r>
    </w:p>
    <w:p>
      <w:pPr>
        <w:spacing w:line="360" w:lineRule="auto"/>
        <w:ind w:firstLine="480" w:firstLineChars="200"/>
        <w:rPr>
          <w:rFonts w:ascii="宋体"/>
          <w:sz w:val="24"/>
          <w:szCs w:val="24"/>
        </w:rPr>
      </w:pPr>
      <w:r>
        <w:rPr>
          <w:rFonts w:hint="eastAsia" w:ascii="宋体" w:hAnsi="宋体"/>
          <w:sz w:val="24"/>
          <w:szCs w:val="24"/>
        </w:rPr>
        <w:t>招标文件规定项目非主体、非关键性工作中标后可以分包的，投标人拟在中标后将项目的非主体、非关键性工作分包，应当在投标文件中载明具备相应资质条件的分包承担主体，分包承担主体不得再次分包。</w:t>
      </w:r>
    </w:p>
    <w:p>
      <w:pPr>
        <w:numPr>
          <w:ilvl w:val="0"/>
          <w:numId w:val="5"/>
        </w:numPr>
        <w:spacing w:line="360" w:lineRule="auto"/>
        <w:ind w:left="560" w:hanging="560"/>
        <w:rPr>
          <w:rFonts w:ascii="宋体"/>
          <w:b/>
          <w:sz w:val="24"/>
          <w:szCs w:val="24"/>
        </w:rPr>
      </w:pPr>
      <w:r>
        <w:rPr>
          <w:rFonts w:hint="eastAsia" w:ascii="宋体" w:hAnsi="宋体"/>
          <w:b/>
          <w:sz w:val="24"/>
          <w:szCs w:val="24"/>
        </w:rPr>
        <w:t>联合体投标</w:t>
      </w:r>
    </w:p>
    <w:p>
      <w:pPr>
        <w:numPr>
          <w:ilvl w:val="0"/>
          <w:numId w:val="14"/>
        </w:numPr>
        <w:spacing w:line="360" w:lineRule="auto"/>
        <w:ind w:left="1036" w:hanging="616"/>
        <w:rPr>
          <w:rFonts w:ascii="宋体"/>
          <w:sz w:val="24"/>
          <w:szCs w:val="24"/>
        </w:rPr>
      </w:pPr>
      <w:r>
        <w:rPr>
          <w:rFonts w:hint="eastAsia" w:ascii="宋体" w:hAnsi="宋体"/>
          <w:sz w:val="24"/>
          <w:szCs w:val="24"/>
        </w:rPr>
        <w:t>两个及以上供应商可以组成一个联合体，以一个投标人的身份共同参与投标。</w:t>
      </w:r>
    </w:p>
    <w:p>
      <w:pPr>
        <w:numPr>
          <w:ilvl w:val="0"/>
          <w:numId w:val="14"/>
        </w:numPr>
        <w:spacing w:line="360" w:lineRule="auto"/>
        <w:ind w:left="1036" w:hanging="616"/>
        <w:rPr>
          <w:rFonts w:ascii="宋体"/>
          <w:sz w:val="24"/>
          <w:szCs w:val="24"/>
        </w:rPr>
      </w:pPr>
      <w:r>
        <w:rPr>
          <w:rFonts w:hint="eastAsia" w:ascii="宋体" w:hAnsi="宋体"/>
          <w:sz w:val="24"/>
          <w:szCs w:val="24"/>
        </w:rPr>
        <w:t>采取联合体形式投标的，联合体各方均应当符合政府采购法第二十二条第一款规定的条件。联合体的主体应完全满足项目投标人资格要求。</w:t>
      </w:r>
    </w:p>
    <w:p>
      <w:pPr>
        <w:numPr>
          <w:ilvl w:val="0"/>
          <w:numId w:val="14"/>
        </w:numPr>
        <w:spacing w:line="360" w:lineRule="auto"/>
        <w:ind w:left="1036" w:hanging="616"/>
        <w:rPr>
          <w:rFonts w:ascii="宋体"/>
          <w:sz w:val="24"/>
          <w:szCs w:val="24"/>
        </w:rPr>
      </w:pPr>
      <w:r>
        <w:rPr>
          <w:rFonts w:hint="eastAsia" w:ascii="宋体" w:hAnsi="宋体"/>
          <w:sz w:val="24"/>
          <w:szCs w:val="24"/>
        </w:rPr>
        <w:t>联合体各方之间应签订联合投标协议，明确约定联合体主体及各方承担的工作和相应的责任，其投标文件中应提供联合投标协议。</w:t>
      </w:r>
    </w:p>
    <w:p>
      <w:pPr>
        <w:numPr>
          <w:ilvl w:val="0"/>
          <w:numId w:val="14"/>
        </w:numPr>
        <w:spacing w:line="360" w:lineRule="auto"/>
        <w:ind w:left="1036" w:hanging="616"/>
        <w:rPr>
          <w:rFonts w:ascii="宋体"/>
          <w:sz w:val="24"/>
          <w:szCs w:val="24"/>
        </w:rPr>
      </w:pPr>
      <w:r>
        <w:rPr>
          <w:rFonts w:hint="eastAsia" w:ascii="宋体" w:hAnsi="宋体"/>
          <w:sz w:val="24"/>
          <w:szCs w:val="24"/>
        </w:rPr>
        <w:t>以联合体形式参加政府采购活动的，联合体各方不得再单独参加或者与其他供应商另外组成联合体参加同一合同项下的政府采购活动。</w:t>
      </w:r>
    </w:p>
    <w:p>
      <w:pPr>
        <w:numPr>
          <w:ilvl w:val="0"/>
          <w:numId w:val="14"/>
        </w:numPr>
        <w:spacing w:line="360" w:lineRule="auto"/>
        <w:ind w:left="1036" w:hanging="616"/>
        <w:rPr>
          <w:rFonts w:ascii="宋体"/>
          <w:sz w:val="24"/>
          <w:szCs w:val="24"/>
        </w:rPr>
      </w:pPr>
      <w:r>
        <w:rPr>
          <w:rFonts w:hint="eastAsia" w:ascii="宋体" w:hAnsi="宋体"/>
          <w:sz w:val="24"/>
          <w:szCs w:val="24"/>
        </w:rPr>
        <w:t>采取联合体形式投标的，其投标文件应由联合体所有成员或其各自正式书面授权的代表签署（盖章），以便对所有成员作为整体及作为个体均具有法律约束力。</w:t>
      </w:r>
    </w:p>
    <w:p>
      <w:pPr>
        <w:numPr>
          <w:ilvl w:val="0"/>
          <w:numId w:val="14"/>
        </w:numPr>
        <w:spacing w:line="360" w:lineRule="auto"/>
        <w:ind w:left="1036" w:hanging="616"/>
        <w:rPr>
          <w:rFonts w:ascii="宋体"/>
          <w:sz w:val="24"/>
          <w:szCs w:val="24"/>
        </w:rPr>
      </w:pPr>
      <w:r>
        <w:rPr>
          <w:rFonts w:hint="eastAsia" w:ascii="宋体" w:hAnsi="宋体"/>
          <w:sz w:val="24"/>
          <w:szCs w:val="24"/>
        </w:rPr>
        <w:t>采取联合体形式投标的，项目评审时只对联合体主体进行评议。</w:t>
      </w:r>
    </w:p>
    <w:p>
      <w:pPr>
        <w:numPr>
          <w:ilvl w:val="0"/>
          <w:numId w:val="14"/>
        </w:numPr>
        <w:spacing w:line="360" w:lineRule="auto"/>
        <w:ind w:left="1036" w:hanging="616"/>
        <w:rPr>
          <w:rFonts w:ascii="宋体"/>
          <w:sz w:val="24"/>
          <w:szCs w:val="24"/>
        </w:rPr>
      </w:pPr>
      <w:r>
        <w:rPr>
          <w:rFonts w:hint="eastAsia" w:ascii="宋体" w:hAnsi="宋体"/>
          <w:sz w:val="24"/>
          <w:szCs w:val="24"/>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sz w:val="24"/>
          <w:szCs w:val="24"/>
        </w:rPr>
        <w:t>联合体主体单位负主要责任。</w:t>
      </w:r>
    </w:p>
    <w:p>
      <w:pPr>
        <w:numPr>
          <w:ilvl w:val="0"/>
          <w:numId w:val="14"/>
        </w:numPr>
        <w:spacing w:line="360" w:lineRule="auto"/>
        <w:ind w:left="1036" w:hanging="616"/>
        <w:rPr>
          <w:rFonts w:ascii="宋体"/>
          <w:sz w:val="24"/>
          <w:szCs w:val="24"/>
        </w:rPr>
      </w:pPr>
      <w:r>
        <w:rPr>
          <w:rFonts w:hint="eastAsia" w:ascii="宋体" w:hAnsi="宋体"/>
          <w:sz w:val="24"/>
          <w:szCs w:val="24"/>
        </w:rPr>
        <w:t>联合体中有同类资质的供应商按照联合体分工承担相同工作的，应当按照资质等级较低的供应商确定资质等级。</w:t>
      </w:r>
    </w:p>
    <w:p>
      <w:pPr>
        <w:numPr>
          <w:ilvl w:val="0"/>
          <w:numId w:val="14"/>
        </w:numPr>
        <w:spacing w:line="360" w:lineRule="auto"/>
        <w:ind w:left="1036" w:hanging="616"/>
        <w:rPr>
          <w:rFonts w:ascii="宋体"/>
          <w:sz w:val="24"/>
          <w:szCs w:val="24"/>
        </w:rPr>
      </w:pPr>
      <w:r>
        <w:rPr>
          <w:rFonts w:hint="eastAsia" w:ascii="宋体" w:hAnsi="宋体"/>
          <w:sz w:val="24"/>
          <w:szCs w:val="24"/>
        </w:rPr>
        <w:t>招标文件第一章“投标人资格要求”中未载明是否接受联合体投标的，视同接受。</w:t>
      </w:r>
    </w:p>
    <w:p>
      <w:pPr>
        <w:numPr>
          <w:ilvl w:val="0"/>
          <w:numId w:val="14"/>
        </w:numPr>
        <w:spacing w:line="360" w:lineRule="auto"/>
        <w:ind w:left="1148" w:hanging="728"/>
        <w:rPr>
          <w:rFonts w:ascii="宋体"/>
          <w:sz w:val="24"/>
          <w:szCs w:val="24"/>
        </w:rPr>
      </w:pPr>
      <w:r>
        <w:rPr>
          <w:rFonts w:hint="eastAsia" w:ascii="宋体" w:hAnsi="宋体"/>
          <w:sz w:val="24"/>
          <w:szCs w:val="24"/>
        </w:rPr>
        <w:t>以联合体形式参与投标的，其价格扣除相关规定详见第五章“评标方法、程序及标准”。</w:t>
      </w:r>
    </w:p>
    <w:p>
      <w:pPr>
        <w:numPr>
          <w:ilvl w:val="0"/>
          <w:numId w:val="5"/>
        </w:numPr>
        <w:spacing w:line="360" w:lineRule="auto"/>
        <w:ind w:left="560" w:hanging="560"/>
        <w:rPr>
          <w:rFonts w:ascii="宋体"/>
          <w:b/>
          <w:sz w:val="24"/>
          <w:szCs w:val="24"/>
        </w:rPr>
      </w:pPr>
      <w:r>
        <w:rPr>
          <w:rFonts w:hint="eastAsia" w:ascii="宋体" w:hAnsi="宋体"/>
          <w:b/>
          <w:sz w:val="24"/>
          <w:szCs w:val="24"/>
        </w:rPr>
        <w:t>资格证明文件</w:t>
      </w:r>
    </w:p>
    <w:p>
      <w:pPr>
        <w:numPr>
          <w:ilvl w:val="0"/>
          <w:numId w:val="15"/>
        </w:numPr>
        <w:spacing w:line="360" w:lineRule="auto"/>
        <w:ind w:left="1036" w:hanging="616"/>
        <w:rPr>
          <w:rFonts w:ascii="宋体"/>
          <w:sz w:val="24"/>
          <w:szCs w:val="24"/>
        </w:rPr>
      </w:pPr>
      <w:r>
        <w:rPr>
          <w:rFonts w:hint="eastAsia" w:ascii="宋体" w:hAnsi="宋体"/>
          <w:sz w:val="24"/>
          <w:szCs w:val="24"/>
        </w:rPr>
        <w:t>投标人应按本节及第四章“资格审查方法及标准”的要求，提供足以证明其符合项目“投标人资格要求”且中标后有能力履行合同的文件，并作为其投标文件的组成部分。</w:t>
      </w:r>
    </w:p>
    <w:p>
      <w:pPr>
        <w:numPr>
          <w:ilvl w:val="0"/>
          <w:numId w:val="15"/>
        </w:numPr>
        <w:spacing w:line="360" w:lineRule="auto"/>
        <w:ind w:left="1036" w:hanging="616"/>
        <w:rPr>
          <w:rFonts w:ascii="宋体"/>
          <w:sz w:val="24"/>
          <w:szCs w:val="24"/>
        </w:rPr>
      </w:pPr>
      <w:r>
        <w:rPr>
          <w:rFonts w:hint="eastAsia" w:ascii="宋体" w:hAnsi="宋体"/>
          <w:sz w:val="24"/>
          <w:szCs w:val="24"/>
        </w:rPr>
        <w:t>资格证明文件应真实、合法，并就此承担相应法律责任。</w:t>
      </w:r>
    </w:p>
    <w:p>
      <w:pPr>
        <w:numPr>
          <w:ilvl w:val="0"/>
          <w:numId w:val="15"/>
        </w:numPr>
        <w:spacing w:line="360" w:lineRule="auto"/>
        <w:ind w:left="1036" w:hanging="616"/>
        <w:rPr>
          <w:rFonts w:ascii="宋体"/>
          <w:sz w:val="24"/>
          <w:szCs w:val="24"/>
        </w:rPr>
      </w:pPr>
      <w:r>
        <w:rPr>
          <w:rFonts w:hint="eastAsia" w:ascii="宋体" w:hAnsi="宋体" w:cs="Helvetica"/>
          <w:kern w:val="0"/>
          <w:sz w:val="24"/>
          <w:szCs w:val="24"/>
        </w:rPr>
        <w:t>资格证明文件内容详见</w:t>
      </w:r>
      <w:r>
        <w:rPr>
          <w:rFonts w:hint="eastAsia" w:ascii="宋体" w:hAnsi="宋体"/>
          <w:sz w:val="24"/>
          <w:szCs w:val="24"/>
        </w:rPr>
        <w:t>第四章“资格审查方法及标准”中资格审查内容</w:t>
      </w:r>
      <w:r>
        <w:rPr>
          <w:rFonts w:hint="eastAsia" w:ascii="宋体" w:hAnsi="宋体" w:cs="Helvetica"/>
          <w:kern w:val="0"/>
          <w:sz w:val="24"/>
          <w:szCs w:val="24"/>
        </w:rPr>
        <w:t>。</w:t>
      </w:r>
    </w:p>
    <w:p>
      <w:pPr>
        <w:numPr>
          <w:ilvl w:val="0"/>
          <w:numId w:val="15"/>
        </w:numPr>
        <w:spacing w:line="360" w:lineRule="auto"/>
        <w:ind w:left="1036" w:hanging="616"/>
        <w:rPr>
          <w:rFonts w:ascii="宋体"/>
          <w:sz w:val="24"/>
          <w:szCs w:val="24"/>
        </w:rPr>
      </w:pPr>
      <w:r>
        <w:rPr>
          <w:rFonts w:hint="eastAsia" w:ascii="宋体" w:hAnsi="宋体" w:cs="Helvetica"/>
          <w:b/>
          <w:kern w:val="0"/>
          <w:sz w:val="24"/>
          <w:szCs w:val="24"/>
        </w:rPr>
        <w:t>如采购人组织项目资格预审的，集中采购机构将拒绝未通过资格预审投标人的投标</w:t>
      </w:r>
      <w:r>
        <w:rPr>
          <w:rFonts w:hint="eastAsia" w:ascii="宋体" w:hAnsi="宋体" w:cs="Helvetica"/>
          <w:kern w:val="0"/>
          <w:sz w:val="24"/>
          <w:szCs w:val="24"/>
        </w:rPr>
        <w:t>。</w:t>
      </w:r>
    </w:p>
    <w:p>
      <w:pPr>
        <w:numPr>
          <w:ilvl w:val="0"/>
          <w:numId w:val="5"/>
        </w:numPr>
        <w:spacing w:line="360" w:lineRule="auto"/>
        <w:ind w:left="560" w:hanging="560"/>
        <w:rPr>
          <w:rFonts w:ascii="宋体"/>
          <w:sz w:val="24"/>
          <w:szCs w:val="24"/>
        </w:rPr>
      </w:pPr>
      <w:r>
        <w:rPr>
          <w:rFonts w:hint="eastAsia" w:ascii="宋体" w:hAnsi="宋体"/>
          <w:b/>
          <w:sz w:val="24"/>
          <w:szCs w:val="24"/>
        </w:rPr>
        <w:t>投标保证金</w:t>
      </w:r>
    </w:p>
    <w:p>
      <w:pPr>
        <w:spacing w:line="360" w:lineRule="auto"/>
        <w:ind w:firstLine="480" w:firstLineChars="200"/>
        <w:rPr>
          <w:rFonts w:ascii="宋体"/>
          <w:sz w:val="24"/>
          <w:szCs w:val="24"/>
        </w:rPr>
      </w:pPr>
      <w:r>
        <w:rPr>
          <w:rFonts w:hint="eastAsia" w:ascii="宋体" w:hAnsi="宋体"/>
          <w:sz w:val="24"/>
          <w:szCs w:val="24"/>
        </w:rPr>
        <w:t>本项目不收取投标保证金，详见本章“投标须知前附表”中的说明。</w:t>
      </w:r>
    </w:p>
    <w:p>
      <w:pPr>
        <w:numPr>
          <w:ilvl w:val="0"/>
          <w:numId w:val="5"/>
        </w:numPr>
        <w:spacing w:line="360" w:lineRule="auto"/>
        <w:ind w:left="560" w:hanging="560"/>
        <w:rPr>
          <w:rFonts w:ascii="宋体"/>
          <w:b/>
          <w:sz w:val="24"/>
          <w:szCs w:val="24"/>
        </w:rPr>
      </w:pPr>
      <w:r>
        <w:rPr>
          <w:rFonts w:hint="eastAsia" w:ascii="宋体" w:hAnsi="宋体"/>
          <w:b/>
          <w:sz w:val="24"/>
          <w:szCs w:val="24"/>
        </w:rPr>
        <w:t>投标有效期</w:t>
      </w:r>
    </w:p>
    <w:p>
      <w:pPr>
        <w:numPr>
          <w:ilvl w:val="0"/>
          <w:numId w:val="16"/>
        </w:numPr>
        <w:spacing w:line="360" w:lineRule="auto"/>
        <w:ind w:left="993" w:hanging="567"/>
        <w:rPr>
          <w:rFonts w:ascii="宋体"/>
          <w:sz w:val="24"/>
          <w:szCs w:val="24"/>
        </w:rPr>
      </w:pPr>
      <w:r>
        <w:rPr>
          <w:rFonts w:hint="eastAsia" w:ascii="宋体" w:hAnsi="宋体"/>
          <w:sz w:val="24"/>
          <w:szCs w:val="24"/>
        </w:rPr>
        <w:t>投标有效期详见本章“投标须知前附表”中规定。</w:t>
      </w:r>
      <w:r>
        <w:rPr>
          <w:rFonts w:hint="eastAsia" w:ascii="宋体" w:hAnsi="宋体" w:cs="Helvetica"/>
          <w:kern w:val="0"/>
          <w:sz w:val="24"/>
          <w:szCs w:val="24"/>
        </w:rPr>
        <w:t>投标文件中承诺的投标有效期应当不少于招标文件中载明的投标有效期。投标有效期不足的，</w:t>
      </w:r>
      <w:r>
        <w:rPr>
          <w:rFonts w:hint="eastAsia" w:ascii="宋体" w:hAnsi="宋体"/>
          <w:sz w:val="24"/>
          <w:szCs w:val="24"/>
        </w:rPr>
        <w:t>按照</w:t>
      </w:r>
      <w:r>
        <w:rPr>
          <w:rFonts w:hint="eastAsia" w:ascii="宋体" w:hAnsi="宋体"/>
          <w:b/>
          <w:sz w:val="24"/>
          <w:szCs w:val="24"/>
        </w:rPr>
        <w:t>无效投标处理。</w:t>
      </w:r>
    </w:p>
    <w:p>
      <w:pPr>
        <w:numPr>
          <w:ilvl w:val="0"/>
          <w:numId w:val="16"/>
        </w:numPr>
        <w:spacing w:line="360" w:lineRule="auto"/>
        <w:ind w:left="993" w:hanging="567"/>
        <w:rPr>
          <w:rFonts w:ascii="宋体"/>
          <w:sz w:val="24"/>
          <w:szCs w:val="24"/>
        </w:rPr>
      </w:pPr>
      <w:r>
        <w:rPr>
          <w:rFonts w:hint="eastAsia" w:ascii="宋体" w:hAnsi="宋体"/>
          <w:sz w:val="24"/>
          <w:szCs w:val="24"/>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5"/>
        </w:numPr>
        <w:spacing w:line="360" w:lineRule="auto"/>
        <w:ind w:left="560" w:hanging="560"/>
        <w:rPr>
          <w:rFonts w:ascii="宋体"/>
          <w:b/>
          <w:sz w:val="24"/>
          <w:szCs w:val="24"/>
        </w:rPr>
      </w:pPr>
      <w:r>
        <w:rPr>
          <w:rFonts w:hint="eastAsia" w:ascii="宋体" w:hAnsi="宋体"/>
          <w:b/>
          <w:sz w:val="24"/>
          <w:szCs w:val="24"/>
        </w:rPr>
        <w:t>投标文件签的数量和签署</w:t>
      </w:r>
    </w:p>
    <w:p>
      <w:pPr>
        <w:numPr>
          <w:ilvl w:val="0"/>
          <w:numId w:val="17"/>
        </w:numPr>
        <w:spacing w:line="360" w:lineRule="auto"/>
        <w:ind w:left="1036" w:hanging="616"/>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投标人应按本章“投标须知前附表”中规定的份数要求编制投标文件。</w:t>
      </w:r>
    </w:p>
    <w:p>
      <w:pPr>
        <w:numPr>
          <w:ilvl w:val="0"/>
          <w:numId w:val="17"/>
        </w:numPr>
        <w:spacing w:line="360" w:lineRule="auto"/>
        <w:ind w:left="1036" w:hanging="61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投标文件不区分正、副本。投标人应使用带电子签章功能的CA锁对投标文件应盖章或法定代表人签名的部位</w:t>
      </w:r>
      <w:r>
        <w:rPr>
          <w:rFonts w:ascii="宋体" w:hAnsi="宋体"/>
          <w:bCs/>
          <w:color w:val="000000" w:themeColor="text1"/>
          <w:sz w:val="24"/>
          <w:szCs w:val="24"/>
          <w14:textFill>
            <w14:solidFill>
              <w14:schemeClr w14:val="tx1"/>
            </w14:solidFill>
          </w14:textFill>
        </w:rPr>
        <w:t>加盖电子印章</w:t>
      </w:r>
      <w:r>
        <w:rPr>
          <w:rFonts w:hint="eastAsia" w:ascii="宋体" w:hAnsi="宋体"/>
          <w:bCs/>
          <w:color w:val="000000" w:themeColor="text1"/>
          <w:sz w:val="24"/>
          <w:szCs w:val="24"/>
          <w14:textFill>
            <w14:solidFill>
              <w14:schemeClr w14:val="tx1"/>
            </w14:solidFill>
          </w14:textFill>
        </w:rPr>
        <w:t>（单位电子公章、法定代表人电子人名章），否则按照无效投标处理。电子印章与实物印章具有同等法律效力。</w:t>
      </w:r>
    </w:p>
    <w:p>
      <w:pPr>
        <w:numPr>
          <w:ilvl w:val="0"/>
          <w:numId w:val="5"/>
        </w:numPr>
        <w:spacing w:line="360" w:lineRule="auto"/>
        <w:ind w:left="560" w:hanging="560"/>
        <w:rPr>
          <w:rFonts w:ascii="宋体"/>
          <w:b/>
          <w:color w:val="000000" w:themeColor="text1"/>
          <w:sz w:val="24"/>
          <w:szCs w:val="20"/>
          <w14:textFill>
            <w14:solidFill>
              <w14:schemeClr w14:val="tx1"/>
            </w14:solidFill>
          </w14:textFill>
        </w:rPr>
      </w:pPr>
      <w:r>
        <w:rPr>
          <w:rFonts w:ascii="宋体"/>
          <w:b/>
          <w:color w:val="000000" w:themeColor="text1"/>
          <w:sz w:val="24"/>
          <w:szCs w:val="20"/>
          <w14:textFill>
            <w14:solidFill>
              <w14:schemeClr w14:val="tx1"/>
            </w14:solidFill>
          </w14:textFill>
        </w:rPr>
        <w:tab/>
      </w:r>
      <w:r>
        <w:rPr>
          <w:rFonts w:hint="eastAsia" w:ascii="宋体" w:hAnsi="宋体"/>
          <w:b/>
          <w:color w:val="000000" w:themeColor="text1"/>
          <w:sz w:val="24"/>
          <w:szCs w:val="20"/>
          <w14:textFill>
            <w14:solidFill>
              <w14:schemeClr w14:val="tx1"/>
            </w14:solidFill>
          </w14:textFill>
        </w:rPr>
        <w:t>投标文件递交</w:t>
      </w:r>
    </w:p>
    <w:p>
      <w:pPr>
        <w:numPr>
          <w:ilvl w:val="0"/>
          <w:numId w:val="18"/>
        </w:numPr>
        <w:spacing w:line="360" w:lineRule="auto"/>
        <w:ind w:left="993" w:hanging="567"/>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投标人递交投标文件截止时间（投标截止时间）：见投标人须知前附表。 </w:t>
      </w:r>
    </w:p>
    <w:p>
      <w:pPr>
        <w:numPr>
          <w:ilvl w:val="0"/>
          <w:numId w:val="18"/>
        </w:numPr>
        <w:spacing w:line="360" w:lineRule="auto"/>
        <w:ind w:left="993" w:hanging="567"/>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投标人应当在投标截止时间前，通过互联网使用 CA 数字证书登录“电子交易平台”，选择所投标段（包）将加密的电子投标文件上传。投标人应充分考虑上传文件时的不可预见因素，投标文件未在投标截止时间前完成上传的，视为逾期送达，招标人（“电子交易平台”）将拒收。 </w:t>
      </w:r>
    </w:p>
    <w:p>
      <w:pPr>
        <w:numPr>
          <w:ilvl w:val="0"/>
          <w:numId w:val="18"/>
        </w:numPr>
        <w:spacing w:line="360" w:lineRule="auto"/>
        <w:ind w:left="993" w:hanging="567"/>
        <w:rPr>
          <w:rFonts w:ascii="宋体" w:hAnsi="宋体"/>
          <w:bCs/>
          <w:color w:val="FF0000"/>
          <w:sz w:val="24"/>
          <w:szCs w:val="24"/>
        </w:rPr>
      </w:pPr>
      <w:r>
        <w:rPr>
          <w:rFonts w:hint="eastAsia" w:ascii="宋体" w:hAnsi="宋体"/>
          <w:bCs/>
          <w:color w:val="000000" w:themeColor="text1"/>
          <w:sz w:val="24"/>
          <w:szCs w:val="24"/>
          <w14:textFill>
            <w14:solidFill>
              <w14:schemeClr w14:val="tx1"/>
            </w14:solidFill>
          </w14:textFill>
        </w:rPr>
        <w:t>除投标人须知前附表另有规定外，投标人所递交的投标文件不予退还。</w:t>
      </w:r>
      <w:r>
        <w:rPr>
          <w:rFonts w:hint="eastAsia" w:ascii="宋体" w:hAnsi="宋体"/>
          <w:bCs/>
          <w:color w:val="FF0000"/>
          <w:sz w:val="24"/>
          <w:szCs w:val="24"/>
        </w:rPr>
        <w:t xml:space="preserve"> </w:t>
      </w:r>
    </w:p>
    <w:p>
      <w:pPr>
        <w:numPr>
          <w:ilvl w:val="0"/>
          <w:numId w:val="5"/>
        </w:numPr>
        <w:spacing w:line="360" w:lineRule="auto"/>
        <w:ind w:left="560" w:hanging="560"/>
        <w:rPr>
          <w:rFonts w:asci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投标文件的撤回和修改</w:t>
      </w:r>
    </w:p>
    <w:p>
      <w:pPr>
        <w:numPr>
          <w:ilvl w:val="0"/>
          <w:numId w:val="19"/>
        </w:numPr>
        <w:spacing w:line="360" w:lineRule="auto"/>
        <w:ind w:left="993" w:hanging="567"/>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投标人在投标截止时间前</w:t>
      </w:r>
      <w:r>
        <w:rPr>
          <w:rFonts w:hint="eastAsia" w:ascii="宋体" w:hAnsi="宋体"/>
          <w:color w:val="000000" w:themeColor="text1"/>
          <w:sz w:val="24"/>
          <w:szCs w:val="20"/>
          <w:lang w:eastAsia="zh-CN"/>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可以修改或撤回已递交的投标文件。</w:t>
      </w:r>
    </w:p>
    <w:p>
      <w:pPr>
        <w:numPr>
          <w:ilvl w:val="0"/>
          <w:numId w:val="19"/>
        </w:numPr>
        <w:spacing w:line="360" w:lineRule="auto"/>
        <w:ind w:left="993" w:hanging="567"/>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投标人撤回投标文件的，在“电子交易平台”直接进行撤回操作。</w:t>
      </w:r>
    </w:p>
    <w:p>
      <w:pPr>
        <w:numPr>
          <w:ilvl w:val="0"/>
          <w:numId w:val="19"/>
        </w:numPr>
        <w:spacing w:line="360" w:lineRule="auto"/>
        <w:ind w:left="993" w:hanging="567"/>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投标人修改投标文件的，应当先撤回投标文件，再使用“电子投标文件制作软件”制作成完整的投标文件，并按照规定进行编制和递交。</w:t>
      </w:r>
    </w:p>
    <w:p>
      <w:pPr>
        <w:pStyle w:val="4"/>
        <w:numPr>
          <w:ilvl w:val="0"/>
          <w:numId w:val="4"/>
        </w:numPr>
        <w:spacing w:before="40" w:after="40" w:line="360" w:lineRule="auto"/>
        <w:ind w:left="658" w:hanging="658"/>
        <w:jc w:val="left"/>
        <w:rPr>
          <w:rFonts w:ascii="宋体"/>
          <w:bCs w:val="0"/>
          <w:color w:val="000000" w:themeColor="text1"/>
          <w14:textFill>
            <w14:solidFill>
              <w14:schemeClr w14:val="tx1"/>
            </w14:solidFill>
          </w14:textFill>
        </w:rPr>
      </w:pPr>
      <w:bookmarkStart w:id="93" w:name="_Toc23806"/>
      <w:bookmarkStart w:id="94" w:name="_Toc24946"/>
      <w:bookmarkStart w:id="95" w:name="_Toc80682152"/>
      <w:bookmarkStart w:id="96" w:name="_Toc8889"/>
      <w:bookmarkStart w:id="97" w:name="_Toc15648"/>
      <w:bookmarkStart w:id="98" w:name="_Toc511894498"/>
      <w:bookmarkStart w:id="99" w:name="_Toc1773"/>
      <w:bookmarkStart w:id="100" w:name="_Toc511889420"/>
      <w:bookmarkStart w:id="101" w:name="_Toc14512"/>
      <w:bookmarkStart w:id="102" w:name="_Toc16232348"/>
      <w:bookmarkStart w:id="103" w:name="_Toc3386"/>
      <w:bookmarkStart w:id="104" w:name="_Toc17682"/>
      <w:bookmarkStart w:id="105" w:name="_Toc16556"/>
      <w:bookmarkStart w:id="106" w:name="_Toc2626"/>
      <w:r>
        <w:rPr>
          <w:rFonts w:hint="eastAsia" w:ascii="宋体" w:hAnsi="宋体"/>
          <w:bCs w:val="0"/>
          <w:color w:val="000000" w:themeColor="text1"/>
          <w14:textFill>
            <w14:solidFill>
              <w14:schemeClr w14:val="tx1"/>
            </w14:solidFill>
          </w14:textFill>
        </w:rPr>
        <w:t>开标与评标</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numPr>
          <w:ilvl w:val="0"/>
          <w:numId w:val="5"/>
        </w:numPr>
        <w:spacing w:line="360" w:lineRule="auto"/>
        <w:ind w:left="560" w:hanging="56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开标</w:t>
      </w:r>
    </w:p>
    <w:p>
      <w:pPr>
        <w:pStyle w:val="49"/>
        <w:numPr>
          <w:ilvl w:val="0"/>
          <w:numId w:val="20"/>
        </w:numPr>
        <w:ind w:left="993" w:hanging="567" w:firstLineChars="0"/>
        <w:rPr>
          <w:rFonts w:asciiTheme="minorEastAsia" w:hAnsiTheme="minorEastAsia" w:eastAsiaTheme="minorEastAsia"/>
          <w:b/>
          <w:bCs/>
          <w:color w:val="000000" w:themeColor="text1"/>
          <w:sz w:val="24"/>
          <w:szCs w:val="24"/>
          <w14:textFill>
            <w14:solidFill>
              <w14:schemeClr w14:val="tx1"/>
            </w14:solidFill>
          </w14:textFill>
        </w:rPr>
      </w:pPr>
      <w:bookmarkStart w:id="107" w:name="_Toc28531713"/>
      <w:bookmarkStart w:id="108" w:name="_Toc152045560"/>
      <w:bookmarkStart w:id="109" w:name="_Toc144974528"/>
      <w:bookmarkStart w:id="110" w:name="_Toc179632578"/>
      <w:bookmarkStart w:id="111" w:name="_Toc152042336"/>
      <w:r>
        <w:rPr>
          <w:rFonts w:hint="eastAsia" w:asciiTheme="minorEastAsia" w:hAnsiTheme="minorEastAsia" w:eastAsiaTheme="minorEastAsia"/>
          <w:b/>
          <w:bCs/>
          <w:color w:val="000000" w:themeColor="text1"/>
          <w:sz w:val="24"/>
          <w:szCs w:val="24"/>
          <w14:textFill>
            <w14:solidFill>
              <w14:schemeClr w14:val="tx1"/>
            </w14:solidFill>
          </w14:textFill>
        </w:rPr>
        <w:t xml:space="preserve"> </w:t>
      </w:r>
      <w:r>
        <w:rPr>
          <w:rFonts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14:textFill>
            <w14:solidFill>
              <w14:schemeClr w14:val="tx1"/>
            </w14:solidFill>
          </w14:textFill>
        </w:rPr>
        <w:t>开标时间和地点</w:t>
      </w:r>
      <w:bookmarkEnd w:id="107"/>
      <w:bookmarkEnd w:id="108"/>
      <w:bookmarkEnd w:id="109"/>
      <w:bookmarkEnd w:id="110"/>
      <w:bookmarkEnd w:id="111"/>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.1.1 采购人在</w:t>
      </w:r>
      <w:r>
        <w:rPr>
          <w:rFonts w:hint="eastAsia" w:asciiTheme="minorEastAsia" w:hAnsiTheme="minorEastAsia" w:eastAsiaTheme="minorEastAsia"/>
          <w:color w:val="000000" w:themeColor="text1"/>
          <w:sz w:val="24"/>
          <w:szCs w:val="24"/>
          <w:lang w:eastAsia="zh-CN"/>
          <w14:textFill>
            <w14:solidFill>
              <w14:schemeClr w14:val="tx1"/>
            </w14:solidFill>
          </w14:textFill>
        </w:rPr>
        <w:t>第一章</w:t>
      </w:r>
      <w:r>
        <w:rPr>
          <w:rFonts w:hint="eastAsia" w:asciiTheme="minorEastAsia" w:hAnsiTheme="minorEastAsia" w:eastAsiaTheme="minorEastAsia"/>
          <w:color w:val="000000" w:themeColor="text1"/>
          <w:sz w:val="24"/>
          <w:szCs w:val="24"/>
          <w14:textFill>
            <w14:solidFill>
              <w14:schemeClr w14:val="tx1"/>
            </w14:solidFill>
          </w14:textFill>
        </w:rPr>
        <w:t>规定的投标截止时间（开标时间）</w:t>
      </w:r>
      <w:r>
        <w:rPr>
          <w:rFonts w:hint="eastAsia" w:asciiTheme="minorEastAsia" w:hAnsiTheme="minorEastAsia" w:eastAsiaTheme="minorEastAsia"/>
          <w:bCs/>
          <w:iCs/>
          <w:color w:val="000000" w:themeColor="text1"/>
          <w:sz w:val="24"/>
          <w:szCs w:val="24"/>
          <w14:textFill>
            <w14:solidFill>
              <w14:schemeClr w14:val="tx1"/>
            </w14:solidFill>
          </w14:textFill>
        </w:rPr>
        <w:t>在</w:t>
      </w:r>
      <w:r>
        <w:rPr>
          <w:rFonts w:hint="eastAsia" w:asciiTheme="minorEastAsia" w:hAnsiTheme="minorEastAsia" w:eastAsiaTheme="minorEastAsia"/>
          <w:color w:val="000000" w:themeColor="text1"/>
          <w:sz w:val="24"/>
          <w:szCs w:val="24"/>
          <w14:textFill>
            <w14:solidFill>
              <w14:schemeClr w14:val="tx1"/>
            </w14:solidFill>
          </w14:textFill>
        </w:rPr>
        <w:t>“电子交易平台”</w:t>
      </w:r>
      <w:r>
        <w:rPr>
          <w:rFonts w:hint="eastAsia" w:asciiTheme="minorEastAsia" w:hAnsiTheme="minorEastAsia" w:eastAsiaTheme="minorEastAsia"/>
          <w:bCs/>
          <w:iCs/>
          <w:color w:val="000000" w:themeColor="text1"/>
          <w:sz w:val="24"/>
          <w:szCs w:val="24"/>
          <w14:textFill>
            <w14:solidFill>
              <w14:schemeClr w14:val="tx1"/>
            </w14:solidFill>
          </w14:textFill>
        </w:rPr>
        <w:t>上</w:t>
      </w:r>
      <w:r>
        <w:rPr>
          <w:rFonts w:hint="eastAsia" w:asciiTheme="minorEastAsia" w:hAnsiTheme="minorEastAsia" w:eastAsiaTheme="minorEastAsia"/>
          <w:color w:val="000000" w:themeColor="text1"/>
          <w:sz w:val="24"/>
          <w:szCs w:val="24"/>
          <w14:textFill>
            <w14:solidFill>
              <w14:schemeClr w14:val="tx1"/>
            </w14:solidFill>
          </w14:textFill>
        </w:rPr>
        <w:t>公开进行开标，</w:t>
      </w:r>
      <w:r>
        <w:rPr>
          <w:rFonts w:hint="eastAsia" w:asciiTheme="minorEastAsia" w:hAnsiTheme="minorEastAsia" w:eastAsiaTheme="minorEastAsia"/>
          <w:bCs/>
          <w:iCs/>
          <w:color w:val="000000" w:themeColor="text1"/>
          <w:sz w:val="24"/>
          <w:szCs w:val="24"/>
          <w14:textFill>
            <w14:solidFill>
              <w14:schemeClr w14:val="tx1"/>
            </w14:solidFill>
          </w14:textFill>
        </w:rPr>
        <w:t>所有投标人均</w:t>
      </w:r>
      <w:r>
        <w:rPr>
          <w:rFonts w:hint="eastAsia" w:asciiTheme="minorEastAsia" w:hAnsiTheme="minorEastAsia" w:eastAsiaTheme="minorEastAsia"/>
          <w:b/>
          <w:bCs/>
          <w:iCs/>
          <w:color w:val="000000" w:themeColor="text1"/>
          <w:sz w:val="24"/>
          <w:szCs w:val="24"/>
          <w14:textFill>
            <w14:solidFill>
              <w14:schemeClr w14:val="tx1"/>
            </w14:solidFill>
          </w14:textFill>
        </w:rPr>
        <w:t>应当准时在线参加开标</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.1.2采购人通过互联网在投标人须知前附表规定的地点组织开标，并在投标截止时间30分钟前，</w:t>
      </w:r>
      <w:r>
        <w:rPr>
          <w:rFonts w:asciiTheme="minorEastAsia" w:hAnsiTheme="minorEastAsia" w:eastAsiaTheme="minorEastAsia"/>
          <w:color w:val="000000" w:themeColor="text1"/>
          <w:sz w:val="24"/>
          <w:szCs w:val="24"/>
          <w14:textFill>
            <w14:solidFill>
              <w14:schemeClr w14:val="tx1"/>
            </w14:solidFill>
          </w14:textFill>
        </w:rPr>
        <w:t>使用</w:t>
      </w:r>
      <w:r>
        <w:rPr>
          <w:rFonts w:hint="eastAsia" w:asciiTheme="minorEastAsia" w:hAnsiTheme="minorEastAsia" w:eastAsiaTheme="minorEastAsia"/>
          <w:color w:val="000000" w:themeColor="text1"/>
          <w:sz w:val="24"/>
          <w:szCs w:val="24"/>
          <w14:textFill>
            <w14:solidFill>
              <w14:schemeClr w14:val="tx1"/>
            </w14:solidFill>
          </w14:textFill>
        </w:rPr>
        <w:t>CA数字证书登录“电子交易平台”，进入“开标大厅”选择相应标段作在线开标的准备工作。</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.1.3 投标人应当在能够保证设施设备可靠、互联网畅通的</w:t>
      </w:r>
      <w:r>
        <w:rPr>
          <w:rFonts w:hint="eastAsia" w:asciiTheme="minorEastAsia" w:hAnsiTheme="minorEastAsia" w:eastAsiaTheme="minorEastAsia"/>
          <w:b/>
          <w:color w:val="000000" w:themeColor="text1"/>
          <w:sz w:val="24"/>
          <w:szCs w:val="24"/>
          <w14:textFill>
            <w14:solidFill>
              <w14:schemeClr w14:val="tx1"/>
            </w14:solidFill>
          </w14:textFill>
        </w:rPr>
        <w:t>任意地点</w:t>
      </w:r>
      <w:r>
        <w:rPr>
          <w:rFonts w:hint="eastAsia" w:asciiTheme="minorEastAsia" w:hAnsiTheme="minorEastAsia" w:eastAsiaTheme="minorEastAsia"/>
          <w:color w:val="000000" w:themeColor="text1"/>
          <w:sz w:val="24"/>
          <w:szCs w:val="24"/>
          <w14:textFill>
            <w14:solidFill>
              <w14:schemeClr w14:val="tx1"/>
            </w14:solidFill>
          </w14:textFill>
        </w:rPr>
        <w:t>，通过互联网在线参加开标。在投标截止时间前，</w:t>
      </w:r>
      <w:r>
        <w:rPr>
          <w:rFonts w:asciiTheme="minorEastAsia" w:hAnsiTheme="minorEastAsia" w:eastAsiaTheme="minorEastAsia"/>
          <w:b/>
          <w:color w:val="000000" w:themeColor="text1"/>
          <w:sz w:val="24"/>
          <w:szCs w:val="24"/>
          <w14:textFill>
            <w14:solidFill>
              <w14:schemeClr w14:val="tx1"/>
            </w14:solidFill>
          </w14:textFill>
        </w:rPr>
        <w:t>使用</w:t>
      </w:r>
      <w:r>
        <w:rPr>
          <w:rFonts w:hint="eastAsia" w:asciiTheme="minorEastAsia" w:hAnsiTheme="minorEastAsia" w:eastAsiaTheme="minorEastAsia"/>
          <w:b/>
          <w:color w:val="000000" w:themeColor="text1"/>
          <w:sz w:val="24"/>
          <w:szCs w:val="24"/>
          <w14:textFill>
            <w14:solidFill>
              <w14:schemeClr w14:val="tx1"/>
            </w14:solidFill>
          </w14:textFill>
        </w:rPr>
        <w:t>加密其投标文件的CA数字证书</w:t>
      </w:r>
      <w:r>
        <w:rPr>
          <w:rFonts w:hint="eastAsia" w:asciiTheme="minorEastAsia" w:hAnsiTheme="minorEastAsia" w:eastAsiaTheme="minorEastAsia"/>
          <w:color w:val="000000" w:themeColor="text1"/>
          <w:sz w:val="24"/>
          <w:szCs w:val="24"/>
          <w14:textFill>
            <w14:solidFill>
              <w14:schemeClr w14:val="tx1"/>
            </w14:solidFill>
          </w14:textFill>
        </w:rPr>
        <w:t>登录“电子交易平台”，进入“开标大厅”选择所投标段</w:t>
      </w:r>
      <w:r>
        <w:rPr>
          <w:rFonts w:hint="eastAsia" w:asciiTheme="minorEastAsia" w:hAnsiTheme="minorEastAsia" w:eastAsiaTheme="minorEastAsia"/>
          <w:b/>
          <w:bCs/>
          <w:color w:val="000000" w:themeColor="text1"/>
          <w:sz w:val="24"/>
          <w:szCs w:val="24"/>
          <w14:textFill>
            <w14:solidFill>
              <w14:schemeClr w14:val="tx1"/>
            </w14:solidFill>
          </w14:textFill>
        </w:rPr>
        <w:t>进行签到</w:t>
      </w:r>
      <w:r>
        <w:rPr>
          <w:rFonts w:hint="eastAsia" w:asciiTheme="minorEastAsia" w:hAnsiTheme="minorEastAsia" w:eastAsiaTheme="minorEastAsia"/>
          <w:color w:val="000000" w:themeColor="text1"/>
          <w:sz w:val="24"/>
          <w:szCs w:val="24"/>
          <w14:textFill>
            <w14:solidFill>
              <w14:schemeClr w14:val="tx1"/>
            </w14:solidFill>
          </w14:textFill>
        </w:rPr>
        <w:t>，并实时在线关注采购人的操作情况。</w:t>
      </w:r>
    </w:p>
    <w:p>
      <w:pPr>
        <w:pStyle w:val="49"/>
        <w:numPr>
          <w:ilvl w:val="0"/>
          <w:numId w:val="20"/>
        </w:numPr>
        <w:ind w:left="993" w:hanging="567" w:firstLineChars="0"/>
        <w:rPr>
          <w:rFonts w:asciiTheme="minorEastAsia" w:hAnsiTheme="minorEastAsia" w:eastAsiaTheme="minorEastAsia"/>
          <w:b/>
          <w:bCs/>
          <w:color w:val="000000" w:themeColor="text1"/>
          <w:sz w:val="24"/>
          <w:szCs w:val="24"/>
          <w14:textFill>
            <w14:solidFill>
              <w14:schemeClr w14:val="tx1"/>
            </w14:solidFill>
          </w14:textFill>
        </w:rPr>
      </w:pPr>
      <w:bookmarkStart w:id="112" w:name="_Toc152045561"/>
      <w:bookmarkStart w:id="113" w:name="_Toc28531714"/>
      <w:bookmarkStart w:id="114" w:name="_Toc152042337"/>
      <w:bookmarkStart w:id="115" w:name="_Toc179632579"/>
      <w:bookmarkStart w:id="116" w:name="_Toc144974529"/>
      <w:r>
        <w:rPr>
          <w:rFonts w:hint="eastAsia" w:asciiTheme="minorEastAsia" w:hAnsiTheme="minorEastAsia" w:eastAsiaTheme="minorEastAsia"/>
          <w:b/>
          <w:bCs/>
          <w:color w:val="000000" w:themeColor="text1"/>
          <w:sz w:val="24"/>
          <w:szCs w:val="24"/>
          <w14:textFill>
            <w14:solidFill>
              <w14:schemeClr w14:val="tx1"/>
            </w14:solidFill>
          </w14:textFill>
        </w:rPr>
        <w:t xml:space="preserve"> </w:t>
      </w:r>
      <w:r>
        <w:rPr>
          <w:rFonts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14:textFill>
            <w14:solidFill>
              <w14:schemeClr w14:val="tx1"/>
            </w14:solidFill>
          </w14:textFill>
        </w:rPr>
        <w:t>开标程序</w:t>
      </w:r>
      <w:bookmarkEnd w:id="112"/>
      <w:bookmarkEnd w:id="113"/>
      <w:bookmarkEnd w:id="114"/>
      <w:bookmarkEnd w:id="115"/>
      <w:bookmarkEnd w:id="116"/>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.2.1 主持人按下列程序在“电子交易平台”的“开标大厅”进行在线开标：</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（1）宣布开标纪律；</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（2）公布</w:t>
      </w:r>
      <w:r>
        <w:rPr>
          <w:rFonts w:hint="eastAsia" w:asciiTheme="minorEastAsia" w:hAnsiTheme="minorEastAsia" w:eastAsiaTheme="minorEastAsia"/>
          <w:color w:val="000000" w:themeColor="text1"/>
          <w:sz w:val="24"/>
          <w:szCs w:val="24"/>
          <w14:textFill>
            <w14:solidFill>
              <w14:schemeClr w14:val="tx1"/>
            </w14:solidFill>
          </w14:textFill>
        </w:rPr>
        <w:t>主持人、采购人代表、监标人</w:t>
      </w:r>
      <w:r>
        <w:rPr>
          <w:rFonts w:asciiTheme="minorEastAsia" w:hAnsiTheme="minorEastAsia" w:eastAsiaTheme="minorEastAsia"/>
          <w:color w:val="000000" w:themeColor="text1"/>
          <w:sz w:val="24"/>
          <w:szCs w:val="24"/>
          <w14:textFill>
            <w14:solidFill>
              <w14:schemeClr w14:val="tx1"/>
            </w14:solidFill>
          </w14:textFill>
        </w:rPr>
        <w:t>等有关人员</w:t>
      </w:r>
      <w:r>
        <w:rPr>
          <w:rFonts w:hint="eastAsia" w:asciiTheme="minorEastAsia" w:hAnsiTheme="minorEastAsia" w:eastAsiaTheme="minorEastAsia"/>
          <w:color w:val="000000" w:themeColor="text1"/>
          <w:sz w:val="24"/>
          <w:szCs w:val="24"/>
          <w14:textFill>
            <w14:solidFill>
              <w14:schemeClr w14:val="tx1"/>
            </w14:solidFill>
          </w14:textFill>
        </w:rPr>
        <w:t>姓</w:t>
      </w:r>
      <w:r>
        <w:rPr>
          <w:rFonts w:asciiTheme="minorEastAsia" w:hAnsiTheme="minorEastAsia" w:eastAsiaTheme="minorEastAsia"/>
          <w:color w:val="000000" w:themeColor="text1"/>
          <w:sz w:val="24"/>
          <w:szCs w:val="24"/>
          <w14:textFill>
            <w14:solidFill>
              <w14:schemeClr w14:val="tx1"/>
            </w14:solidFill>
          </w14:textFill>
        </w:rPr>
        <w:t xml:space="preserve">名； </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公布在投标截止时间前投标文件的递交情况；</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（4）投标人</w:t>
      </w:r>
      <w:r>
        <w:rPr>
          <w:rFonts w:hint="eastAsia" w:asciiTheme="minorEastAsia" w:hAnsiTheme="minorEastAsia" w:eastAsiaTheme="minorEastAsia"/>
          <w:color w:val="000000" w:themeColor="text1"/>
          <w:sz w:val="24"/>
          <w:szCs w:val="24"/>
          <w14:textFill>
            <w14:solidFill>
              <w14:schemeClr w14:val="tx1"/>
            </w14:solidFill>
          </w14:textFill>
        </w:rPr>
        <w:t>根据提示</w:t>
      </w:r>
      <w:r>
        <w:rPr>
          <w:rFonts w:asciiTheme="minorEastAsia" w:hAnsiTheme="minorEastAsia" w:eastAsiaTheme="minorEastAsia"/>
          <w:color w:val="000000" w:themeColor="text1"/>
          <w:sz w:val="24"/>
          <w:szCs w:val="24"/>
          <w14:textFill>
            <w14:solidFill>
              <w14:schemeClr w14:val="tx1"/>
            </w14:solidFill>
          </w14:textFill>
        </w:rPr>
        <w:t>在</w:t>
      </w:r>
      <w:r>
        <w:rPr>
          <w:rFonts w:hint="eastAsia" w:asciiTheme="minorEastAsia" w:hAnsiTheme="minorEastAsia" w:eastAsiaTheme="minorEastAsia"/>
          <w:color w:val="000000" w:themeColor="text1"/>
          <w:sz w:val="24"/>
          <w:szCs w:val="24"/>
          <w14:textFill>
            <w14:solidFill>
              <w14:schemeClr w14:val="tx1"/>
            </w14:solidFill>
          </w14:textFill>
        </w:rPr>
        <w:t>投标人须知前附表规定的时间内</w:t>
      </w:r>
      <w:r>
        <w:rPr>
          <w:rFonts w:asciiTheme="minorEastAsia" w:hAnsiTheme="minorEastAsia" w:eastAsiaTheme="minorEastAsia"/>
          <w:color w:val="000000" w:themeColor="text1"/>
          <w:sz w:val="24"/>
          <w:szCs w:val="24"/>
          <w14:textFill>
            <w14:solidFill>
              <w14:schemeClr w14:val="tx1"/>
            </w14:solidFill>
          </w14:textFill>
        </w:rPr>
        <w:t>解密投标文件</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）读取已解密的投标文件的内容；</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公布投标人名称、投标价格和招标文件规定的需要宣布的其他内容，并</w:t>
      </w:r>
      <w:r>
        <w:rPr>
          <w:rFonts w:hint="eastAsia" w:asciiTheme="minorEastAsia" w:hAnsiTheme="minorEastAsia" w:eastAsiaTheme="minorEastAsia"/>
          <w:bCs/>
          <w:iCs/>
          <w:color w:val="000000" w:themeColor="text1"/>
          <w:sz w:val="24"/>
          <w:szCs w:val="24"/>
          <w14:textFill>
            <w14:solidFill>
              <w14:schemeClr w14:val="tx1"/>
            </w14:solidFill>
          </w14:textFill>
        </w:rPr>
        <w:t>生成开标记录</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（7）开标结束。</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.2.2 在规定的时间内，非因“电子交易平台”原因造成投标文件未解密的，视为投标人撤回投标文件。已解密的投标文件少于三个的，招标失败；已解密的投标文件不少于三个，开标继续进行。</w:t>
      </w:r>
    </w:p>
    <w:p>
      <w:pPr>
        <w:pStyle w:val="49"/>
        <w:numPr>
          <w:ilvl w:val="0"/>
          <w:numId w:val="20"/>
        </w:numPr>
        <w:ind w:left="993" w:hanging="567" w:firstLineChars="0"/>
        <w:rPr>
          <w:rFonts w:asciiTheme="minorEastAsia" w:hAnsiTheme="minorEastAsia" w:eastAsiaTheme="minorEastAsia"/>
          <w:b/>
          <w:bCs/>
          <w:color w:val="000000" w:themeColor="text1"/>
          <w:sz w:val="24"/>
          <w:szCs w:val="24"/>
          <w14:textFill>
            <w14:solidFill>
              <w14:schemeClr w14:val="tx1"/>
            </w14:solidFill>
          </w14:textFill>
        </w:rPr>
      </w:pPr>
      <w:bookmarkStart w:id="117" w:name="_Toc28531715"/>
      <w:bookmarkStart w:id="118" w:name="_Toc300834983"/>
      <w:r>
        <w:rPr>
          <w:rFonts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14:textFill>
            <w14:solidFill>
              <w14:schemeClr w14:val="tx1"/>
            </w14:solidFill>
          </w14:textFill>
        </w:rPr>
        <w:t>开标异议</w:t>
      </w:r>
      <w:bookmarkEnd w:id="117"/>
      <w:bookmarkEnd w:id="118"/>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.3.1投标人对开标有异议的，应当在开标过程中提出；采购人当场对异议作出答复，并记入开标记录。异议与答复应通过 “开标大厅”在“异议与答复”菜单以书面形式进行。</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本处所称异议是指投标人在</w:t>
      </w:r>
      <w:r>
        <w:rPr>
          <w:rFonts w:asciiTheme="minorEastAsia" w:hAnsiTheme="minorEastAsia" w:eastAsiaTheme="minorEastAsia"/>
          <w:color w:val="000000" w:themeColor="text1"/>
          <w:sz w:val="24"/>
          <w:szCs w:val="24"/>
          <w14:textFill>
            <w14:solidFill>
              <w14:schemeClr w14:val="tx1"/>
            </w14:solidFill>
          </w14:textFill>
        </w:rPr>
        <w:t>开标</w:t>
      </w:r>
      <w:r>
        <w:rPr>
          <w:rFonts w:hint="eastAsia" w:asciiTheme="minorEastAsia" w:hAnsiTheme="minorEastAsia" w:eastAsiaTheme="minorEastAsia"/>
          <w:color w:val="000000" w:themeColor="text1"/>
          <w:sz w:val="24"/>
          <w:szCs w:val="24"/>
          <w14:textFill>
            <w14:solidFill>
              <w14:schemeClr w14:val="tx1"/>
            </w14:solidFill>
          </w14:textFill>
        </w:rPr>
        <w:t>过程中</w:t>
      </w:r>
      <w:r>
        <w:rPr>
          <w:rFonts w:asciiTheme="minorEastAsia" w:hAnsiTheme="minorEastAsia" w:eastAsiaTheme="minorEastAsia"/>
          <w:color w:val="000000" w:themeColor="text1"/>
          <w:sz w:val="24"/>
          <w:szCs w:val="24"/>
          <w14:textFill>
            <w14:solidFill>
              <w14:schemeClr w14:val="tx1"/>
            </w14:solidFill>
          </w14:textFill>
        </w:rPr>
        <w:t>对投标文件提交、</w:t>
      </w:r>
      <w:r>
        <w:rPr>
          <w:rFonts w:hint="eastAsia" w:asciiTheme="minorEastAsia" w:hAnsiTheme="minorEastAsia" w:eastAsiaTheme="minorEastAsia"/>
          <w:color w:val="000000" w:themeColor="text1"/>
          <w:sz w:val="24"/>
          <w:szCs w:val="24"/>
          <w14:textFill>
            <w14:solidFill>
              <w14:schemeClr w14:val="tx1"/>
            </w14:solidFill>
          </w14:textFill>
        </w:rPr>
        <w:t>投标</w:t>
      </w:r>
      <w:r>
        <w:rPr>
          <w:rFonts w:asciiTheme="minorEastAsia" w:hAnsiTheme="minorEastAsia" w:eastAsiaTheme="minorEastAsia"/>
          <w:color w:val="000000" w:themeColor="text1"/>
          <w:sz w:val="24"/>
          <w:szCs w:val="24"/>
          <w14:textFill>
            <w14:solidFill>
              <w14:schemeClr w14:val="tx1"/>
            </w14:solidFill>
          </w14:textFill>
        </w:rPr>
        <w:t>截</w:t>
      </w:r>
      <w:r>
        <w:rPr>
          <w:rFonts w:hint="eastAsia" w:asciiTheme="minorEastAsia" w:hAnsiTheme="minorEastAsia" w:eastAsiaTheme="minorEastAsia"/>
          <w:color w:val="000000" w:themeColor="text1"/>
          <w:sz w:val="24"/>
          <w:szCs w:val="24"/>
          <w14:textFill>
            <w14:solidFill>
              <w14:schemeClr w14:val="tx1"/>
            </w14:solidFill>
          </w14:textFill>
        </w:rPr>
        <w:t>止</w:t>
      </w:r>
      <w:r>
        <w:rPr>
          <w:rFonts w:asciiTheme="minorEastAsia" w:hAnsiTheme="minorEastAsia" w:eastAsiaTheme="minorEastAsia"/>
          <w:color w:val="000000" w:themeColor="text1"/>
          <w:sz w:val="24"/>
          <w:szCs w:val="24"/>
          <w14:textFill>
            <w14:solidFill>
              <w14:schemeClr w14:val="tx1"/>
            </w14:solidFill>
          </w14:textFill>
        </w:rPr>
        <w:t>时间、开标程序、开标记录以及投标人和采购人或者投标人相互之间存在利益冲突的情形等</w:t>
      </w:r>
      <w:r>
        <w:rPr>
          <w:rFonts w:hint="eastAsia" w:asciiTheme="minorEastAsia" w:hAnsiTheme="minorEastAsia" w:eastAsiaTheme="minorEastAsia"/>
          <w:color w:val="000000" w:themeColor="text1"/>
          <w:sz w:val="24"/>
          <w:szCs w:val="24"/>
          <w14:textFill>
            <w14:solidFill>
              <w14:schemeClr w14:val="tx1"/>
            </w14:solidFill>
          </w14:textFill>
        </w:rPr>
        <w:t>提出的质疑。</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 xml:space="preserve">.3.2 </w:t>
      </w:r>
      <w:r>
        <w:rPr>
          <w:rFonts w:asciiTheme="minorEastAsia" w:hAnsiTheme="minorEastAsia" w:eastAsiaTheme="minorEastAsia"/>
          <w:color w:val="000000" w:themeColor="text1"/>
          <w:sz w:val="24"/>
          <w:szCs w:val="24"/>
          <w14:textFill>
            <w14:solidFill>
              <w14:schemeClr w14:val="tx1"/>
            </w14:solidFill>
          </w14:textFill>
        </w:rPr>
        <w:t>投标人异议成立的，采购人</w:t>
      </w:r>
      <w:r>
        <w:rPr>
          <w:rFonts w:hint="eastAsia" w:asciiTheme="minorEastAsia" w:hAnsiTheme="minorEastAsia" w:eastAsiaTheme="minorEastAsia"/>
          <w:color w:val="000000" w:themeColor="text1"/>
          <w:sz w:val="24"/>
          <w:szCs w:val="24"/>
          <w14:textFill>
            <w14:solidFill>
              <w14:schemeClr w14:val="tx1"/>
            </w14:solidFill>
          </w14:textFill>
        </w:rPr>
        <w:t>将</w:t>
      </w:r>
      <w:r>
        <w:rPr>
          <w:rFonts w:asciiTheme="minorEastAsia" w:hAnsiTheme="minorEastAsia" w:eastAsiaTheme="minorEastAsia"/>
          <w:color w:val="000000" w:themeColor="text1"/>
          <w:sz w:val="24"/>
          <w:szCs w:val="24"/>
          <w14:textFill>
            <w14:solidFill>
              <w14:schemeClr w14:val="tx1"/>
            </w14:solidFill>
          </w14:textFill>
        </w:rPr>
        <w:t>及时采取纠正措施，或者提交评标委员会评审确认；投标人异议不成立的，采购人</w:t>
      </w:r>
      <w:r>
        <w:rPr>
          <w:rFonts w:hint="eastAsia" w:asciiTheme="minorEastAsia" w:hAnsiTheme="minorEastAsia" w:eastAsiaTheme="minorEastAsia"/>
          <w:color w:val="000000" w:themeColor="text1"/>
          <w:sz w:val="24"/>
          <w:szCs w:val="24"/>
          <w14:textFill>
            <w14:solidFill>
              <w14:schemeClr w14:val="tx1"/>
            </w14:solidFill>
          </w14:textFill>
        </w:rPr>
        <w:t>将</w:t>
      </w:r>
      <w:r>
        <w:rPr>
          <w:rFonts w:asciiTheme="minorEastAsia" w:hAnsiTheme="minorEastAsia" w:eastAsiaTheme="minorEastAsia"/>
          <w:color w:val="000000" w:themeColor="text1"/>
          <w:sz w:val="24"/>
          <w:szCs w:val="24"/>
          <w14:textFill>
            <w14:solidFill>
              <w14:schemeClr w14:val="tx1"/>
            </w14:solidFill>
          </w14:textFill>
        </w:rPr>
        <w:t>当场给予解释说明。</w:t>
      </w:r>
    </w:p>
    <w:p>
      <w:pPr>
        <w:pStyle w:val="49"/>
        <w:numPr>
          <w:ilvl w:val="0"/>
          <w:numId w:val="20"/>
        </w:numPr>
        <w:ind w:left="993" w:hanging="567" w:firstLineChars="0"/>
        <w:rPr>
          <w:rFonts w:asciiTheme="minorEastAsia" w:hAnsiTheme="minorEastAsia" w:eastAsiaTheme="minorEastAsia"/>
          <w:b/>
          <w:bCs/>
          <w:color w:val="000000" w:themeColor="text1"/>
          <w:sz w:val="24"/>
          <w:szCs w:val="24"/>
          <w14:textFill>
            <w14:solidFill>
              <w14:schemeClr w14:val="tx1"/>
            </w14:solidFill>
          </w14:textFill>
        </w:rPr>
      </w:pPr>
      <w:bookmarkStart w:id="119" w:name="_Toc28531716"/>
      <w:bookmarkStart w:id="120" w:name="_Toc400530224"/>
      <w:bookmarkStart w:id="121" w:name="_Toc402465011"/>
      <w:r>
        <w:rPr>
          <w:rFonts w:hint="eastAsia" w:asciiTheme="minorEastAsia" w:hAnsiTheme="minorEastAsia" w:eastAsiaTheme="minorEastAsia"/>
          <w:b/>
          <w:bCs/>
          <w:color w:val="000000" w:themeColor="text1"/>
          <w:sz w:val="24"/>
          <w:szCs w:val="24"/>
          <w14:textFill>
            <w14:solidFill>
              <w14:schemeClr w14:val="tx1"/>
            </w14:solidFill>
          </w14:textFill>
        </w:rPr>
        <w:t xml:space="preserve"> </w:t>
      </w:r>
      <w:r>
        <w:rPr>
          <w:rFonts w:asciiTheme="minorEastAsia" w:hAnsiTheme="minorEastAsia" w:eastAsiaTheme="minorEastAsia"/>
          <w:b/>
          <w:bCs/>
          <w:color w:val="000000" w:themeColor="text1"/>
          <w:sz w:val="24"/>
          <w:szCs w:val="24"/>
          <w14:textFill>
            <w14:solidFill>
              <w14:schemeClr w14:val="tx1"/>
            </w14:solidFill>
          </w14:textFill>
        </w:rPr>
        <w:t xml:space="preserve"> 特殊情况的处置</w:t>
      </w:r>
      <w:bookmarkEnd w:id="119"/>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.4.1</w:t>
      </w:r>
      <w:r>
        <w:rPr>
          <w:rFonts w:asciiTheme="minorEastAsia" w:hAnsiTheme="minorEastAsia" w:eastAsiaTheme="minorEastAsia"/>
          <w:color w:val="000000" w:themeColor="text1"/>
          <w:sz w:val="24"/>
          <w:szCs w:val="24"/>
          <w14:textFill>
            <w14:solidFill>
              <w14:schemeClr w14:val="tx1"/>
            </w14:solidFill>
          </w14:textFill>
        </w:rPr>
        <w:t>因</w:t>
      </w:r>
      <w:r>
        <w:rPr>
          <w:rFonts w:hint="eastAsia" w:asciiTheme="minorEastAsia" w:hAnsiTheme="minorEastAsia" w:eastAsiaTheme="minorEastAsia"/>
          <w:color w:val="000000" w:themeColor="text1"/>
          <w:sz w:val="24"/>
          <w:szCs w:val="24"/>
          <w14:textFill>
            <w14:solidFill>
              <w14:schemeClr w14:val="tx1"/>
            </w14:solidFill>
          </w14:textFill>
        </w:rPr>
        <w:t>“电子交易平台”</w:t>
      </w:r>
      <w:r>
        <w:rPr>
          <w:rFonts w:asciiTheme="minorEastAsia" w:hAnsiTheme="minorEastAsia" w:eastAsiaTheme="minorEastAsia"/>
          <w:color w:val="000000" w:themeColor="text1"/>
          <w:sz w:val="24"/>
          <w:szCs w:val="24"/>
          <w14:textFill>
            <w14:solidFill>
              <w14:schemeClr w14:val="tx1"/>
            </w14:solidFill>
          </w14:textFill>
        </w:rPr>
        <w:t>系统</w:t>
      </w:r>
      <w:r>
        <w:rPr>
          <w:rFonts w:hint="eastAsia" w:asciiTheme="minorEastAsia" w:hAnsiTheme="minorEastAsia" w:eastAsiaTheme="minorEastAsia"/>
          <w:color w:val="000000" w:themeColor="text1"/>
          <w:sz w:val="24"/>
          <w:szCs w:val="24"/>
          <w14:textFill>
            <w14:solidFill>
              <w14:schemeClr w14:val="tx1"/>
            </w14:solidFill>
          </w14:textFill>
        </w:rPr>
        <w:t>故障</w:t>
      </w:r>
      <w:r>
        <w:rPr>
          <w:rFonts w:asciiTheme="minorEastAsia" w:hAnsiTheme="minorEastAsia" w:eastAsiaTheme="minorEastAsia"/>
          <w:color w:val="000000" w:themeColor="text1"/>
          <w:sz w:val="24"/>
          <w:szCs w:val="24"/>
          <w14:textFill>
            <w14:solidFill>
              <w14:schemeClr w14:val="tx1"/>
            </w14:solidFill>
          </w14:textFill>
        </w:rPr>
        <w:t>导致</w:t>
      </w:r>
      <w:r>
        <w:rPr>
          <w:rFonts w:hint="eastAsia" w:asciiTheme="minorEastAsia" w:hAnsiTheme="minorEastAsia" w:eastAsiaTheme="minorEastAsia"/>
          <w:color w:val="000000" w:themeColor="text1"/>
          <w:sz w:val="24"/>
          <w:szCs w:val="24"/>
          <w14:textFill>
            <w14:solidFill>
              <w14:schemeClr w14:val="tx1"/>
            </w14:solidFill>
          </w14:textFill>
        </w:rPr>
        <w:t>无法投标的，交易中心及时通知采购人，采购人视情况决定是否顺延投标截止时间。</w:t>
      </w:r>
      <w:r>
        <w:rPr>
          <w:rFonts w:asciiTheme="minorEastAsia" w:hAnsiTheme="minorEastAsia" w:eastAsiaTheme="minorEastAsia"/>
          <w:color w:val="000000" w:themeColor="text1"/>
          <w:sz w:val="24"/>
          <w:szCs w:val="24"/>
          <w14:textFill>
            <w14:solidFill>
              <w14:schemeClr w14:val="tx1"/>
            </w14:solidFill>
          </w14:textFill>
        </w:rPr>
        <w:t>因投标人自身</w:t>
      </w:r>
      <w:r>
        <w:rPr>
          <w:rFonts w:hint="eastAsia" w:asciiTheme="minorEastAsia" w:hAnsiTheme="minorEastAsia" w:eastAsiaTheme="minorEastAsia"/>
          <w:color w:val="000000" w:themeColor="text1"/>
          <w:sz w:val="24"/>
          <w:szCs w:val="24"/>
          <w14:textFill>
            <w14:solidFill>
              <w14:schemeClr w14:val="tx1"/>
            </w14:solidFill>
          </w14:textFill>
        </w:rPr>
        <w:t>原因</w:t>
      </w:r>
      <w:r>
        <w:rPr>
          <w:rFonts w:asciiTheme="minorEastAsia" w:hAnsiTheme="minorEastAsia" w:eastAsiaTheme="minorEastAsia"/>
          <w:color w:val="000000" w:themeColor="text1"/>
          <w:sz w:val="24"/>
          <w:szCs w:val="24"/>
          <w14:textFill>
            <w14:solidFill>
              <w14:schemeClr w14:val="tx1"/>
            </w14:solidFill>
          </w14:textFill>
        </w:rPr>
        <w:t>导致无法完成投标的，由投标人自行承担后果。</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 xml:space="preserve">.4.2 </w:t>
      </w:r>
      <w:r>
        <w:rPr>
          <w:rFonts w:asciiTheme="minorEastAsia" w:hAnsiTheme="minorEastAsia" w:eastAsiaTheme="minorEastAsia"/>
          <w:color w:val="000000" w:themeColor="text1"/>
          <w:sz w:val="24"/>
          <w:szCs w:val="24"/>
          <w14:textFill>
            <w14:solidFill>
              <w14:schemeClr w14:val="tx1"/>
            </w14:solidFill>
          </w14:textFill>
        </w:rPr>
        <w:t>因</w:t>
      </w:r>
      <w:r>
        <w:rPr>
          <w:rFonts w:hint="eastAsia" w:asciiTheme="minorEastAsia" w:hAnsiTheme="minorEastAsia" w:eastAsiaTheme="minorEastAsia"/>
          <w:color w:val="000000" w:themeColor="text1"/>
          <w:sz w:val="24"/>
          <w:szCs w:val="24"/>
          <w14:textFill>
            <w14:solidFill>
              <w14:schemeClr w14:val="tx1"/>
            </w14:solidFill>
          </w14:textFill>
        </w:rPr>
        <w:t>“电子交易平台”</w:t>
      </w:r>
      <w:r>
        <w:rPr>
          <w:rFonts w:asciiTheme="minorEastAsia" w:hAnsiTheme="minorEastAsia" w:eastAsiaTheme="minorEastAsia"/>
          <w:color w:val="000000" w:themeColor="text1"/>
          <w:sz w:val="24"/>
          <w:szCs w:val="24"/>
          <w14:textFill>
            <w14:solidFill>
              <w14:schemeClr w14:val="tx1"/>
            </w14:solidFill>
          </w14:textFill>
        </w:rPr>
        <w:t>系统</w:t>
      </w:r>
      <w:r>
        <w:rPr>
          <w:rFonts w:hint="eastAsia" w:asciiTheme="minorEastAsia" w:hAnsiTheme="minorEastAsia" w:eastAsiaTheme="minorEastAsia"/>
          <w:color w:val="000000" w:themeColor="text1"/>
          <w:sz w:val="24"/>
          <w:szCs w:val="24"/>
          <w14:textFill>
            <w14:solidFill>
              <w14:schemeClr w14:val="tx1"/>
            </w14:solidFill>
          </w14:textFill>
        </w:rPr>
        <w:t>故障</w:t>
      </w:r>
      <w:r>
        <w:rPr>
          <w:rFonts w:asciiTheme="minorEastAsia" w:hAnsiTheme="minorEastAsia" w:eastAsiaTheme="minorEastAsia"/>
          <w:color w:val="000000" w:themeColor="text1"/>
          <w:sz w:val="24"/>
          <w:szCs w:val="24"/>
          <w14:textFill>
            <w14:solidFill>
              <w14:schemeClr w14:val="tx1"/>
            </w14:solidFill>
          </w14:textFill>
        </w:rPr>
        <w:t>导致</w:t>
      </w:r>
      <w:r>
        <w:rPr>
          <w:rFonts w:hint="eastAsia" w:asciiTheme="minorEastAsia" w:hAnsiTheme="minorEastAsia" w:eastAsiaTheme="minorEastAsia"/>
          <w:color w:val="000000" w:themeColor="text1"/>
          <w:sz w:val="24"/>
          <w:szCs w:val="24"/>
          <w14:textFill>
            <w14:solidFill>
              <w14:schemeClr w14:val="tx1"/>
            </w14:solidFill>
          </w14:textFill>
        </w:rPr>
        <w:t>无法正常开标的，采购人将</w:t>
      </w:r>
      <w:r>
        <w:rPr>
          <w:rFonts w:asciiTheme="minorEastAsia" w:hAnsiTheme="minorEastAsia" w:eastAsiaTheme="minorEastAsia"/>
          <w:color w:val="000000" w:themeColor="text1"/>
          <w:sz w:val="24"/>
          <w:szCs w:val="24"/>
          <w14:textFill>
            <w14:solidFill>
              <w14:schemeClr w14:val="tx1"/>
            </w14:solidFill>
          </w14:textFill>
        </w:rPr>
        <w:t>暂停开标</w:t>
      </w:r>
      <w:r>
        <w:rPr>
          <w:rFonts w:hint="eastAsia" w:asciiTheme="minorEastAsia" w:hAnsiTheme="minorEastAsia" w:eastAsiaTheme="minorEastAsia"/>
          <w:color w:val="000000" w:themeColor="text1"/>
          <w:sz w:val="24"/>
          <w:szCs w:val="24"/>
          <w14:textFill>
            <w14:solidFill>
              <w14:schemeClr w14:val="tx1"/>
            </w14:solidFill>
          </w14:textFill>
        </w:rPr>
        <w:t>，待系统恢复</w:t>
      </w:r>
      <w:r>
        <w:rPr>
          <w:rFonts w:asciiTheme="minorEastAsia" w:hAnsiTheme="minorEastAsia" w:eastAsiaTheme="minorEastAsia"/>
          <w:color w:val="000000" w:themeColor="text1"/>
          <w:sz w:val="24"/>
          <w:szCs w:val="24"/>
          <w14:textFill>
            <w14:solidFill>
              <w14:schemeClr w14:val="tx1"/>
            </w14:solidFill>
          </w14:textFill>
        </w:rPr>
        <w:t>正常</w:t>
      </w:r>
      <w:r>
        <w:rPr>
          <w:rFonts w:hint="eastAsia" w:asciiTheme="minorEastAsia" w:hAnsiTheme="minorEastAsia" w:eastAsiaTheme="minorEastAsia"/>
          <w:color w:val="000000" w:themeColor="text1"/>
          <w:sz w:val="24"/>
          <w:szCs w:val="24"/>
          <w14:textFill>
            <w14:solidFill>
              <w14:schemeClr w14:val="tx1"/>
            </w14:solidFill>
          </w14:textFill>
        </w:rPr>
        <w:t>后继续开标。</w:t>
      </w:r>
    </w:p>
    <w:p>
      <w:pPr>
        <w:spacing w:line="400" w:lineRule="exact"/>
        <w:ind w:left="424" w:leftChars="202"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22</w:t>
      </w:r>
      <w:r>
        <w:rPr>
          <w:rFonts w:hint="eastAsia" w:asciiTheme="minorEastAsia" w:hAnsiTheme="minorEastAsia" w:eastAsiaTheme="minorEastAsia"/>
          <w:color w:val="000000" w:themeColor="text1"/>
          <w:sz w:val="24"/>
          <w:szCs w:val="24"/>
          <w14:textFill>
            <w14:solidFill>
              <w14:schemeClr w14:val="tx1"/>
            </w14:solidFill>
          </w14:textFill>
        </w:rPr>
        <w:t>.4.3 “电子交易平台”</w:t>
      </w:r>
      <w:r>
        <w:rPr>
          <w:rFonts w:asciiTheme="minorEastAsia" w:hAnsiTheme="minorEastAsia" w:eastAsiaTheme="minorEastAsia"/>
          <w:color w:val="000000" w:themeColor="text1"/>
          <w:sz w:val="24"/>
          <w:szCs w:val="24"/>
          <w14:textFill>
            <w14:solidFill>
              <w14:schemeClr w14:val="tx1"/>
            </w14:solidFill>
          </w14:textFill>
        </w:rPr>
        <w:t>系统</w:t>
      </w:r>
      <w:r>
        <w:rPr>
          <w:rFonts w:hint="eastAsia" w:asciiTheme="minorEastAsia" w:hAnsiTheme="minorEastAsia" w:eastAsiaTheme="minorEastAsia"/>
          <w:color w:val="000000" w:themeColor="text1"/>
          <w:sz w:val="24"/>
          <w:szCs w:val="24"/>
          <w14:textFill>
            <w14:solidFill>
              <w14:schemeClr w14:val="tx1"/>
            </w14:solidFill>
          </w14:textFill>
        </w:rPr>
        <w:t>故障是指下列情形：</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（1）系统服务器发生故障，无法访问或无法使用系统；</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（2）系统的软件或数据库出现错误，不能进行正常操作；</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（3）系统发现有安全漏洞，有潜在的泄密危险；</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（4）出现断电、断网事故；</w:t>
      </w:r>
    </w:p>
    <w:p>
      <w:pPr>
        <w:spacing w:line="400" w:lineRule="exact"/>
        <w:ind w:firstLine="480" w:firstLineChars="200"/>
        <w:rPr>
          <w:color w:val="000000" w:themeColor="text1"/>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5</w:t>
      </w:r>
      <w:r>
        <w:rPr>
          <w:rFonts w:asciiTheme="minorEastAsia" w:hAnsiTheme="minorEastAsia" w:eastAsiaTheme="minorEastAsia"/>
          <w:color w:val="000000" w:themeColor="text1"/>
          <w:sz w:val="24"/>
          <w:szCs w:val="24"/>
          <w14:textFill>
            <w14:solidFill>
              <w14:schemeClr w14:val="tx1"/>
            </w14:solidFill>
          </w14:textFill>
        </w:rPr>
        <w:t>）其他无法保证招投标过程</w:t>
      </w:r>
      <w:r>
        <w:rPr>
          <w:rFonts w:hint="eastAsia" w:asciiTheme="minorEastAsia" w:hAnsiTheme="minorEastAsia" w:eastAsiaTheme="minorEastAsia"/>
          <w:color w:val="000000" w:themeColor="text1"/>
          <w:sz w:val="24"/>
          <w:szCs w:val="24"/>
          <w14:textFill>
            <w14:solidFill>
              <w14:schemeClr w14:val="tx1"/>
            </w14:solidFill>
          </w14:textFill>
        </w:rPr>
        <w:t>正常进行</w:t>
      </w:r>
      <w:r>
        <w:rPr>
          <w:rFonts w:asciiTheme="minorEastAsia" w:hAnsiTheme="minorEastAsia" w:eastAsiaTheme="minorEastAsia"/>
          <w:color w:val="000000" w:themeColor="text1"/>
          <w:sz w:val="24"/>
          <w:szCs w:val="24"/>
          <w14:textFill>
            <w14:solidFill>
              <w14:schemeClr w14:val="tx1"/>
            </w14:solidFill>
          </w14:textFill>
        </w:rPr>
        <w:t>的情形。</w:t>
      </w:r>
      <w:bookmarkEnd w:id="120"/>
      <w:bookmarkEnd w:id="121"/>
    </w:p>
    <w:p>
      <w:pPr>
        <w:numPr>
          <w:ilvl w:val="0"/>
          <w:numId w:val="5"/>
        </w:numPr>
        <w:spacing w:line="360" w:lineRule="auto"/>
        <w:ind w:left="560" w:hanging="560"/>
        <w:rPr>
          <w:rFonts w:asci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资格审查</w:t>
      </w:r>
    </w:p>
    <w:p>
      <w:pPr>
        <w:numPr>
          <w:ilvl w:val="0"/>
          <w:numId w:val="21"/>
        </w:numPr>
        <w:spacing w:line="360" w:lineRule="auto"/>
        <w:ind w:left="993" w:hanging="562"/>
        <w:rPr>
          <w:rFonts w:ascii="宋体" w:hAnsi="宋体"/>
          <w:bCs/>
          <w:sz w:val="24"/>
          <w:szCs w:val="20"/>
        </w:rPr>
      </w:pPr>
      <w:r>
        <w:rPr>
          <w:rFonts w:hint="eastAsia" w:ascii="宋体" w:hAnsi="宋体"/>
          <w:bCs/>
          <w:sz w:val="24"/>
          <w:szCs w:val="20"/>
        </w:rPr>
        <w:t>公开招标采购项目开标结束后，采购人与集中采购机构依据法律、法规及招标文件的规定，对投标人的资格进行审查，以确定投标人资格是否合格。合格投标人不足</w:t>
      </w:r>
      <w:r>
        <w:rPr>
          <w:rFonts w:ascii="宋体" w:hAnsi="宋体"/>
          <w:bCs/>
          <w:sz w:val="24"/>
          <w:szCs w:val="20"/>
        </w:rPr>
        <w:t>3</w:t>
      </w:r>
      <w:r>
        <w:rPr>
          <w:rFonts w:hint="eastAsia" w:ascii="宋体" w:hAnsi="宋体"/>
          <w:bCs/>
          <w:sz w:val="24"/>
          <w:szCs w:val="20"/>
        </w:rPr>
        <w:t>家的，不进行评标。</w:t>
      </w:r>
    </w:p>
    <w:p>
      <w:pPr>
        <w:numPr>
          <w:ilvl w:val="0"/>
          <w:numId w:val="21"/>
        </w:numPr>
        <w:spacing w:line="360" w:lineRule="auto"/>
        <w:ind w:left="993" w:hanging="562"/>
        <w:rPr>
          <w:rFonts w:ascii="宋体"/>
          <w:bCs/>
          <w:sz w:val="24"/>
          <w:szCs w:val="20"/>
        </w:rPr>
      </w:pPr>
      <w:r>
        <w:rPr>
          <w:rFonts w:hint="eastAsia" w:ascii="宋体" w:hAnsi="宋体"/>
          <w:bCs/>
          <w:sz w:val="24"/>
          <w:szCs w:val="20"/>
        </w:rPr>
        <w:t>资格审查详见第四章“资格审查方法及标准”。</w:t>
      </w:r>
    </w:p>
    <w:p>
      <w:pPr>
        <w:numPr>
          <w:ilvl w:val="0"/>
          <w:numId w:val="5"/>
        </w:numPr>
        <w:spacing w:line="360" w:lineRule="auto"/>
        <w:ind w:left="560" w:hanging="560"/>
        <w:rPr>
          <w:rFonts w:ascii="宋体"/>
          <w:b/>
          <w:sz w:val="24"/>
          <w:szCs w:val="20"/>
        </w:rPr>
      </w:pPr>
      <w:r>
        <w:rPr>
          <w:rFonts w:hint="eastAsia" w:ascii="宋体" w:hAnsi="宋体"/>
          <w:b/>
          <w:sz w:val="24"/>
          <w:szCs w:val="20"/>
        </w:rPr>
        <w:t>评标方法</w:t>
      </w:r>
    </w:p>
    <w:p>
      <w:pPr>
        <w:numPr>
          <w:ilvl w:val="0"/>
          <w:numId w:val="22"/>
        </w:numPr>
        <w:spacing w:line="360" w:lineRule="auto"/>
        <w:ind w:left="993" w:hanging="562"/>
        <w:rPr>
          <w:rFonts w:ascii="宋体"/>
          <w:bCs/>
          <w:sz w:val="24"/>
          <w:szCs w:val="20"/>
        </w:rPr>
      </w:pPr>
      <w:r>
        <w:rPr>
          <w:rFonts w:hint="eastAsia" w:ascii="宋体" w:hAnsi="宋体"/>
          <w:bCs/>
          <w:sz w:val="24"/>
          <w:szCs w:val="20"/>
        </w:rPr>
        <w:t>最低评标价法。最低评标价法是指投标文件满足招标文件全部实质性要求，且投标报价最低的投标人为中标候选人的评标方法。</w:t>
      </w:r>
    </w:p>
    <w:p>
      <w:pPr>
        <w:numPr>
          <w:ilvl w:val="0"/>
          <w:numId w:val="22"/>
        </w:numPr>
        <w:spacing w:line="360" w:lineRule="auto"/>
        <w:ind w:left="993" w:hanging="562"/>
        <w:rPr>
          <w:rFonts w:ascii="宋体"/>
          <w:bCs/>
          <w:sz w:val="24"/>
          <w:szCs w:val="20"/>
        </w:rPr>
      </w:pPr>
      <w:r>
        <w:rPr>
          <w:rFonts w:hint="eastAsia" w:ascii="宋体" w:hAnsi="宋体"/>
          <w:bCs/>
          <w:sz w:val="24"/>
          <w:szCs w:val="20"/>
        </w:rPr>
        <w:t>综合评分法。综合评分法是指投标文件满足招标文件全部实质性要求，且按照评审因素的量化指标评审得分最高的投标人为中标候选人的评标方法。</w:t>
      </w:r>
    </w:p>
    <w:p>
      <w:pPr>
        <w:numPr>
          <w:ilvl w:val="0"/>
          <w:numId w:val="22"/>
        </w:numPr>
        <w:spacing w:line="360" w:lineRule="auto"/>
        <w:ind w:left="993" w:hanging="562"/>
        <w:rPr>
          <w:rFonts w:ascii="宋体"/>
          <w:bCs/>
          <w:sz w:val="24"/>
          <w:szCs w:val="20"/>
        </w:rPr>
      </w:pPr>
      <w:r>
        <w:rPr>
          <w:rFonts w:hint="eastAsia" w:ascii="Helvetica" w:hAnsi="Helvetica" w:cs="Helvetica"/>
          <w:kern w:val="0"/>
          <w:sz w:val="24"/>
          <w:szCs w:val="24"/>
        </w:rPr>
        <w:t>评标方法详见第五章“评标方法、程序及标准”</w:t>
      </w:r>
      <w:r>
        <w:rPr>
          <w:rFonts w:hint="eastAsia" w:ascii="宋体" w:hAnsi="宋体"/>
          <w:bCs/>
          <w:sz w:val="24"/>
          <w:szCs w:val="20"/>
        </w:rPr>
        <w:t>。</w:t>
      </w:r>
    </w:p>
    <w:p>
      <w:pPr>
        <w:numPr>
          <w:ilvl w:val="0"/>
          <w:numId w:val="5"/>
        </w:numPr>
        <w:spacing w:line="360" w:lineRule="auto"/>
        <w:ind w:left="560" w:hanging="560"/>
        <w:rPr>
          <w:rFonts w:ascii="宋体"/>
          <w:b/>
          <w:sz w:val="24"/>
          <w:szCs w:val="20"/>
        </w:rPr>
      </w:pPr>
      <w:r>
        <w:rPr>
          <w:rFonts w:hint="eastAsia" w:ascii="宋体" w:hAnsi="宋体"/>
          <w:b/>
          <w:sz w:val="24"/>
          <w:szCs w:val="20"/>
        </w:rPr>
        <w:t>评标委员会的组成</w:t>
      </w:r>
    </w:p>
    <w:p>
      <w:pPr>
        <w:numPr>
          <w:ilvl w:val="0"/>
          <w:numId w:val="23"/>
        </w:numPr>
        <w:spacing w:line="360" w:lineRule="auto"/>
        <w:ind w:left="993" w:hanging="567"/>
        <w:rPr>
          <w:rFonts w:ascii="宋体"/>
          <w:sz w:val="24"/>
          <w:szCs w:val="20"/>
        </w:rPr>
      </w:pPr>
      <w:r>
        <w:rPr>
          <w:rFonts w:hint="eastAsia" w:ascii="宋体" w:hAnsi="宋体" w:cs="Helvetica"/>
          <w:kern w:val="0"/>
          <w:sz w:val="24"/>
          <w:szCs w:val="24"/>
        </w:rPr>
        <w:t>评标委员会由采购人代表和评审专家组成，成员人数应当为5人及以上单数，其中评审专家不得少于成员总数的三分之二；</w:t>
      </w:r>
      <w:r>
        <w:rPr>
          <w:rFonts w:hint="eastAsia" w:ascii="宋体" w:hAnsi="宋体"/>
          <w:sz w:val="24"/>
          <w:szCs w:val="20"/>
        </w:rPr>
        <w:t>采购预算金额在</w:t>
      </w:r>
      <w:r>
        <w:rPr>
          <w:rFonts w:ascii="宋体" w:hAnsi="宋体"/>
          <w:sz w:val="24"/>
          <w:szCs w:val="20"/>
        </w:rPr>
        <w:t>1000</w:t>
      </w:r>
      <w:r>
        <w:rPr>
          <w:rFonts w:hint="eastAsia" w:ascii="宋体" w:hAnsi="宋体"/>
          <w:sz w:val="24"/>
          <w:szCs w:val="20"/>
        </w:rPr>
        <w:t>万元及以上、技术复杂或社会影响较大的项目，评标委员会成员人数应当为</w:t>
      </w:r>
      <w:r>
        <w:rPr>
          <w:rFonts w:ascii="宋体" w:hAnsi="宋体"/>
          <w:sz w:val="24"/>
          <w:szCs w:val="20"/>
        </w:rPr>
        <w:t>7</w:t>
      </w:r>
      <w:r>
        <w:rPr>
          <w:rFonts w:hint="eastAsia" w:ascii="宋体" w:hAnsi="宋体"/>
          <w:sz w:val="24"/>
          <w:szCs w:val="20"/>
        </w:rPr>
        <w:t>人及以上单数。</w:t>
      </w:r>
    </w:p>
    <w:p>
      <w:pPr>
        <w:numPr>
          <w:ilvl w:val="0"/>
          <w:numId w:val="23"/>
        </w:numPr>
        <w:spacing w:line="360" w:lineRule="auto"/>
        <w:ind w:left="993" w:hanging="567"/>
        <w:rPr>
          <w:rFonts w:ascii="宋体"/>
          <w:sz w:val="24"/>
          <w:szCs w:val="20"/>
        </w:rPr>
      </w:pPr>
      <w:r>
        <w:rPr>
          <w:rFonts w:hint="eastAsia" w:ascii="宋体" w:hAnsi="宋体"/>
          <w:sz w:val="24"/>
          <w:szCs w:val="20"/>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b/>
          <w:sz w:val="24"/>
          <w:szCs w:val="20"/>
        </w:rPr>
      </w:pPr>
      <w:r>
        <w:rPr>
          <w:rFonts w:hint="eastAsia" w:ascii="宋体" w:hAnsi="宋体"/>
          <w:b/>
          <w:sz w:val="24"/>
          <w:szCs w:val="20"/>
        </w:rPr>
        <w:t>评标程序</w:t>
      </w:r>
    </w:p>
    <w:p>
      <w:pPr>
        <w:numPr>
          <w:ilvl w:val="0"/>
          <w:numId w:val="24"/>
        </w:numPr>
        <w:spacing w:line="360" w:lineRule="auto"/>
        <w:ind w:left="993" w:hanging="567"/>
        <w:rPr>
          <w:rFonts w:ascii="宋体"/>
          <w:sz w:val="24"/>
          <w:szCs w:val="20"/>
        </w:rPr>
      </w:pPr>
      <w:r>
        <w:rPr>
          <w:rFonts w:hint="eastAsia" w:ascii="Helvetica" w:hAnsi="Helvetica" w:cs="Helvetica"/>
          <w:kern w:val="0"/>
          <w:sz w:val="24"/>
          <w:szCs w:val="24"/>
        </w:rPr>
        <w:t>评标委员会负责具体评标事务，并独立履行下列职责：</w:t>
      </w:r>
    </w:p>
    <w:p>
      <w:pPr>
        <w:numPr>
          <w:ilvl w:val="0"/>
          <w:numId w:val="25"/>
        </w:numPr>
        <w:spacing w:line="360" w:lineRule="auto"/>
        <w:ind w:left="1843" w:hanging="850"/>
        <w:rPr>
          <w:rFonts w:ascii="宋体"/>
          <w:sz w:val="24"/>
          <w:szCs w:val="20"/>
        </w:rPr>
      </w:pPr>
      <w:r>
        <w:rPr>
          <w:rFonts w:hint="eastAsia" w:ascii="宋体" w:hAnsi="宋体"/>
          <w:sz w:val="24"/>
          <w:szCs w:val="20"/>
        </w:rPr>
        <w:t>审查、评价投标文件是否符合招标文件的商务、技术等实质性要求；</w:t>
      </w:r>
    </w:p>
    <w:p>
      <w:pPr>
        <w:numPr>
          <w:ilvl w:val="0"/>
          <w:numId w:val="25"/>
        </w:numPr>
        <w:spacing w:line="360" w:lineRule="auto"/>
        <w:ind w:left="1843" w:hanging="850"/>
        <w:rPr>
          <w:rFonts w:ascii="宋体"/>
          <w:sz w:val="24"/>
          <w:szCs w:val="20"/>
        </w:rPr>
      </w:pPr>
      <w:r>
        <w:rPr>
          <w:rFonts w:hint="eastAsia" w:ascii="宋体" w:hAnsi="宋体"/>
          <w:sz w:val="24"/>
          <w:szCs w:val="20"/>
        </w:rPr>
        <w:t>要求投标人对投标文件有关事项作出澄清或者说明；</w:t>
      </w:r>
    </w:p>
    <w:p>
      <w:pPr>
        <w:numPr>
          <w:ilvl w:val="0"/>
          <w:numId w:val="25"/>
        </w:numPr>
        <w:spacing w:line="360" w:lineRule="auto"/>
        <w:ind w:left="1843" w:hanging="850"/>
        <w:rPr>
          <w:rFonts w:ascii="宋体"/>
          <w:sz w:val="24"/>
          <w:szCs w:val="20"/>
        </w:rPr>
      </w:pPr>
      <w:r>
        <w:rPr>
          <w:rFonts w:hint="eastAsia" w:ascii="宋体" w:hAnsi="宋体"/>
          <w:sz w:val="24"/>
          <w:szCs w:val="20"/>
        </w:rPr>
        <w:t>对投标文件进行综合比较和评价；</w:t>
      </w:r>
    </w:p>
    <w:p>
      <w:pPr>
        <w:numPr>
          <w:ilvl w:val="0"/>
          <w:numId w:val="25"/>
        </w:numPr>
        <w:spacing w:line="360" w:lineRule="auto"/>
        <w:ind w:left="1843" w:hanging="850"/>
        <w:rPr>
          <w:rFonts w:ascii="宋体"/>
          <w:sz w:val="24"/>
          <w:szCs w:val="20"/>
        </w:rPr>
      </w:pPr>
      <w:r>
        <w:rPr>
          <w:rFonts w:hint="eastAsia" w:ascii="宋体" w:hAnsi="宋体"/>
          <w:sz w:val="24"/>
          <w:szCs w:val="20"/>
        </w:rPr>
        <w:t>确定中标候选人名单或中标人；</w:t>
      </w:r>
    </w:p>
    <w:p>
      <w:pPr>
        <w:numPr>
          <w:ilvl w:val="0"/>
          <w:numId w:val="25"/>
        </w:numPr>
        <w:spacing w:line="360" w:lineRule="auto"/>
        <w:ind w:left="1843" w:hanging="850"/>
        <w:rPr>
          <w:rFonts w:ascii="宋体"/>
          <w:sz w:val="24"/>
          <w:szCs w:val="20"/>
        </w:rPr>
      </w:pPr>
      <w:r>
        <w:rPr>
          <w:rFonts w:hint="eastAsia" w:ascii="宋体" w:hAnsi="宋体"/>
          <w:sz w:val="24"/>
          <w:szCs w:val="20"/>
        </w:rPr>
        <w:t>向采购人、集中采购机构或者有关部门报告评标中发现的违法行为。</w:t>
      </w:r>
    </w:p>
    <w:p>
      <w:pPr>
        <w:numPr>
          <w:ilvl w:val="0"/>
          <w:numId w:val="24"/>
        </w:numPr>
        <w:spacing w:line="360" w:lineRule="auto"/>
        <w:ind w:left="993" w:hanging="567"/>
        <w:rPr>
          <w:rFonts w:ascii="Helvetica" w:hAnsi="Helvetica" w:cs="Helvetica"/>
          <w:kern w:val="0"/>
          <w:sz w:val="24"/>
          <w:szCs w:val="24"/>
        </w:rPr>
      </w:pPr>
      <w:r>
        <w:rPr>
          <w:rFonts w:hint="eastAsia" w:ascii="Helvetica" w:hAnsi="Helvetica" w:cs="Helvetica"/>
          <w:kern w:val="0"/>
          <w:sz w:val="24"/>
          <w:szCs w:val="24"/>
        </w:rPr>
        <w:t>评标程序详见第五章“评标方法、程序及标准”。</w:t>
      </w:r>
    </w:p>
    <w:p>
      <w:pPr>
        <w:pStyle w:val="4"/>
        <w:numPr>
          <w:ilvl w:val="0"/>
          <w:numId w:val="4"/>
        </w:numPr>
      </w:pPr>
      <w:bookmarkStart w:id="122" w:name="_Toc29836"/>
      <w:bookmarkStart w:id="123" w:name="_Toc29606"/>
      <w:bookmarkStart w:id="124" w:name="_Toc511894499"/>
      <w:bookmarkStart w:id="125" w:name="_Toc3409"/>
      <w:bookmarkStart w:id="126" w:name="_Toc16232349"/>
      <w:bookmarkStart w:id="127" w:name="_Toc25747"/>
      <w:bookmarkStart w:id="128" w:name="_Toc19195"/>
      <w:bookmarkStart w:id="129" w:name="_Toc11402"/>
      <w:bookmarkStart w:id="130" w:name="_Toc80682153"/>
      <w:bookmarkStart w:id="131" w:name="_Toc11804"/>
      <w:bookmarkStart w:id="132" w:name="_Toc28627"/>
      <w:bookmarkStart w:id="133" w:name="_Toc6404"/>
      <w:bookmarkStart w:id="134" w:name="_Toc511889421"/>
      <w:bookmarkStart w:id="135" w:name="_Toc25514"/>
      <w:r>
        <w:rPr>
          <w:rFonts w:hint="eastAsia"/>
        </w:rPr>
        <w:t>投标人信用信息及查询</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numPr>
          <w:ilvl w:val="0"/>
          <w:numId w:val="5"/>
        </w:numPr>
        <w:spacing w:line="360" w:lineRule="auto"/>
        <w:ind w:left="560" w:hanging="560"/>
        <w:rPr>
          <w:rFonts w:ascii="宋体"/>
          <w:b/>
          <w:sz w:val="24"/>
          <w:szCs w:val="20"/>
        </w:rPr>
      </w:pPr>
      <w:r>
        <w:rPr>
          <w:rFonts w:hint="eastAsia" w:ascii="宋体" w:hAnsi="宋体"/>
          <w:b/>
          <w:sz w:val="24"/>
          <w:szCs w:val="20"/>
        </w:rPr>
        <w:t>信用信息查询渠道及使用规则</w:t>
      </w:r>
    </w:p>
    <w:p>
      <w:pPr>
        <w:numPr>
          <w:ilvl w:val="0"/>
          <w:numId w:val="26"/>
        </w:numPr>
        <w:spacing w:line="360" w:lineRule="auto"/>
        <w:ind w:left="993" w:hanging="567"/>
        <w:rPr>
          <w:rFonts w:ascii="宋体" w:cs="Helvetica"/>
          <w:kern w:val="0"/>
          <w:sz w:val="24"/>
          <w:szCs w:val="24"/>
        </w:rPr>
      </w:pPr>
      <w:r>
        <w:rPr>
          <w:rFonts w:hint="eastAsia" w:ascii="宋体" w:hAnsi="宋体" w:cs="Helvetica"/>
          <w:kern w:val="0"/>
          <w:sz w:val="24"/>
          <w:szCs w:val="24"/>
        </w:rPr>
        <w:t>按照《关于在政府采购活动中查询及使用信用记录有关问题的通知》的要求，参与政府采购的投标人，信用记录的查询渠道为“信用中国”网站</w:t>
      </w:r>
      <w:r>
        <w:rPr>
          <w:rFonts w:ascii="宋体" w:hAnsi="宋体" w:cs="Helvetica"/>
          <w:kern w:val="0"/>
          <w:sz w:val="24"/>
          <w:szCs w:val="24"/>
        </w:rPr>
        <w:t>(www.creditchina.gov.cn)</w:t>
      </w:r>
      <w:r>
        <w:rPr>
          <w:rFonts w:hint="eastAsia" w:ascii="宋体" w:hAnsi="宋体" w:cs="Helvetica"/>
          <w:kern w:val="0"/>
          <w:sz w:val="24"/>
          <w:szCs w:val="24"/>
        </w:rPr>
        <w:t>、中国政府采购网</w:t>
      </w:r>
      <w:r>
        <w:rPr>
          <w:rFonts w:ascii="宋体" w:hAnsi="宋体" w:cs="Helvetica"/>
          <w:kern w:val="0"/>
          <w:sz w:val="24"/>
          <w:szCs w:val="24"/>
        </w:rPr>
        <w:t>(www.ccgp.gov.cn)</w:t>
      </w:r>
      <w:r>
        <w:rPr>
          <w:rFonts w:hint="eastAsia" w:ascii="宋体" w:hAnsi="宋体" w:cs="Helvetica"/>
          <w:kern w:val="0"/>
          <w:sz w:val="24"/>
          <w:szCs w:val="24"/>
        </w:rPr>
        <w:t>。</w:t>
      </w:r>
    </w:p>
    <w:p>
      <w:pPr>
        <w:numPr>
          <w:ilvl w:val="0"/>
          <w:numId w:val="26"/>
        </w:numPr>
        <w:spacing w:line="360" w:lineRule="auto"/>
        <w:ind w:left="993" w:hanging="567"/>
        <w:rPr>
          <w:rFonts w:ascii="宋体" w:cs="Helvetica"/>
          <w:kern w:val="0"/>
          <w:sz w:val="24"/>
          <w:szCs w:val="24"/>
        </w:rPr>
      </w:pPr>
      <w:r>
        <w:rPr>
          <w:rFonts w:hint="eastAsia" w:ascii="宋体" w:hAnsi="宋体" w:cs="Helvetica"/>
          <w:kern w:val="0"/>
          <w:sz w:val="24"/>
          <w:szCs w:val="24"/>
        </w:rPr>
        <w:t>列入失信被执行人、重大税收违法案件当事人名单、政府采购严重违法失信行为记录名单的供应商，集中采购机构</w:t>
      </w:r>
      <w:r>
        <w:rPr>
          <w:rFonts w:hint="eastAsia" w:ascii="宋体" w:hAnsi="宋体" w:cs="Helvetica"/>
          <w:b/>
          <w:kern w:val="0"/>
          <w:sz w:val="24"/>
          <w:szCs w:val="24"/>
        </w:rPr>
        <w:t>拒绝</w:t>
      </w:r>
      <w:r>
        <w:rPr>
          <w:rFonts w:hint="eastAsia" w:ascii="宋体" w:hAnsi="宋体" w:cs="Helvetica"/>
          <w:kern w:val="0"/>
          <w:sz w:val="24"/>
          <w:szCs w:val="24"/>
        </w:rPr>
        <w:t>其参与政府采购活动。</w:t>
      </w:r>
    </w:p>
    <w:p>
      <w:pPr>
        <w:numPr>
          <w:ilvl w:val="0"/>
          <w:numId w:val="26"/>
        </w:numPr>
        <w:spacing w:line="360" w:lineRule="auto"/>
        <w:ind w:left="993" w:hanging="567"/>
        <w:rPr>
          <w:rFonts w:ascii="宋体" w:cs="Helvetica"/>
          <w:kern w:val="0"/>
          <w:sz w:val="24"/>
          <w:szCs w:val="24"/>
        </w:rPr>
      </w:pPr>
      <w:r>
        <w:rPr>
          <w:rFonts w:hint="eastAsia" w:ascii="宋体" w:hAnsi="宋体" w:cs="Helvetica"/>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6"/>
        </w:numPr>
        <w:spacing w:line="360" w:lineRule="auto"/>
        <w:ind w:left="993" w:hanging="567"/>
        <w:rPr>
          <w:rFonts w:ascii="宋体" w:cs="Helvetica"/>
          <w:kern w:val="0"/>
          <w:sz w:val="24"/>
          <w:szCs w:val="24"/>
        </w:rPr>
      </w:pPr>
      <w:r>
        <w:rPr>
          <w:rFonts w:hint="eastAsia" w:ascii="宋体" w:hAnsi="宋体" w:cs="Helvetica"/>
          <w:kern w:val="0"/>
          <w:sz w:val="24"/>
          <w:szCs w:val="24"/>
        </w:rPr>
        <w:t>投标人的信用记录，最终以评标时的“信用中国”网站和“中国政府采购网”发布的信息为准。</w:t>
      </w:r>
    </w:p>
    <w:p>
      <w:pPr>
        <w:numPr>
          <w:ilvl w:val="0"/>
          <w:numId w:val="26"/>
        </w:numPr>
        <w:spacing w:line="360" w:lineRule="auto"/>
        <w:ind w:left="993" w:hanging="567"/>
        <w:rPr>
          <w:rFonts w:ascii="宋体" w:cs="Helvetica"/>
          <w:kern w:val="0"/>
          <w:sz w:val="24"/>
          <w:szCs w:val="24"/>
        </w:rPr>
      </w:pPr>
      <w:r>
        <w:rPr>
          <w:rFonts w:hint="eastAsia" w:ascii="宋体" w:hAnsi="宋体" w:cs="Helvetica"/>
          <w:kern w:val="0"/>
          <w:sz w:val="24"/>
          <w:szCs w:val="24"/>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kern w:val="0"/>
          <w:sz w:val="24"/>
          <w:szCs w:val="24"/>
        </w:rPr>
        <w:t>无效投标处理</w:t>
      </w:r>
      <w:r>
        <w:rPr>
          <w:rFonts w:hint="eastAsia" w:ascii="宋体" w:hAnsi="宋体" w:cs="Helvetica"/>
          <w:kern w:val="0"/>
          <w:sz w:val="24"/>
          <w:szCs w:val="24"/>
        </w:rPr>
        <w:t>。</w:t>
      </w:r>
    </w:p>
    <w:p>
      <w:pPr>
        <w:pStyle w:val="4"/>
        <w:numPr>
          <w:ilvl w:val="0"/>
          <w:numId w:val="4"/>
        </w:numPr>
      </w:pPr>
      <w:bookmarkStart w:id="136" w:name="_Toc19263"/>
      <w:bookmarkStart w:id="137" w:name="_Toc817"/>
      <w:bookmarkStart w:id="138" w:name="_Toc2162"/>
      <w:bookmarkStart w:id="139" w:name="_Toc16232350"/>
      <w:bookmarkStart w:id="140" w:name="_Toc80682154"/>
      <w:bookmarkStart w:id="141" w:name="_Toc511894500"/>
      <w:bookmarkStart w:id="142" w:name="_Toc14422"/>
      <w:bookmarkStart w:id="143" w:name="_Toc26438"/>
      <w:bookmarkStart w:id="144" w:name="_Toc511889422"/>
      <w:bookmarkStart w:id="145" w:name="_Toc30011"/>
      <w:bookmarkStart w:id="146" w:name="_Toc4047"/>
      <w:bookmarkStart w:id="147" w:name="_Toc14588"/>
      <w:bookmarkStart w:id="148" w:name="_Toc7217"/>
      <w:bookmarkStart w:id="149" w:name="_Toc27023"/>
      <w:r>
        <w:rPr>
          <w:rFonts w:hint="eastAsia"/>
        </w:rPr>
        <w:t>中标与合同</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5"/>
        </w:numPr>
        <w:spacing w:line="360" w:lineRule="auto"/>
        <w:ind w:left="560" w:hanging="560"/>
        <w:rPr>
          <w:rFonts w:ascii="宋体"/>
          <w:b/>
          <w:sz w:val="24"/>
          <w:szCs w:val="20"/>
        </w:rPr>
      </w:pPr>
      <w:r>
        <w:rPr>
          <w:rFonts w:hint="eastAsia" w:ascii="宋体" w:hAnsi="宋体"/>
          <w:b/>
          <w:sz w:val="24"/>
          <w:szCs w:val="20"/>
        </w:rPr>
        <w:t>确定中标人</w:t>
      </w:r>
    </w:p>
    <w:p>
      <w:pPr>
        <w:numPr>
          <w:ilvl w:val="0"/>
          <w:numId w:val="27"/>
        </w:numPr>
        <w:spacing w:line="360" w:lineRule="auto"/>
        <w:ind w:left="993" w:hanging="567"/>
        <w:rPr>
          <w:rFonts w:ascii="宋体"/>
          <w:sz w:val="24"/>
          <w:szCs w:val="20"/>
        </w:rPr>
      </w:pPr>
      <w:r>
        <w:rPr>
          <w:rFonts w:hint="eastAsia" w:ascii="Helvetica" w:hAnsi="Helvetica" w:cs="Helvetica"/>
          <w:kern w:val="0"/>
          <w:sz w:val="24"/>
          <w:szCs w:val="24"/>
        </w:rPr>
        <w:t>采购人收到评标报告</w:t>
      </w:r>
      <w:r>
        <w:rPr>
          <w:rFonts w:ascii="宋体" w:hAnsi="宋体" w:cs="Helvetica"/>
          <w:kern w:val="0"/>
          <w:sz w:val="24"/>
          <w:szCs w:val="24"/>
        </w:rPr>
        <w:t>5</w:t>
      </w:r>
      <w:r>
        <w:rPr>
          <w:rFonts w:hint="eastAsia" w:ascii="宋体" w:hAnsi="宋体" w:cs="Helvetica"/>
          <w:kern w:val="0"/>
          <w:sz w:val="24"/>
          <w:szCs w:val="24"/>
        </w:rPr>
        <w:t>个工作日内，按评标报告推荐的中标候选人顺序确定中标人。</w:t>
      </w:r>
    </w:p>
    <w:p>
      <w:pPr>
        <w:numPr>
          <w:ilvl w:val="0"/>
          <w:numId w:val="27"/>
        </w:numPr>
        <w:spacing w:line="360" w:lineRule="auto"/>
        <w:ind w:left="993" w:hanging="567"/>
        <w:rPr>
          <w:rFonts w:ascii="宋体"/>
          <w:sz w:val="24"/>
          <w:szCs w:val="20"/>
        </w:rPr>
      </w:pPr>
      <w:r>
        <w:rPr>
          <w:rFonts w:hint="eastAsia" w:ascii="Helvetica" w:hAnsi="Helvetica" w:cs="Helvetica"/>
          <w:kern w:val="0"/>
          <w:sz w:val="24"/>
          <w:szCs w:val="24"/>
        </w:rPr>
        <w:t>中标候选人并列的：</w:t>
      </w:r>
    </w:p>
    <w:p>
      <w:pPr>
        <w:numPr>
          <w:ilvl w:val="0"/>
          <w:numId w:val="27"/>
        </w:numPr>
        <w:spacing w:line="360" w:lineRule="auto"/>
        <w:ind w:left="993" w:hanging="567"/>
        <w:rPr>
          <w:rFonts w:ascii="宋体"/>
          <w:sz w:val="24"/>
          <w:szCs w:val="20"/>
        </w:rPr>
      </w:pPr>
      <w:r>
        <w:rPr>
          <w:rFonts w:hint="eastAsia" w:ascii="宋体" w:hAnsi="宋体"/>
          <w:sz w:val="24"/>
          <w:szCs w:val="20"/>
        </w:rPr>
        <w:t>采用最低评标价法的，评标结果按投标报价由低到高顺序排列。投标报价相同</w:t>
      </w:r>
      <w:r>
        <w:rPr>
          <w:rFonts w:ascii="宋体" w:hAnsi="宋体"/>
          <w:sz w:val="24"/>
          <w:szCs w:val="20"/>
        </w:rPr>
        <w:t xml:space="preserve"> </w:t>
      </w:r>
      <w:r>
        <w:rPr>
          <w:rFonts w:hint="eastAsia" w:ascii="宋体" w:hAnsi="宋体"/>
          <w:sz w:val="24"/>
          <w:szCs w:val="20"/>
        </w:rPr>
        <w:t>的并列，由采购人确定或者采购人委托评标委员会以投票方式确定中标人。</w:t>
      </w:r>
    </w:p>
    <w:p>
      <w:pPr>
        <w:numPr>
          <w:ilvl w:val="0"/>
          <w:numId w:val="27"/>
        </w:numPr>
        <w:spacing w:line="360" w:lineRule="auto"/>
        <w:ind w:left="993" w:hanging="567"/>
        <w:rPr>
          <w:rFonts w:ascii="宋体"/>
          <w:sz w:val="24"/>
          <w:szCs w:val="20"/>
        </w:rPr>
      </w:pPr>
      <w:r>
        <w:rPr>
          <w:rFonts w:hint="eastAsia" w:ascii="宋体" w:hAnsi="宋体"/>
          <w:sz w:val="24"/>
          <w:szCs w:val="20"/>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27"/>
        </w:numPr>
        <w:spacing w:line="360" w:lineRule="auto"/>
        <w:ind w:left="993" w:hanging="567"/>
        <w:rPr>
          <w:rFonts w:ascii="宋体"/>
          <w:sz w:val="24"/>
          <w:szCs w:val="20"/>
        </w:rPr>
      </w:pPr>
      <w:r>
        <w:rPr>
          <w:rFonts w:hint="eastAsia" w:ascii="宋体" w:hAnsi="宋体"/>
          <w:sz w:val="24"/>
          <w:szCs w:val="20"/>
        </w:rPr>
        <w:t>中标人的数量有其他规定的，按招标文件相关规定执行。</w:t>
      </w:r>
    </w:p>
    <w:p>
      <w:pPr>
        <w:numPr>
          <w:ilvl w:val="0"/>
          <w:numId w:val="27"/>
        </w:numPr>
        <w:spacing w:line="360" w:lineRule="auto"/>
        <w:ind w:left="993" w:hanging="567"/>
        <w:rPr>
          <w:rFonts w:ascii="宋体"/>
          <w:strike/>
          <w:sz w:val="24"/>
          <w:szCs w:val="20"/>
        </w:rPr>
      </w:pPr>
      <w:r>
        <w:rPr>
          <w:rFonts w:hint="eastAsia" w:ascii="宋体" w:hAnsi="宋体"/>
          <w:sz w:val="24"/>
          <w:szCs w:val="20"/>
        </w:rPr>
        <w:t>中标人确定后，集中采购机构在政府采购监管部门指定的媒体上发布中标公告，同时向中标人和采购人发出《中标通知书》。《中标通知书》是政府采购合同的组成部分</w:t>
      </w:r>
      <w:r>
        <w:rPr>
          <w:rFonts w:ascii="宋体"/>
          <w:sz w:val="24"/>
          <w:szCs w:val="20"/>
        </w:rPr>
        <w:t>,</w:t>
      </w:r>
      <w:r>
        <w:rPr>
          <w:rFonts w:hint="eastAsia" w:ascii="宋体" w:hAnsi="宋体"/>
          <w:sz w:val="24"/>
          <w:szCs w:val="20"/>
        </w:rPr>
        <w:t>对中标人和采购人具有同等法律效力。</w:t>
      </w:r>
    </w:p>
    <w:p>
      <w:pPr>
        <w:numPr>
          <w:ilvl w:val="0"/>
          <w:numId w:val="27"/>
        </w:numPr>
        <w:spacing w:line="360" w:lineRule="auto"/>
        <w:ind w:left="993" w:hanging="567"/>
        <w:rPr>
          <w:rFonts w:ascii="宋体"/>
          <w:strike/>
          <w:sz w:val="24"/>
          <w:szCs w:val="20"/>
        </w:rPr>
      </w:pPr>
      <w:r>
        <w:rPr>
          <w:rFonts w:hint="eastAsia" w:ascii="Helvetica" w:hAnsi="Helvetica" w:cs="Helvetica"/>
          <w:kern w:val="0"/>
          <w:sz w:val="24"/>
          <w:szCs w:val="24"/>
        </w:rPr>
        <w:t>中标通知书发出后，采购人不得违法改变中标结果，中标人无正当理由不得放弃中标。</w:t>
      </w:r>
    </w:p>
    <w:p>
      <w:pPr>
        <w:numPr>
          <w:ilvl w:val="0"/>
          <w:numId w:val="27"/>
        </w:numPr>
        <w:spacing w:line="360" w:lineRule="auto"/>
        <w:ind w:left="993" w:hanging="567"/>
        <w:rPr>
          <w:rFonts w:ascii="宋体"/>
          <w:sz w:val="24"/>
          <w:szCs w:val="20"/>
        </w:rPr>
      </w:pPr>
      <w:r>
        <w:rPr>
          <w:rFonts w:hint="eastAsia" w:ascii="宋体" w:hAnsi="宋体"/>
          <w:sz w:val="24"/>
          <w:szCs w:val="20"/>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b/>
          <w:sz w:val="24"/>
          <w:szCs w:val="20"/>
        </w:rPr>
      </w:pPr>
      <w:r>
        <w:rPr>
          <w:rFonts w:hint="eastAsia" w:ascii="宋体" w:hAnsi="宋体"/>
          <w:b/>
          <w:sz w:val="24"/>
          <w:szCs w:val="20"/>
        </w:rPr>
        <w:t>合同授予</w:t>
      </w:r>
    </w:p>
    <w:p>
      <w:pPr>
        <w:spacing w:line="360" w:lineRule="auto"/>
        <w:ind w:firstLine="480" w:firstLineChars="200"/>
        <w:rPr>
          <w:rFonts w:ascii="宋体"/>
          <w:sz w:val="24"/>
          <w:szCs w:val="20"/>
        </w:rPr>
      </w:pPr>
      <w:r>
        <w:rPr>
          <w:rFonts w:hint="eastAsia" w:ascii="宋体" w:hAnsi="宋体"/>
          <w:sz w:val="24"/>
          <w:szCs w:val="20"/>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b/>
          <w:sz w:val="24"/>
          <w:szCs w:val="20"/>
        </w:rPr>
      </w:pPr>
      <w:r>
        <w:rPr>
          <w:rFonts w:hint="eastAsia" w:ascii="宋体" w:hAnsi="宋体"/>
          <w:b/>
          <w:sz w:val="24"/>
          <w:szCs w:val="20"/>
        </w:rPr>
        <w:t>合同签订</w:t>
      </w:r>
    </w:p>
    <w:p>
      <w:pPr>
        <w:numPr>
          <w:ilvl w:val="0"/>
          <w:numId w:val="28"/>
        </w:numPr>
        <w:spacing w:line="360" w:lineRule="auto"/>
        <w:ind w:left="993" w:hanging="567"/>
        <w:rPr>
          <w:rFonts w:ascii="宋体"/>
          <w:sz w:val="24"/>
          <w:szCs w:val="20"/>
        </w:rPr>
      </w:pPr>
      <w:r>
        <w:rPr>
          <w:rFonts w:hint="eastAsia" w:ascii="宋体" w:hAnsi="宋体"/>
          <w:sz w:val="24"/>
          <w:szCs w:val="20"/>
        </w:rPr>
        <w:t>采购人应当自中标通知书发出之日起</w:t>
      </w:r>
      <w:r>
        <w:rPr>
          <w:rFonts w:ascii="宋体" w:hAnsi="宋体"/>
          <w:sz w:val="24"/>
          <w:szCs w:val="20"/>
        </w:rPr>
        <w:t>30</w:t>
      </w:r>
      <w:r>
        <w:rPr>
          <w:rFonts w:hint="eastAsia" w:ascii="宋体" w:hAnsi="宋体"/>
          <w:sz w:val="24"/>
          <w:szCs w:val="20"/>
        </w:rPr>
        <w:t>日内，按照招标文件规定和中标人投标文件的承诺，与中标人签订书面合同。所签订的合同不得对招标文件确定的事项和中标人投标文件作实质性修改。</w:t>
      </w:r>
    </w:p>
    <w:p>
      <w:pPr>
        <w:numPr>
          <w:ilvl w:val="0"/>
          <w:numId w:val="28"/>
        </w:numPr>
        <w:tabs>
          <w:tab w:val="left" w:pos="616"/>
        </w:tabs>
        <w:spacing w:line="360" w:lineRule="auto"/>
        <w:ind w:left="993" w:hanging="567"/>
        <w:rPr>
          <w:rFonts w:ascii="宋体"/>
          <w:sz w:val="24"/>
          <w:szCs w:val="20"/>
        </w:rPr>
      </w:pPr>
      <w:r>
        <w:rPr>
          <w:rFonts w:hint="eastAsia" w:ascii="Helvetica" w:hAnsi="Helvetica" w:cs="Helvetica"/>
          <w:kern w:val="0"/>
          <w:sz w:val="24"/>
          <w:szCs w:val="24"/>
        </w:rPr>
        <w:t>采购人不得向中标人提出任何不合理的要求作为签订合同的条件。</w:t>
      </w:r>
    </w:p>
    <w:p>
      <w:pPr>
        <w:numPr>
          <w:ilvl w:val="0"/>
          <w:numId w:val="28"/>
        </w:numPr>
        <w:tabs>
          <w:tab w:val="left" w:pos="616"/>
        </w:tabs>
        <w:spacing w:line="360" w:lineRule="auto"/>
        <w:ind w:left="993" w:hanging="567"/>
        <w:rPr>
          <w:rFonts w:ascii="宋体"/>
          <w:sz w:val="24"/>
          <w:szCs w:val="20"/>
        </w:rPr>
      </w:pPr>
      <w:r>
        <w:rPr>
          <w:rFonts w:hint="eastAsia" w:ascii="宋体" w:hAnsi="宋体"/>
          <w:sz w:val="24"/>
          <w:szCs w:val="20"/>
        </w:rPr>
        <w:t>政府采购合同应当包括采购人与中标人的名称和住所、标的、数量、质量、价款或者报酬、履行期限及地点和方式、验收要求、违约责任、解决争议的方法等内容。</w:t>
      </w:r>
    </w:p>
    <w:p>
      <w:pPr>
        <w:numPr>
          <w:ilvl w:val="0"/>
          <w:numId w:val="28"/>
        </w:numPr>
        <w:tabs>
          <w:tab w:val="left" w:pos="616"/>
        </w:tabs>
        <w:spacing w:line="360" w:lineRule="auto"/>
        <w:ind w:left="993" w:hanging="567"/>
        <w:rPr>
          <w:rFonts w:ascii="宋体"/>
          <w:sz w:val="24"/>
          <w:szCs w:val="20"/>
        </w:rPr>
      </w:pPr>
      <w:r>
        <w:rPr>
          <w:rFonts w:hint="eastAsia" w:ascii="Helvetica" w:hAnsi="Helvetica" w:cs="Helvetica"/>
          <w:kern w:val="0"/>
          <w:sz w:val="24"/>
          <w:szCs w:val="24"/>
        </w:rPr>
        <w:t>采购人与中标人应当根据合同的约定依法履行合同义务。政府采购合同的履行、违约责任和解决争议的方法等适用《中华人民共和国合同法》。</w:t>
      </w:r>
    </w:p>
    <w:p>
      <w:pPr>
        <w:numPr>
          <w:ilvl w:val="0"/>
          <w:numId w:val="28"/>
        </w:numPr>
        <w:tabs>
          <w:tab w:val="left" w:pos="616"/>
        </w:tabs>
        <w:spacing w:line="360" w:lineRule="auto"/>
        <w:ind w:left="993" w:hanging="567"/>
        <w:rPr>
          <w:rFonts w:ascii="宋体"/>
          <w:sz w:val="24"/>
          <w:szCs w:val="20"/>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pPr>
        <w:numPr>
          <w:ilvl w:val="0"/>
          <w:numId w:val="28"/>
        </w:numPr>
        <w:tabs>
          <w:tab w:val="left" w:pos="616"/>
        </w:tabs>
        <w:spacing w:line="360" w:lineRule="auto"/>
        <w:ind w:left="993" w:hanging="567"/>
        <w:rPr>
          <w:rFonts w:ascii="宋体"/>
          <w:sz w:val="24"/>
          <w:szCs w:val="20"/>
        </w:rPr>
      </w:pPr>
      <w:r>
        <w:rPr>
          <w:rFonts w:hint="eastAsia" w:ascii="Helvetica" w:hAnsi="Helvetica" w:cs="Helvetica"/>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pPr>
      <w:bookmarkStart w:id="150" w:name="_Toc80682155"/>
      <w:bookmarkStart w:id="151" w:name="_Toc8653"/>
      <w:bookmarkStart w:id="152" w:name="_Toc20801"/>
      <w:bookmarkStart w:id="153" w:name="_Toc24770"/>
      <w:bookmarkStart w:id="154" w:name="_Toc19060"/>
      <w:bookmarkStart w:id="155" w:name="_Toc15925"/>
      <w:bookmarkStart w:id="156" w:name="_Toc16232351"/>
      <w:bookmarkStart w:id="157" w:name="_Toc511889423"/>
      <w:bookmarkStart w:id="158" w:name="_Toc16615"/>
      <w:bookmarkStart w:id="159" w:name="_Toc511894501"/>
      <w:bookmarkStart w:id="160" w:name="_Toc30976"/>
      <w:bookmarkStart w:id="161" w:name="_Toc7835"/>
      <w:bookmarkStart w:id="162" w:name="_Toc4946"/>
      <w:bookmarkStart w:id="163" w:name="_Toc1003"/>
      <w:r>
        <w:rPr>
          <w:rFonts w:hint="eastAsia"/>
        </w:rPr>
        <w:t>采购信息公告</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numPr>
          <w:ilvl w:val="0"/>
          <w:numId w:val="5"/>
        </w:numPr>
        <w:spacing w:line="360" w:lineRule="auto"/>
        <w:ind w:left="560" w:hanging="560"/>
        <w:rPr>
          <w:rFonts w:ascii="宋体" w:cs="Helvetica"/>
          <w:b/>
          <w:kern w:val="0"/>
          <w:sz w:val="24"/>
          <w:szCs w:val="24"/>
        </w:rPr>
      </w:pPr>
      <w:r>
        <w:rPr>
          <w:rFonts w:hint="eastAsia" w:ascii="宋体" w:hAnsi="宋体" w:cs="Helvetica"/>
          <w:b/>
          <w:kern w:val="0"/>
          <w:sz w:val="24"/>
          <w:szCs w:val="24"/>
        </w:rPr>
        <w:t>公告的媒体及规定</w:t>
      </w:r>
    </w:p>
    <w:p>
      <w:pPr>
        <w:numPr>
          <w:ilvl w:val="0"/>
          <w:numId w:val="29"/>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集中采购机构在招标活动中的公告、补充、更正、结果等采购信息均依法在政府采购监管部门指定媒体上（中国湖北政府采购网</w:t>
      </w:r>
      <w:r>
        <w:rPr>
          <w:rFonts w:ascii="宋体" w:hAnsi="宋体" w:cs="Helvetica"/>
          <w:kern w:val="0"/>
          <w:sz w:val="24"/>
          <w:szCs w:val="24"/>
        </w:rPr>
        <w:t>http://www.ccgp-hubei.gov.cn/</w:t>
      </w:r>
      <w:r>
        <w:rPr>
          <w:rFonts w:hint="eastAsia" w:ascii="宋体" w:hAnsi="宋体" w:cs="Helvetica"/>
          <w:kern w:val="0"/>
          <w:sz w:val="24"/>
          <w:szCs w:val="24"/>
        </w:rPr>
        <w:t>）、湖北省电子招投标交易平台（网址：</w:t>
      </w:r>
      <w:r>
        <w:rPr>
          <w:rFonts w:hint="eastAsia" w:ascii="宋体" w:hAnsi="宋体" w:cs="宋体"/>
          <w:sz w:val="28"/>
          <w:szCs w:val="28"/>
        </w:rPr>
        <w:t>http://www.hbbidcloud.com/hubei/xzzq/about.html）</w:t>
      </w:r>
      <w:r>
        <w:rPr>
          <w:rFonts w:hint="eastAsia" w:ascii="宋体" w:hAnsi="宋体" w:cs="Helvetica"/>
          <w:kern w:val="0"/>
          <w:sz w:val="24"/>
          <w:szCs w:val="24"/>
        </w:rPr>
        <w:t>和中国广水网</w:t>
      </w:r>
      <w:r>
        <w:rPr>
          <w:rFonts w:hint="eastAsia" w:ascii="宋体" w:hAnsi="宋体" w:cs="Helvetica"/>
          <w:kern w:val="0"/>
          <w:sz w:val="24"/>
          <w:szCs w:val="24"/>
          <w:lang w:eastAsia="zh-CN"/>
        </w:rPr>
        <w:t>（</w:t>
      </w:r>
      <w:r>
        <w:rPr>
          <w:rFonts w:hint="eastAsia" w:ascii="宋体" w:hAnsi="宋体" w:cs="宋体"/>
          <w:sz w:val="28"/>
          <w:szCs w:val="28"/>
        </w:rPr>
        <w:t>http://www.zggsw.gov.cn/）</w:t>
      </w:r>
      <w:r>
        <w:rPr>
          <w:rFonts w:hint="eastAsia" w:ascii="宋体" w:hAnsi="宋体" w:cs="Helvetica"/>
          <w:kern w:val="0"/>
          <w:sz w:val="24"/>
          <w:szCs w:val="24"/>
        </w:rPr>
        <w:t>发布。</w:t>
      </w:r>
    </w:p>
    <w:p>
      <w:pPr>
        <w:numPr>
          <w:ilvl w:val="0"/>
          <w:numId w:val="29"/>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集中采购机构在自中标人确定之日起</w:t>
      </w:r>
      <w:r>
        <w:rPr>
          <w:rFonts w:ascii="宋体" w:hAnsi="宋体" w:cs="Helvetica"/>
          <w:kern w:val="0"/>
          <w:sz w:val="24"/>
          <w:szCs w:val="24"/>
        </w:rPr>
        <w:t>2</w:t>
      </w:r>
      <w:r>
        <w:rPr>
          <w:rFonts w:hint="eastAsia" w:ascii="宋体" w:hAnsi="宋体" w:cs="Helvetica"/>
          <w:kern w:val="0"/>
          <w:sz w:val="24"/>
          <w:szCs w:val="24"/>
        </w:rPr>
        <w:t>个工作日内，在政府采购监管部门指定媒体上公告中标结果，中标公告的公示期为</w:t>
      </w:r>
      <w:r>
        <w:rPr>
          <w:rFonts w:ascii="宋体" w:hAnsi="宋体" w:cs="Helvetica"/>
          <w:kern w:val="0"/>
          <w:sz w:val="24"/>
          <w:szCs w:val="24"/>
        </w:rPr>
        <w:t>1</w:t>
      </w:r>
      <w:r>
        <w:rPr>
          <w:rFonts w:hint="eastAsia" w:ascii="宋体" w:hAnsi="宋体" w:cs="Helvetica"/>
          <w:kern w:val="0"/>
          <w:sz w:val="24"/>
          <w:szCs w:val="24"/>
        </w:rPr>
        <w:t>个工作日。</w:t>
      </w:r>
    </w:p>
    <w:p>
      <w:pPr>
        <w:numPr>
          <w:ilvl w:val="0"/>
          <w:numId w:val="29"/>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资格审查未通过的投标人可在结果公告质疑有效期内按公告中的联系方式获知本单位的资格审查情况。</w:t>
      </w:r>
    </w:p>
    <w:p>
      <w:pPr>
        <w:numPr>
          <w:ilvl w:val="0"/>
          <w:numId w:val="29"/>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采用综合评分法评审的项目，未中标人可在结果公告质疑有效期内按公告中的联系方式获知本单位的评审得分与排序。</w:t>
      </w:r>
    </w:p>
    <w:p>
      <w:pPr>
        <w:pStyle w:val="4"/>
        <w:numPr>
          <w:ilvl w:val="0"/>
          <w:numId w:val="4"/>
        </w:numPr>
      </w:pPr>
      <w:bookmarkStart w:id="164" w:name="_Toc26857"/>
      <w:bookmarkStart w:id="165" w:name="_Toc18750"/>
      <w:bookmarkStart w:id="166" w:name="_Toc23303"/>
      <w:bookmarkStart w:id="167" w:name="_Toc511889424"/>
      <w:bookmarkStart w:id="168" w:name="_Toc4477"/>
      <w:bookmarkStart w:id="169" w:name="_Toc13735"/>
      <w:bookmarkStart w:id="170" w:name="_Toc14905"/>
      <w:bookmarkStart w:id="171" w:name="_Toc18571"/>
      <w:bookmarkStart w:id="172" w:name="_Toc8119"/>
      <w:bookmarkStart w:id="173" w:name="_Toc26929"/>
      <w:bookmarkStart w:id="174" w:name="_Toc511894502"/>
      <w:bookmarkStart w:id="175" w:name="_Toc16232352"/>
      <w:bookmarkStart w:id="176" w:name="_Toc8646"/>
      <w:bookmarkStart w:id="177" w:name="_Toc80682156"/>
      <w:r>
        <w:rPr>
          <w:rFonts w:hint="eastAsia"/>
        </w:rPr>
        <w:t>质疑及提交</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numPr>
          <w:ilvl w:val="0"/>
          <w:numId w:val="5"/>
        </w:numPr>
        <w:spacing w:line="360" w:lineRule="auto"/>
        <w:ind w:left="560" w:hanging="560"/>
        <w:rPr>
          <w:rFonts w:ascii="宋体"/>
          <w:b/>
          <w:sz w:val="24"/>
          <w:szCs w:val="20"/>
        </w:rPr>
      </w:pPr>
      <w:r>
        <w:rPr>
          <w:rFonts w:hint="eastAsia" w:ascii="宋体" w:hAnsi="宋体"/>
          <w:b/>
          <w:sz w:val="24"/>
          <w:szCs w:val="20"/>
        </w:rPr>
        <w:t>质疑提交</w:t>
      </w:r>
    </w:p>
    <w:p>
      <w:pPr>
        <w:spacing w:line="360" w:lineRule="auto"/>
        <w:ind w:firstLine="480" w:firstLineChars="200"/>
        <w:rPr>
          <w:rFonts w:ascii="宋体"/>
          <w:sz w:val="24"/>
          <w:szCs w:val="20"/>
        </w:rPr>
      </w:pPr>
      <w:r>
        <w:rPr>
          <w:rFonts w:hint="eastAsia" w:ascii="宋体" w:hAnsi="宋体"/>
          <w:sz w:val="24"/>
          <w:szCs w:val="20"/>
        </w:rPr>
        <w:t>投标人认为招标文件、招标过程和中标结果使自己的权益受到损害的，可以在知道或者应知其权益受到损害之日起</w:t>
      </w:r>
      <w:r>
        <w:rPr>
          <w:rFonts w:ascii="宋体" w:hAnsi="宋体"/>
          <w:sz w:val="24"/>
          <w:szCs w:val="20"/>
        </w:rPr>
        <w:t>7</w:t>
      </w:r>
      <w:r>
        <w:rPr>
          <w:rFonts w:hint="eastAsia" w:ascii="宋体" w:hAnsi="宋体"/>
          <w:sz w:val="24"/>
          <w:szCs w:val="20"/>
        </w:rPr>
        <w:t>个工作日内，向广水市政府采购中心、</w:t>
      </w:r>
      <w:r>
        <w:rPr>
          <w:rFonts w:hint="eastAsia" w:ascii="宋体" w:hAnsi="宋体" w:cs="宋体"/>
          <w:sz w:val="24"/>
          <w:szCs w:val="24"/>
        </w:rPr>
        <w:t>采购人</w:t>
      </w:r>
      <w:r>
        <w:rPr>
          <w:rFonts w:hint="eastAsia" w:ascii="宋体" w:hAnsi="宋体"/>
          <w:sz w:val="24"/>
          <w:szCs w:val="20"/>
        </w:rPr>
        <w:t>提出询问和质疑。提出质疑时请提交书面质疑函一份（法人代表签字、单位公章），并附相关证据材料。</w:t>
      </w:r>
    </w:p>
    <w:p>
      <w:pPr>
        <w:numPr>
          <w:ilvl w:val="0"/>
          <w:numId w:val="5"/>
        </w:numPr>
        <w:spacing w:line="360" w:lineRule="auto"/>
        <w:ind w:left="560" w:hanging="560"/>
        <w:rPr>
          <w:rFonts w:ascii="宋体"/>
          <w:b/>
          <w:sz w:val="24"/>
          <w:szCs w:val="20"/>
        </w:rPr>
      </w:pPr>
      <w:r>
        <w:rPr>
          <w:rFonts w:hint="eastAsia" w:ascii="宋体" w:hAnsi="宋体"/>
          <w:b/>
          <w:sz w:val="24"/>
          <w:szCs w:val="20"/>
        </w:rPr>
        <w:t>投标人应知其权益受到损害之日是指：</w:t>
      </w:r>
    </w:p>
    <w:p>
      <w:pPr>
        <w:numPr>
          <w:ilvl w:val="0"/>
          <w:numId w:val="30"/>
        </w:numPr>
        <w:spacing w:line="360" w:lineRule="auto"/>
        <w:ind w:left="993" w:hanging="567"/>
        <w:rPr>
          <w:rFonts w:ascii="宋体"/>
          <w:sz w:val="24"/>
          <w:szCs w:val="20"/>
        </w:rPr>
      </w:pPr>
      <w:r>
        <w:rPr>
          <w:rFonts w:hint="eastAsia" w:ascii="宋体" w:hAnsi="宋体"/>
          <w:sz w:val="24"/>
          <w:szCs w:val="20"/>
        </w:rPr>
        <w:t>对可以质疑的招标文件提出质疑的，为收到招标文件之日或者招标文件公告期限届满之日；</w:t>
      </w:r>
    </w:p>
    <w:p>
      <w:pPr>
        <w:numPr>
          <w:ilvl w:val="0"/>
          <w:numId w:val="30"/>
        </w:numPr>
        <w:spacing w:line="360" w:lineRule="auto"/>
        <w:ind w:left="993" w:hanging="567"/>
        <w:rPr>
          <w:rFonts w:ascii="宋体"/>
          <w:sz w:val="24"/>
          <w:szCs w:val="20"/>
        </w:rPr>
      </w:pPr>
      <w:r>
        <w:rPr>
          <w:rFonts w:hint="eastAsia" w:ascii="宋体" w:hAnsi="宋体"/>
          <w:sz w:val="24"/>
          <w:szCs w:val="20"/>
        </w:rPr>
        <w:t>对招标过程提出质疑的，为各招标程序环节结束之日；</w:t>
      </w:r>
    </w:p>
    <w:p>
      <w:pPr>
        <w:numPr>
          <w:ilvl w:val="0"/>
          <w:numId w:val="30"/>
        </w:numPr>
        <w:spacing w:line="360" w:lineRule="auto"/>
        <w:ind w:left="993" w:hanging="567"/>
        <w:rPr>
          <w:rFonts w:ascii="宋体"/>
          <w:sz w:val="24"/>
          <w:szCs w:val="20"/>
        </w:rPr>
      </w:pPr>
      <w:r>
        <w:rPr>
          <w:rFonts w:hint="eastAsia" w:ascii="宋体" w:hAnsi="宋体"/>
          <w:sz w:val="24"/>
          <w:szCs w:val="20"/>
        </w:rPr>
        <w:t>对中标结果提出质疑的，为中标公告期限届满之日。</w:t>
      </w:r>
    </w:p>
    <w:p>
      <w:pPr>
        <w:numPr>
          <w:ilvl w:val="0"/>
          <w:numId w:val="5"/>
        </w:numPr>
        <w:spacing w:line="360" w:lineRule="auto"/>
        <w:ind w:left="560" w:hanging="560"/>
        <w:rPr>
          <w:rFonts w:ascii="宋体"/>
          <w:b/>
          <w:sz w:val="24"/>
          <w:szCs w:val="20"/>
        </w:rPr>
      </w:pPr>
      <w:r>
        <w:rPr>
          <w:rFonts w:hint="eastAsia" w:ascii="宋体" w:hAnsi="宋体"/>
          <w:b/>
          <w:sz w:val="24"/>
          <w:szCs w:val="20"/>
        </w:rPr>
        <w:t>质疑书应当包括下列主要内容：</w:t>
      </w:r>
    </w:p>
    <w:p>
      <w:pPr>
        <w:numPr>
          <w:ilvl w:val="0"/>
          <w:numId w:val="31"/>
        </w:numPr>
        <w:spacing w:line="360" w:lineRule="auto"/>
        <w:ind w:left="993" w:hanging="567"/>
        <w:rPr>
          <w:rFonts w:ascii="宋体"/>
          <w:sz w:val="24"/>
          <w:szCs w:val="20"/>
        </w:rPr>
      </w:pPr>
      <w:r>
        <w:rPr>
          <w:rFonts w:hint="eastAsia" w:ascii="宋体" w:hAnsi="宋体"/>
          <w:sz w:val="24"/>
          <w:szCs w:val="20"/>
        </w:rPr>
        <w:t>质疑人的名称、地址、联系人及联系电话等；</w:t>
      </w:r>
    </w:p>
    <w:p>
      <w:pPr>
        <w:numPr>
          <w:ilvl w:val="0"/>
          <w:numId w:val="31"/>
        </w:numPr>
        <w:spacing w:line="360" w:lineRule="auto"/>
        <w:ind w:left="993" w:hanging="567"/>
        <w:rPr>
          <w:rFonts w:ascii="宋体"/>
          <w:sz w:val="24"/>
          <w:szCs w:val="20"/>
        </w:rPr>
      </w:pPr>
      <w:r>
        <w:rPr>
          <w:rFonts w:hint="eastAsia" w:ascii="宋体" w:hAnsi="宋体"/>
          <w:sz w:val="24"/>
          <w:szCs w:val="20"/>
        </w:rPr>
        <w:t>被质疑人的名称、地址、联系人及联系电话等；</w:t>
      </w:r>
    </w:p>
    <w:p>
      <w:pPr>
        <w:numPr>
          <w:ilvl w:val="0"/>
          <w:numId w:val="31"/>
        </w:numPr>
        <w:spacing w:line="360" w:lineRule="auto"/>
        <w:ind w:left="993" w:hanging="567"/>
        <w:rPr>
          <w:rFonts w:ascii="宋体"/>
          <w:sz w:val="24"/>
          <w:szCs w:val="20"/>
        </w:rPr>
      </w:pPr>
      <w:r>
        <w:rPr>
          <w:rFonts w:hint="eastAsia" w:ascii="宋体" w:hAnsi="宋体"/>
          <w:sz w:val="24"/>
          <w:szCs w:val="20"/>
        </w:rPr>
        <w:t>质疑项目名称及编号、质疑事项和明确的请求；</w:t>
      </w:r>
    </w:p>
    <w:p>
      <w:pPr>
        <w:numPr>
          <w:ilvl w:val="0"/>
          <w:numId w:val="31"/>
        </w:numPr>
        <w:spacing w:line="360" w:lineRule="auto"/>
        <w:ind w:left="993" w:hanging="567"/>
        <w:rPr>
          <w:rFonts w:ascii="宋体"/>
          <w:sz w:val="24"/>
          <w:szCs w:val="20"/>
        </w:rPr>
      </w:pPr>
      <w:r>
        <w:rPr>
          <w:rFonts w:hint="eastAsia" w:ascii="宋体" w:hAnsi="宋体"/>
          <w:sz w:val="24"/>
          <w:szCs w:val="20"/>
        </w:rPr>
        <w:t>质疑事项的事实根据、法律依据及其他必要的证明材料；</w:t>
      </w:r>
    </w:p>
    <w:p>
      <w:pPr>
        <w:numPr>
          <w:ilvl w:val="0"/>
          <w:numId w:val="31"/>
        </w:numPr>
        <w:spacing w:line="360" w:lineRule="auto"/>
        <w:ind w:left="993" w:hanging="567"/>
        <w:rPr>
          <w:rFonts w:ascii="宋体"/>
          <w:sz w:val="24"/>
          <w:szCs w:val="20"/>
        </w:rPr>
      </w:pPr>
      <w:r>
        <w:rPr>
          <w:rFonts w:hint="eastAsia" w:ascii="宋体" w:hAnsi="宋体"/>
          <w:sz w:val="24"/>
          <w:szCs w:val="20"/>
        </w:rPr>
        <w:t>提出质疑的日期；</w:t>
      </w:r>
    </w:p>
    <w:p>
      <w:pPr>
        <w:numPr>
          <w:ilvl w:val="0"/>
          <w:numId w:val="31"/>
        </w:numPr>
        <w:spacing w:line="360" w:lineRule="auto"/>
        <w:ind w:left="993" w:hanging="567"/>
        <w:rPr>
          <w:rFonts w:ascii="宋体"/>
          <w:sz w:val="24"/>
          <w:szCs w:val="20"/>
        </w:rPr>
      </w:pPr>
      <w:r>
        <w:rPr>
          <w:rFonts w:hint="eastAsia" w:ascii="宋体" w:hAnsi="宋体"/>
          <w:sz w:val="24"/>
          <w:szCs w:val="20"/>
        </w:rPr>
        <w:t>质疑人的署名及签章（质疑人为自然人的，应当由本人签字；质疑人为法人或者其他组织的，应当由法定代表人或者主要负责人签字盖章并加盖公章）；</w:t>
      </w:r>
    </w:p>
    <w:p>
      <w:pPr>
        <w:numPr>
          <w:ilvl w:val="0"/>
          <w:numId w:val="31"/>
        </w:numPr>
        <w:spacing w:line="360" w:lineRule="auto"/>
        <w:ind w:left="993" w:hanging="567"/>
        <w:rPr>
          <w:rFonts w:ascii="宋体"/>
          <w:sz w:val="24"/>
          <w:szCs w:val="20"/>
        </w:rPr>
      </w:pPr>
      <w:r>
        <w:rPr>
          <w:rFonts w:hint="eastAsia" w:ascii="宋体" w:hAnsi="宋体"/>
          <w:sz w:val="24"/>
          <w:szCs w:val="20"/>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b/>
          <w:sz w:val="24"/>
          <w:szCs w:val="20"/>
        </w:rPr>
      </w:pPr>
      <w:r>
        <w:rPr>
          <w:rFonts w:hint="eastAsia" w:ascii="宋体" w:hAnsi="宋体"/>
          <w:b/>
          <w:sz w:val="24"/>
          <w:szCs w:val="20"/>
        </w:rPr>
        <w:t>不予受理的情形</w:t>
      </w:r>
    </w:p>
    <w:p>
      <w:pPr>
        <w:spacing w:line="360" w:lineRule="auto"/>
        <w:ind w:firstLine="480" w:firstLineChars="200"/>
        <w:rPr>
          <w:rFonts w:ascii="宋体"/>
          <w:sz w:val="24"/>
          <w:szCs w:val="20"/>
        </w:rPr>
      </w:pPr>
      <w:r>
        <w:rPr>
          <w:rFonts w:hint="eastAsia" w:ascii="宋体" w:hAnsi="宋体"/>
          <w:sz w:val="24"/>
          <w:szCs w:val="20"/>
        </w:rPr>
        <w:t>投标人未按本章“质疑及提交”规定的时限、内容及方式进行质疑的，集中采购机构不予受理。</w:t>
      </w:r>
    </w:p>
    <w:p>
      <w:pPr>
        <w:pStyle w:val="4"/>
        <w:numPr>
          <w:ilvl w:val="0"/>
          <w:numId w:val="4"/>
        </w:numPr>
      </w:pPr>
      <w:bookmarkStart w:id="178" w:name="_Toc5861"/>
      <w:bookmarkStart w:id="179" w:name="_Toc511894503"/>
      <w:bookmarkStart w:id="180" w:name="_Toc511889425"/>
      <w:bookmarkStart w:id="181" w:name="_Toc80682157"/>
      <w:bookmarkStart w:id="182" w:name="_Toc32754"/>
      <w:bookmarkStart w:id="183" w:name="_Toc8432"/>
      <w:bookmarkStart w:id="184" w:name="_Toc19916"/>
      <w:bookmarkStart w:id="185" w:name="_Toc16232353"/>
      <w:bookmarkStart w:id="186" w:name="_Toc17213"/>
      <w:bookmarkStart w:id="187" w:name="_Toc11977"/>
      <w:bookmarkStart w:id="188" w:name="_Toc16031"/>
      <w:bookmarkStart w:id="189" w:name="_Toc23970"/>
      <w:bookmarkStart w:id="190" w:name="_Toc28072"/>
      <w:bookmarkStart w:id="191" w:name="_Toc32395"/>
      <w:r>
        <w:rPr>
          <w:rFonts w:hint="eastAsia"/>
        </w:rPr>
        <w:t>相关条文解读</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numPr>
          <w:ilvl w:val="0"/>
          <w:numId w:val="5"/>
        </w:numPr>
        <w:spacing w:line="360" w:lineRule="auto"/>
        <w:ind w:left="560" w:hanging="560"/>
        <w:rPr>
          <w:rFonts w:ascii="宋体"/>
          <w:sz w:val="24"/>
          <w:szCs w:val="20"/>
        </w:rPr>
      </w:pPr>
      <w:r>
        <w:rPr>
          <w:rFonts w:hint="eastAsia" w:ascii="宋体" w:hAnsi="宋体"/>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sz w:val="24"/>
          <w:szCs w:val="20"/>
        </w:rPr>
      </w:pPr>
      <w:r>
        <w:rPr>
          <w:rFonts w:hint="eastAsia" w:ascii="宋体" w:hAnsi="宋体"/>
          <w:sz w:val="24"/>
          <w:szCs w:val="20"/>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sz w:val="24"/>
          <w:szCs w:val="20"/>
        </w:rPr>
      </w:pPr>
      <w:r>
        <w:rPr>
          <w:rFonts w:hint="eastAsia" w:ascii="宋体" w:hAnsi="宋体"/>
          <w:sz w:val="24"/>
          <w:szCs w:val="20"/>
        </w:rPr>
        <w:t>供应商在参加政府采购活动前</w:t>
      </w:r>
      <w:r>
        <w:rPr>
          <w:rFonts w:ascii="宋体" w:hAnsi="宋体"/>
          <w:sz w:val="24"/>
          <w:szCs w:val="20"/>
        </w:rPr>
        <w:t>3</w:t>
      </w:r>
      <w:r>
        <w:rPr>
          <w:rFonts w:hint="eastAsia" w:ascii="宋体" w:hAnsi="宋体"/>
          <w:sz w:val="24"/>
          <w:szCs w:val="20"/>
        </w:rPr>
        <w:t>年内因违法经营被禁止在一定期限内参加政府采购活动，期限届满的，可以参加政府采购活动。</w:t>
      </w:r>
    </w:p>
    <w:p>
      <w:pPr>
        <w:numPr>
          <w:ilvl w:val="0"/>
          <w:numId w:val="5"/>
        </w:numPr>
        <w:spacing w:line="360" w:lineRule="auto"/>
        <w:ind w:left="560" w:hanging="560"/>
        <w:rPr>
          <w:rFonts w:ascii="宋体"/>
          <w:sz w:val="24"/>
          <w:szCs w:val="20"/>
        </w:rPr>
      </w:pPr>
      <w:r>
        <w:rPr>
          <w:rFonts w:hint="eastAsia" w:ascii="宋体" w:hAnsi="宋体"/>
          <w:sz w:val="24"/>
          <w:szCs w:val="20"/>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pPr>
      <w:bookmarkStart w:id="192" w:name="_Toc22169"/>
      <w:bookmarkStart w:id="193" w:name="_Toc26910"/>
      <w:bookmarkStart w:id="194" w:name="_Toc80682158"/>
      <w:bookmarkStart w:id="195" w:name="_Toc511894504"/>
      <w:bookmarkStart w:id="196" w:name="_Toc3937"/>
      <w:bookmarkStart w:id="197" w:name="_Toc19105"/>
      <w:bookmarkStart w:id="198" w:name="_Toc21454"/>
      <w:bookmarkStart w:id="199" w:name="_Toc16232354"/>
      <w:bookmarkStart w:id="200" w:name="_Toc5717"/>
      <w:bookmarkStart w:id="201" w:name="_Toc27634"/>
      <w:bookmarkStart w:id="202" w:name="_Toc511889426"/>
      <w:bookmarkStart w:id="203" w:name="_Toc28126"/>
      <w:bookmarkStart w:id="204" w:name="_Toc8911"/>
      <w:bookmarkStart w:id="205" w:name="_Toc1167"/>
      <w:r>
        <w:rPr>
          <w:rFonts w:hint="eastAsia"/>
        </w:rPr>
        <w:t>其他注意事项</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numPr>
          <w:ilvl w:val="0"/>
          <w:numId w:val="5"/>
        </w:numPr>
        <w:spacing w:line="360" w:lineRule="auto"/>
        <w:ind w:left="560" w:hanging="560"/>
        <w:rPr>
          <w:rFonts w:ascii="宋体"/>
          <w:sz w:val="24"/>
          <w:szCs w:val="20"/>
        </w:rPr>
      </w:pPr>
      <w:r>
        <w:rPr>
          <w:rFonts w:hint="eastAsia" w:ascii="宋体" w:hAnsi="宋体"/>
          <w:sz w:val="24"/>
          <w:szCs w:val="20"/>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sz w:val="24"/>
          <w:szCs w:val="20"/>
        </w:rPr>
      </w:pPr>
      <w:r>
        <w:rPr>
          <w:rFonts w:hint="eastAsia" w:ascii="宋体" w:hAnsi="宋体"/>
          <w:sz w:val="24"/>
          <w:szCs w:val="20"/>
        </w:rPr>
        <w:t>除单一来源采购项目外，为采购项目提供整体设计、规范编制或者项目管理、监理、检测等服务的供应商，不得再参加该采购项目的其他采购活动。</w:t>
      </w:r>
    </w:p>
    <w:p>
      <w:pPr>
        <w:pStyle w:val="4"/>
        <w:numPr>
          <w:ilvl w:val="0"/>
          <w:numId w:val="4"/>
        </w:numPr>
      </w:pPr>
      <w:bookmarkStart w:id="206" w:name="_Toc22989"/>
      <w:bookmarkStart w:id="207" w:name="_Toc511889427"/>
      <w:bookmarkStart w:id="208" w:name="_Toc10819"/>
      <w:bookmarkStart w:id="209" w:name="_Toc80682159"/>
      <w:bookmarkStart w:id="210" w:name="_Toc511894505"/>
      <w:bookmarkStart w:id="211" w:name="_Toc22946"/>
      <w:bookmarkStart w:id="212" w:name="_Toc25217"/>
      <w:bookmarkStart w:id="213" w:name="_Toc30742"/>
      <w:bookmarkStart w:id="214" w:name="_Toc16232355"/>
      <w:bookmarkStart w:id="215" w:name="_Toc14901"/>
      <w:bookmarkStart w:id="216" w:name="_Toc6608"/>
      <w:bookmarkStart w:id="217" w:name="_Toc26475"/>
      <w:bookmarkStart w:id="218" w:name="_Toc5601"/>
      <w:bookmarkStart w:id="219" w:name="_Toc22293"/>
      <w:r>
        <w:rPr>
          <w:rFonts w:hint="eastAsia"/>
        </w:rPr>
        <w:t>适用法律</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numPr>
          <w:ilvl w:val="0"/>
          <w:numId w:val="5"/>
        </w:numPr>
        <w:spacing w:line="360" w:lineRule="auto"/>
        <w:ind w:left="560" w:hanging="560"/>
        <w:rPr>
          <w:rFonts w:ascii="宋体"/>
          <w:sz w:val="24"/>
          <w:szCs w:val="20"/>
        </w:rPr>
      </w:pPr>
      <w:r>
        <w:rPr>
          <w:rFonts w:hint="eastAsia" w:ascii="宋体" w:hAnsi="宋体"/>
          <w:sz w:val="24"/>
          <w:szCs w:val="20"/>
        </w:rPr>
        <w:t>采购人、集中采购机构及投标人的一切招标投标活动均适用《政府采购法》、《政府采购法实施条例》、《政府采购货物和服务招标投标管理办法》及相关法律法规。</w:t>
      </w:r>
    </w:p>
    <w:p>
      <w:pPr>
        <w:numPr>
          <w:ilvl w:val="0"/>
          <w:numId w:val="5"/>
        </w:numPr>
        <w:spacing w:line="360" w:lineRule="auto"/>
        <w:ind w:left="560" w:hanging="560"/>
        <w:rPr>
          <w:rFonts w:ascii="宋体"/>
          <w:sz w:val="24"/>
          <w:szCs w:val="20"/>
        </w:rPr>
      </w:pPr>
      <w:r>
        <w:rPr>
          <w:rFonts w:hint="eastAsia" w:ascii="Helvetica" w:hAnsi="Helvetica" w:cs="Helvetica"/>
          <w:kern w:val="0"/>
          <w:sz w:val="24"/>
          <w:szCs w:val="24"/>
        </w:rPr>
        <w:t>政府采购合同的履行、违约责任和解决争议的方法等适用《合同法》。</w:t>
      </w:r>
    </w:p>
    <w:p>
      <w:pPr>
        <w:pStyle w:val="4"/>
        <w:numPr>
          <w:ilvl w:val="0"/>
          <w:numId w:val="4"/>
        </w:numPr>
      </w:pPr>
      <w:bookmarkStart w:id="220" w:name="_Toc8964"/>
      <w:bookmarkStart w:id="221" w:name="_Toc2445"/>
      <w:bookmarkStart w:id="222" w:name="_Toc511894506"/>
      <w:bookmarkStart w:id="223" w:name="_Toc16232356"/>
      <w:bookmarkStart w:id="224" w:name="_Toc5122"/>
      <w:bookmarkStart w:id="225" w:name="_Toc26421"/>
      <w:bookmarkStart w:id="226" w:name="_Toc80682160"/>
      <w:bookmarkStart w:id="227" w:name="_Toc19418"/>
      <w:bookmarkStart w:id="228" w:name="_Toc23142"/>
      <w:bookmarkStart w:id="229" w:name="_Toc27080"/>
      <w:bookmarkStart w:id="230" w:name="_Toc26566"/>
      <w:bookmarkStart w:id="231" w:name="_Toc4150"/>
      <w:bookmarkStart w:id="232" w:name="_Toc8111"/>
      <w:bookmarkStart w:id="233" w:name="_Toc511889428"/>
      <w:r>
        <w:rPr>
          <w:rFonts w:hint="eastAsia"/>
        </w:rPr>
        <w:t>招标文件的解释权</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numPr>
          <w:ilvl w:val="0"/>
          <w:numId w:val="5"/>
        </w:numPr>
        <w:spacing w:line="360" w:lineRule="auto"/>
        <w:ind w:left="560" w:hanging="560"/>
        <w:rPr>
          <w:rFonts w:eastAsia="黑体"/>
          <w:b/>
          <w:iCs/>
          <w:kern w:val="0"/>
          <w:sz w:val="28"/>
        </w:rPr>
      </w:pPr>
      <w:r>
        <w:rPr>
          <w:rFonts w:hint="eastAsia" w:ascii="宋体" w:hAnsi="宋体"/>
          <w:sz w:val="24"/>
          <w:szCs w:val="20"/>
        </w:rPr>
        <w:t>招标文件的最终解释权为采购人、集中采购机构所有。</w:t>
      </w:r>
    </w:p>
    <w:p>
      <w:pPr>
        <w:pStyle w:val="8"/>
        <w:rPr>
          <w:lang w:val="zh-CN" w:eastAsia="zh-CN"/>
        </w:rPr>
        <w:sectPr>
          <w:headerReference r:id="rId8" w:type="default"/>
          <w:footerReference r:id="rId9" w:type="default"/>
          <w:pgSz w:w="11906" w:h="16838"/>
          <w:pgMar w:top="1134" w:right="1191" w:bottom="1134" w:left="1191" w:header="851" w:footer="992" w:gutter="0"/>
          <w:pgNumType w:fmt="decimal"/>
          <w:cols w:space="425" w:num="1"/>
          <w:docGrid w:type="linesAndChars" w:linePitch="312" w:charSpace="0"/>
        </w:sectPr>
      </w:pPr>
    </w:p>
    <w:p>
      <w:pPr>
        <w:pStyle w:val="9"/>
        <w:rPr>
          <w:lang w:val="zh-CN" w:eastAsia="zh-CN"/>
        </w:rPr>
      </w:pPr>
    </w:p>
    <w:bookmarkEnd w:id="51"/>
    <w:bookmarkEnd w:id="52"/>
    <w:p>
      <w:pPr>
        <w:pStyle w:val="3"/>
        <w:numPr>
          <w:ilvl w:val="0"/>
          <w:numId w:val="2"/>
        </w:numPr>
        <w:spacing w:before="240" w:after="120"/>
        <w:ind w:left="883" w:hanging="880" w:hangingChars="200"/>
        <w:jc w:val="center"/>
        <w:rPr>
          <w:rFonts w:ascii="黑体" w:hAnsi="黑体" w:eastAsia="黑体"/>
        </w:rPr>
      </w:pPr>
      <w:bookmarkStart w:id="234" w:name="_Toc511889429"/>
      <w:bookmarkStart w:id="235" w:name="_Toc32591"/>
      <w:bookmarkStart w:id="236" w:name="_Toc511894507"/>
      <w:r>
        <w:rPr>
          <w:rFonts w:hint="eastAsia" w:ascii="黑体" w:hAnsi="黑体" w:eastAsia="黑体"/>
        </w:rPr>
        <w:t>项目技术、服务及商务要求</w:t>
      </w:r>
      <w:bookmarkEnd w:id="234"/>
      <w:bookmarkEnd w:id="235"/>
      <w:bookmarkEnd w:id="236"/>
    </w:p>
    <w:p>
      <w:pPr>
        <w:pStyle w:val="4"/>
        <w:numPr>
          <w:ilvl w:val="0"/>
          <w:numId w:val="32"/>
        </w:numPr>
        <w:spacing w:before="0" w:after="0" w:line="360" w:lineRule="auto"/>
        <w:ind w:left="616" w:hanging="616"/>
        <w:jc w:val="left"/>
        <w:rPr>
          <w:rFonts w:cs="Times New Roman" w:asciiTheme="majorEastAsia" w:hAnsiTheme="majorEastAsia"/>
          <w:bCs w:val="0"/>
          <w:sz w:val="30"/>
          <w:szCs w:val="30"/>
        </w:rPr>
      </w:pPr>
      <w:bookmarkStart w:id="237" w:name="_Toc17994"/>
      <w:bookmarkStart w:id="238" w:name="_Toc511889430"/>
      <w:bookmarkStart w:id="239" w:name="_Toc494561952"/>
      <w:bookmarkStart w:id="240" w:name="_Toc511894508"/>
      <w:bookmarkStart w:id="241" w:name="_Toc339378679"/>
      <w:bookmarkStart w:id="242" w:name="_Toc338065593"/>
      <w:r>
        <w:rPr>
          <w:rFonts w:hint="eastAsia" w:cs="Times New Roman" w:asciiTheme="majorEastAsia" w:hAnsiTheme="majorEastAsia"/>
          <w:bCs w:val="0"/>
          <w:sz w:val="30"/>
          <w:szCs w:val="30"/>
        </w:rPr>
        <w:t>采购清单</w:t>
      </w:r>
      <w:bookmarkEnd w:id="237"/>
      <w:bookmarkEnd w:id="238"/>
      <w:bookmarkEnd w:id="239"/>
      <w:bookmarkEnd w:id="240"/>
    </w:p>
    <w:bookmarkEnd w:id="241"/>
    <w:bookmarkEnd w:id="242"/>
    <w:p>
      <w:pPr>
        <w:spacing w:line="360" w:lineRule="auto"/>
        <w:rPr>
          <w:rFonts w:ascii="宋体" w:hAnsi="宋体" w:eastAsia="宋体" w:cs="Times New Roman"/>
          <w:sz w:val="24"/>
          <w:szCs w:val="24"/>
          <w:lang w:val="zh-CN"/>
        </w:rPr>
      </w:pPr>
      <w:bookmarkStart w:id="243" w:name="_Toc338065594"/>
      <w:bookmarkStart w:id="244" w:name="_Toc339378680"/>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投标人在投标文件中必须满足或优于招标文件中以“★”标注的技术、服务及商务要求，否则按照</w:t>
      </w:r>
      <w:r>
        <w:rPr>
          <w:rFonts w:hint="eastAsia" w:ascii="宋体" w:hAnsi="宋体" w:eastAsia="宋体" w:cs="Times New Roman"/>
          <w:b/>
          <w:sz w:val="24"/>
          <w:szCs w:val="24"/>
          <w:lang w:val="zh-CN"/>
        </w:rPr>
        <w:t>无效投标处理</w:t>
      </w:r>
      <w:r>
        <w:rPr>
          <w:rFonts w:hint="eastAsia" w:ascii="宋体" w:hAnsi="宋体" w:eastAsia="宋体" w:cs="Times New Roman"/>
          <w:sz w:val="24"/>
          <w:szCs w:val="24"/>
          <w:lang w:val="zh-CN"/>
        </w:rPr>
        <w:t>。</w:t>
      </w:r>
    </w:p>
    <w:tbl>
      <w:tblPr>
        <w:tblStyle w:val="24"/>
        <w:tblW w:w="9562" w:type="dxa"/>
        <w:tblInd w:w="93" w:type="dxa"/>
        <w:tblLayout w:type="fixed"/>
        <w:tblCellMar>
          <w:top w:w="0" w:type="dxa"/>
          <w:left w:w="108" w:type="dxa"/>
          <w:bottom w:w="0" w:type="dxa"/>
          <w:right w:w="108" w:type="dxa"/>
        </w:tblCellMar>
      </w:tblPr>
      <w:tblGrid>
        <w:gridCol w:w="631"/>
        <w:gridCol w:w="1610"/>
        <w:gridCol w:w="1176"/>
        <w:gridCol w:w="658"/>
        <w:gridCol w:w="644"/>
        <w:gridCol w:w="3359"/>
        <w:gridCol w:w="1484"/>
      </w:tblGrid>
      <w:tr>
        <w:tblPrEx>
          <w:tblCellMar>
            <w:top w:w="0" w:type="dxa"/>
            <w:left w:w="108" w:type="dxa"/>
            <w:bottom w:w="0" w:type="dxa"/>
            <w:right w:w="108" w:type="dxa"/>
          </w:tblCellMar>
        </w:tblPrEx>
        <w:trPr>
          <w:trHeight w:val="20" w:hRule="atLeast"/>
        </w:trPr>
        <w:tc>
          <w:tcPr>
            <w:tcW w:w="631"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2786" w:type="dxa"/>
            <w:gridSpan w:val="2"/>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名称</w:t>
            </w:r>
          </w:p>
        </w:tc>
        <w:tc>
          <w:tcPr>
            <w:tcW w:w="658"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数量</w:t>
            </w:r>
          </w:p>
        </w:tc>
        <w:tc>
          <w:tcPr>
            <w:tcW w:w="644"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单位</w:t>
            </w:r>
          </w:p>
        </w:tc>
        <w:tc>
          <w:tcPr>
            <w:tcW w:w="3359"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要求/备注</w:t>
            </w:r>
          </w:p>
        </w:tc>
        <w:tc>
          <w:tcPr>
            <w:tcW w:w="1484"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货物/服务</w:t>
            </w:r>
          </w:p>
        </w:tc>
      </w:tr>
      <w:tr>
        <w:tblPrEx>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3"/>
              </w:numPr>
              <w:tabs>
                <w:tab w:val="left" w:pos="33"/>
              </w:tabs>
              <w:ind w:left="-93" w:right="-48" w:rightChars="-23" w:hanging="3" w:firstLineChars="0"/>
              <w:jc w:val="center"/>
              <w:rPr>
                <w:rFonts w:ascii="宋体" w:hAnsi="宋体" w:eastAsia="宋体" w:cs="Times New Roman"/>
                <w:color w:val="000000" w:themeColor="text1"/>
                <w:sz w:val="24"/>
                <w:szCs w:val="24"/>
                <w14:textFill>
                  <w14:solidFill>
                    <w14:schemeClr w14:val="tx1"/>
                  </w14:solidFill>
                </w14:textFill>
              </w:rPr>
            </w:pPr>
          </w:p>
        </w:tc>
        <w:tc>
          <w:tcPr>
            <w:tcW w:w="2786" w:type="dxa"/>
            <w:gridSpan w:val="2"/>
            <w:tcBorders>
              <w:top w:val="nil"/>
              <w:left w:val="single" w:color="auto" w:sz="4" w:space="0"/>
              <w:bottom w:val="single" w:color="auto" w:sz="4" w:space="0"/>
              <w:right w:val="single" w:color="auto" w:sz="4" w:space="0"/>
            </w:tcBorders>
            <w:shd w:val="clear" w:color="auto" w:fill="auto"/>
            <w:vAlign w:val="center"/>
          </w:tcPr>
          <w:p>
            <w:pPr>
              <w:ind w:right="-48" w:rightChars="-23"/>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保洁服务</w:t>
            </w:r>
          </w:p>
        </w:tc>
        <w:tc>
          <w:tcPr>
            <w:tcW w:w="658"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644"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w:t>
            </w:r>
          </w:p>
        </w:tc>
        <w:tc>
          <w:tcPr>
            <w:tcW w:w="3359"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拦标价格1</w:t>
            </w:r>
            <w:r>
              <w:rPr>
                <w:rFonts w:hint="eastAsia" w:ascii="宋体" w:hAnsi="宋体"/>
                <w:color w:val="000000" w:themeColor="text1"/>
                <w:sz w:val="24"/>
                <w:szCs w:val="24"/>
                <w:lang w:val="en-US" w:eastAsia="zh-CN"/>
                <w14:textFill>
                  <w14:solidFill>
                    <w14:schemeClr w14:val="tx1"/>
                  </w14:solidFill>
                </w14:textFill>
              </w:rPr>
              <w:t>24.78</w:t>
            </w:r>
            <w:r>
              <w:rPr>
                <w:rFonts w:hint="eastAsia" w:ascii="宋体" w:hAnsi="宋体"/>
                <w:color w:val="000000" w:themeColor="text1"/>
                <w:sz w:val="24"/>
                <w:szCs w:val="24"/>
                <w14:textFill>
                  <w14:solidFill>
                    <w14:schemeClr w14:val="tx1"/>
                  </w14:solidFill>
                </w14:textFill>
              </w:rPr>
              <w:t>万元/年</w:t>
            </w:r>
          </w:p>
        </w:tc>
        <w:tc>
          <w:tcPr>
            <w:tcW w:w="1484" w:type="dxa"/>
            <w:tcBorders>
              <w:top w:val="nil"/>
              <w:left w:val="single" w:color="auto" w:sz="4" w:space="0"/>
              <w:bottom w:val="single" w:color="auto" w:sz="4" w:space="0"/>
              <w:right w:val="single" w:color="auto" w:sz="4" w:space="0"/>
            </w:tcBorders>
            <w:shd w:val="clear" w:color="auto" w:fill="auto"/>
          </w:tcPr>
          <w:p>
            <w:pPr>
              <w:ind w:left="-48" w:leftChars="-23" w:right="-48" w:rightChars="-23"/>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w:t>
            </w:r>
          </w:p>
        </w:tc>
      </w:tr>
      <w:tr>
        <w:tblPrEx>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3"/>
              </w:numPr>
              <w:tabs>
                <w:tab w:val="left" w:pos="33"/>
              </w:tabs>
              <w:ind w:left="-93" w:right="-48" w:rightChars="-23" w:hanging="3" w:firstLineChars="0"/>
              <w:jc w:val="center"/>
              <w:rPr>
                <w:rFonts w:ascii="宋体" w:hAnsi="宋体" w:eastAsia="宋体" w:cs="Times New Roman"/>
                <w:color w:val="000000" w:themeColor="text1"/>
                <w:sz w:val="24"/>
                <w:szCs w:val="24"/>
                <w14:textFill>
                  <w14:solidFill>
                    <w14:schemeClr w14:val="tx1"/>
                  </w14:solidFill>
                </w14:textFill>
              </w:rPr>
            </w:pPr>
          </w:p>
        </w:tc>
        <w:tc>
          <w:tcPr>
            <w:tcW w:w="2786" w:type="dxa"/>
            <w:gridSpan w:val="2"/>
            <w:tcBorders>
              <w:top w:val="nil"/>
              <w:left w:val="single" w:color="auto" w:sz="4" w:space="0"/>
              <w:bottom w:val="single" w:color="auto" w:sz="4" w:space="0"/>
              <w:right w:val="single" w:color="auto" w:sz="4" w:space="0"/>
            </w:tcBorders>
            <w:shd w:val="clear" w:color="auto" w:fill="auto"/>
            <w:vAlign w:val="center"/>
          </w:tcPr>
          <w:p>
            <w:pPr>
              <w:ind w:right="-48" w:rightChars="-23"/>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洗涤服务</w:t>
            </w:r>
          </w:p>
        </w:tc>
        <w:tc>
          <w:tcPr>
            <w:tcW w:w="658"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644"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w:t>
            </w:r>
          </w:p>
        </w:tc>
        <w:tc>
          <w:tcPr>
            <w:tcW w:w="3359"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拦标价格</w:t>
            </w:r>
            <w:r>
              <w:rPr>
                <w:rFonts w:hint="eastAsia" w:ascii="宋体" w:hAnsi="宋体"/>
                <w:color w:val="000000" w:themeColor="text1"/>
                <w:sz w:val="24"/>
                <w:szCs w:val="24"/>
                <w:lang w:val="en-US" w:eastAsia="zh-CN"/>
                <w14:textFill>
                  <w14:solidFill>
                    <w14:schemeClr w14:val="tx1"/>
                  </w14:solidFill>
                </w14:textFill>
              </w:rPr>
              <w:t>25.9</w:t>
            </w:r>
            <w:r>
              <w:rPr>
                <w:rFonts w:hint="eastAsia" w:ascii="宋体" w:hAnsi="宋体"/>
                <w:color w:val="000000" w:themeColor="text1"/>
                <w:sz w:val="24"/>
                <w:szCs w:val="24"/>
                <w14:textFill>
                  <w14:solidFill>
                    <w14:schemeClr w14:val="tx1"/>
                  </w14:solidFill>
                </w14:textFill>
              </w:rPr>
              <w:t>万元/年（计件）</w:t>
            </w:r>
          </w:p>
        </w:tc>
        <w:tc>
          <w:tcPr>
            <w:tcW w:w="1484" w:type="dxa"/>
            <w:tcBorders>
              <w:top w:val="nil"/>
              <w:left w:val="single" w:color="auto" w:sz="4" w:space="0"/>
              <w:bottom w:val="single" w:color="auto" w:sz="4" w:space="0"/>
              <w:right w:val="single" w:color="auto" w:sz="4" w:space="0"/>
            </w:tcBorders>
            <w:shd w:val="clear" w:color="auto" w:fill="auto"/>
          </w:tcPr>
          <w:p>
            <w:pPr>
              <w:ind w:left="-48" w:leftChars="-23" w:right="-48" w:rightChars="-23"/>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w:t>
            </w:r>
          </w:p>
        </w:tc>
      </w:tr>
      <w:tr>
        <w:tblPrEx>
          <w:tblCellMar>
            <w:top w:w="0" w:type="dxa"/>
            <w:left w:w="108" w:type="dxa"/>
            <w:bottom w:w="0" w:type="dxa"/>
            <w:right w:w="108" w:type="dxa"/>
          </w:tblCellMar>
        </w:tblPrEx>
        <w:trPr>
          <w:trHeight w:val="20" w:hRule="atLeast"/>
        </w:trPr>
        <w:tc>
          <w:tcPr>
            <w:tcW w:w="2241"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★服务周期</w:t>
            </w:r>
          </w:p>
        </w:tc>
        <w:tc>
          <w:tcPr>
            <w:tcW w:w="7321"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本次服务周期36个月，预算金额4</w:t>
            </w:r>
            <w:r>
              <w:rPr>
                <w:rFonts w:hint="eastAsia" w:ascii="宋体" w:hAnsi="宋体"/>
                <w:color w:val="000000" w:themeColor="text1"/>
                <w:sz w:val="24"/>
                <w:szCs w:val="24"/>
                <w:lang w:val="en-US" w:eastAsia="zh-CN"/>
                <w14:textFill>
                  <w14:solidFill>
                    <w14:schemeClr w14:val="tx1"/>
                  </w14:solidFill>
                </w14:textFill>
              </w:rPr>
              <w:t>65</w:t>
            </w:r>
            <w:r>
              <w:rPr>
                <w:rFonts w:hint="eastAsia" w:ascii="宋体" w:hAnsi="宋体"/>
                <w:color w:val="000000" w:themeColor="text1"/>
                <w:sz w:val="24"/>
                <w:szCs w:val="24"/>
                <w14:textFill>
                  <w14:solidFill>
                    <w14:schemeClr w14:val="tx1"/>
                  </w14:solidFill>
                </w14:textFill>
              </w:rPr>
              <w:t>万元</w:t>
            </w:r>
            <w:r>
              <w:rPr>
                <w:rFonts w:hint="eastAsia" w:ascii="宋体" w:hAnsi="宋体"/>
                <w:bCs/>
                <w:color w:val="000000" w:themeColor="text1"/>
                <w:sz w:val="24"/>
                <w14:textFill>
                  <w14:solidFill>
                    <w14:schemeClr w14:val="tx1"/>
                  </w14:solidFill>
                </w14:textFill>
              </w:rPr>
              <w:t>。续签合同时</w:t>
            </w:r>
            <w:r>
              <w:rPr>
                <w:rFonts w:hint="eastAsia" w:ascii="宋体" w:hAnsi="宋体" w:cs="仿宋_GB2312"/>
                <w:color w:val="000000" w:themeColor="text1"/>
                <w:sz w:val="24"/>
                <w:szCs w:val="24"/>
                <w14:textFill>
                  <w14:solidFill>
                    <w14:schemeClr w14:val="tx1"/>
                  </w14:solidFill>
                </w14:textFill>
              </w:rPr>
              <w:t>因广水市最低工资标准上调等其它相关政策性因素调整导致服务单位成本增加的，由甲乙双方协商，采购人根据实际情况予以调整。</w:t>
            </w:r>
          </w:p>
        </w:tc>
      </w:tr>
      <w:tr>
        <w:tblPrEx>
          <w:tblCellMar>
            <w:top w:w="0" w:type="dxa"/>
            <w:left w:w="108" w:type="dxa"/>
            <w:bottom w:w="0" w:type="dxa"/>
            <w:right w:w="108" w:type="dxa"/>
          </w:tblCellMar>
        </w:tblPrEx>
        <w:trPr>
          <w:trHeight w:val="20" w:hRule="atLeast"/>
        </w:trPr>
        <w:tc>
          <w:tcPr>
            <w:tcW w:w="2241"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★进场时间要求</w:t>
            </w:r>
          </w:p>
        </w:tc>
        <w:tc>
          <w:tcPr>
            <w:tcW w:w="7321"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合同签订之日起</w:t>
            </w:r>
            <w:r>
              <w:rPr>
                <w:rFonts w:hint="eastAsia" w:ascii="宋体" w:hAnsi="宋体"/>
                <w:b/>
                <w:color w:val="000000" w:themeColor="text1"/>
                <w:sz w:val="24"/>
                <w:szCs w:val="24"/>
                <w:u w:val="single"/>
                <w14:textFill>
                  <w14:solidFill>
                    <w14:schemeClr w14:val="tx1"/>
                  </w14:solidFill>
                </w14:textFill>
              </w:rPr>
              <w:t xml:space="preserve"> 7</w:t>
            </w:r>
            <w:r>
              <w:rPr>
                <w:rFonts w:hint="eastAsia" w:ascii="宋体" w:hAnsi="宋体"/>
                <w:color w:val="000000" w:themeColor="text1"/>
                <w:sz w:val="24"/>
                <w:szCs w:val="24"/>
                <w14:textFill>
                  <w14:solidFill>
                    <w14:schemeClr w14:val="tx1"/>
                  </w14:solidFill>
                </w14:textFill>
              </w:rPr>
              <w:t>个日历日完成进场服务的全部准备工作。</w:t>
            </w:r>
          </w:p>
        </w:tc>
      </w:tr>
    </w:tbl>
    <w:p>
      <w:pPr>
        <w:pStyle w:val="4"/>
        <w:numPr>
          <w:ilvl w:val="0"/>
          <w:numId w:val="32"/>
        </w:numPr>
        <w:spacing w:before="0" w:after="0" w:line="360" w:lineRule="auto"/>
        <w:ind w:left="616" w:hanging="616"/>
        <w:jc w:val="left"/>
        <w:rPr>
          <w:rFonts w:cs="Times New Roman" w:asciiTheme="majorEastAsia" w:hAnsiTheme="majorEastAsia"/>
          <w:bCs w:val="0"/>
          <w:sz w:val="30"/>
          <w:szCs w:val="30"/>
        </w:rPr>
      </w:pPr>
      <w:bookmarkStart w:id="245" w:name="_Toc494561953"/>
      <w:bookmarkStart w:id="246" w:name="_Toc511894509"/>
      <w:bookmarkStart w:id="247" w:name="_Toc511889431"/>
      <w:bookmarkStart w:id="248" w:name="_Toc11836"/>
      <w:r>
        <w:rPr>
          <w:rFonts w:hint="eastAsia" w:cs="Times New Roman" w:asciiTheme="majorEastAsia" w:hAnsiTheme="majorEastAsia"/>
          <w:bCs w:val="0"/>
          <w:sz w:val="30"/>
          <w:szCs w:val="30"/>
        </w:rPr>
        <w:t>项目概述及简介</w:t>
      </w:r>
      <w:bookmarkEnd w:id="245"/>
      <w:bookmarkEnd w:id="246"/>
      <w:bookmarkEnd w:id="247"/>
      <w:bookmarkEnd w:id="248"/>
    </w:p>
    <w:p>
      <w:pPr>
        <w:spacing w:line="360" w:lineRule="auto"/>
        <w:ind w:firstLine="480" w:firstLineChars="200"/>
        <w:rPr>
          <w:rFonts w:cs="Times New Roman" w:asciiTheme="minorEastAsia" w:hAnsiTheme="minorEastAsia"/>
          <w:sz w:val="24"/>
          <w:szCs w:val="24"/>
          <w:lang w:val="zh-CN"/>
        </w:rPr>
      </w:pPr>
      <w:r>
        <w:rPr>
          <w:rFonts w:hint="eastAsia" w:ascii="宋体" w:hAnsi="宋体" w:eastAsia="宋体" w:cs="Times New Roman"/>
          <w:sz w:val="24"/>
          <w:szCs w:val="20"/>
        </w:rPr>
        <w:t>广水市第二人民医院室内外保洁、医疗废物收集暂存管理、被服洗涤等服务。</w:t>
      </w:r>
    </w:p>
    <w:p>
      <w:pPr>
        <w:pStyle w:val="4"/>
        <w:numPr>
          <w:ilvl w:val="0"/>
          <w:numId w:val="32"/>
        </w:numPr>
        <w:spacing w:before="0" w:after="0" w:line="360" w:lineRule="auto"/>
        <w:ind w:left="616" w:hanging="616"/>
        <w:jc w:val="left"/>
        <w:rPr>
          <w:rFonts w:cs="Times New Roman" w:asciiTheme="majorEastAsia" w:hAnsiTheme="majorEastAsia"/>
          <w:bCs w:val="0"/>
          <w:sz w:val="30"/>
          <w:szCs w:val="30"/>
        </w:rPr>
      </w:pPr>
      <w:bookmarkStart w:id="249" w:name="_Toc24212"/>
      <w:bookmarkStart w:id="250" w:name="_Toc511894510"/>
      <w:bookmarkStart w:id="251" w:name="_Toc511889432"/>
      <w:bookmarkStart w:id="252" w:name="_Toc494561954"/>
      <w:r>
        <w:rPr>
          <w:rFonts w:hint="eastAsia" w:cs="Times New Roman" w:asciiTheme="majorEastAsia" w:hAnsiTheme="majorEastAsia"/>
          <w:bCs w:val="0"/>
          <w:sz w:val="30"/>
          <w:szCs w:val="30"/>
        </w:rPr>
        <w:t>国家相关行政主管部门颁布的强制标准、规范</w:t>
      </w:r>
      <w:bookmarkEnd w:id="249"/>
      <w:bookmarkEnd w:id="250"/>
      <w:bookmarkEnd w:id="251"/>
      <w:bookmarkEnd w:id="252"/>
    </w:p>
    <w:p>
      <w:pPr>
        <w:spacing w:line="360" w:lineRule="auto"/>
        <w:ind w:firstLine="480" w:firstLineChars="200"/>
        <w:rPr>
          <w:rFonts w:ascii="Helvetica" w:hAnsi="Helvetica" w:eastAsia="宋体" w:cs="Helvetica"/>
          <w:kern w:val="0"/>
          <w:sz w:val="24"/>
          <w:szCs w:val="24"/>
        </w:rPr>
      </w:pPr>
      <w:r>
        <w:rPr>
          <w:rFonts w:ascii="Helvetica" w:hAnsi="Helvetica" w:eastAsia="宋体" w:cs="Helvetica"/>
          <w:kern w:val="0"/>
          <w:sz w:val="24"/>
          <w:szCs w:val="24"/>
        </w:rPr>
        <w:t>采购需</w:t>
      </w:r>
      <w:bookmarkEnd w:id="243"/>
      <w:bookmarkEnd w:id="244"/>
      <w:bookmarkStart w:id="253" w:name="_Toc511894511"/>
      <w:bookmarkStart w:id="254" w:name="_Toc494561955"/>
      <w:bookmarkStart w:id="255" w:name="_Toc511889433"/>
      <w:r>
        <w:rPr>
          <w:rFonts w:hint="eastAsia" w:ascii="Helvetica" w:hAnsi="Helvetica" w:eastAsia="宋体" w:cs="Helvetica"/>
          <w:kern w:val="0"/>
          <w:sz w:val="24"/>
          <w:szCs w:val="24"/>
        </w:rPr>
        <w:t>求内容按照《政府采购法》、《政府采购货物和服务招标投标管理办法》、《湖北省省级政府采购项目实施管理规定》、《物业管理条例》执行。</w:t>
      </w:r>
    </w:p>
    <w:p>
      <w:pPr>
        <w:pStyle w:val="4"/>
        <w:numPr>
          <w:ilvl w:val="0"/>
          <w:numId w:val="32"/>
        </w:numPr>
        <w:spacing w:before="0" w:after="0" w:line="360" w:lineRule="auto"/>
        <w:ind w:left="616" w:hanging="616"/>
        <w:jc w:val="left"/>
        <w:rPr>
          <w:rFonts w:cs="Times New Roman" w:asciiTheme="majorEastAsia" w:hAnsiTheme="majorEastAsia"/>
          <w:bCs w:val="0"/>
          <w:sz w:val="30"/>
          <w:szCs w:val="30"/>
        </w:rPr>
      </w:pPr>
      <w:bookmarkStart w:id="256" w:name="_Toc2294"/>
      <w:r>
        <w:rPr>
          <w:rFonts w:hint="eastAsia" w:cs="Times New Roman" w:asciiTheme="majorEastAsia" w:hAnsiTheme="majorEastAsia"/>
          <w:bCs w:val="0"/>
          <w:sz w:val="30"/>
          <w:szCs w:val="30"/>
        </w:rPr>
        <w:t>技术、服务要求</w:t>
      </w:r>
      <w:bookmarkEnd w:id="253"/>
      <w:bookmarkEnd w:id="254"/>
      <w:bookmarkEnd w:id="255"/>
      <w:bookmarkEnd w:id="256"/>
    </w:p>
    <w:p>
      <w:pPr>
        <w:spacing w:line="360" w:lineRule="auto"/>
        <w:ind w:left="289" w:leftChars="26" w:hanging="235" w:hangingChars="98"/>
        <w:rPr>
          <w:rFonts w:ascii="宋体" w:hAnsi="宋体" w:eastAsia="宋体" w:cs="宋体"/>
          <w:sz w:val="24"/>
          <w:szCs w:val="24"/>
        </w:rPr>
      </w:pPr>
      <w:r>
        <w:rPr>
          <w:rFonts w:hint="eastAsia" w:ascii="宋体" w:hAnsi="宋体" w:eastAsia="宋体" w:cs="宋体"/>
          <w:b/>
          <w:color w:val="000000"/>
          <w:sz w:val="24"/>
          <w:szCs w:val="24"/>
        </w:rPr>
        <w:t>说明：</w:t>
      </w:r>
      <w:r>
        <w:rPr>
          <w:rFonts w:hint="eastAsia" w:ascii="宋体" w:hAnsi="宋体" w:eastAsia="宋体" w:cs="宋体"/>
          <w:b/>
          <w:sz w:val="24"/>
          <w:szCs w:val="24"/>
        </w:rPr>
        <w:t>1）</w:t>
      </w:r>
      <w:r>
        <w:rPr>
          <w:rFonts w:hint="eastAsia" w:ascii="宋体" w:hAnsi="宋体" w:eastAsia="宋体" w:cs="宋体"/>
          <w:sz w:val="24"/>
          <w:szCs w:val="24"/>
        </w:rPr>
        <w:t>投标人在投标文件《技术、服务要求响应、偏离说明表》中未对以下技术、服务要求逐条说明响应或偏离情况的，</w:t>
      </w:r>
      <w:r>
        <w:rPr>
          <w:rFonts w:hint="eastAsia" w:ascii="宋体" w:hAnsi="宋体" w:eastAsia="宋体" w:cs="宋体"/>
          <w:b/>
          <w:sz w:val="24"/>
          <w:szCs w:val="24"/>
        </w:rPr>
        <w:t>其投标按照无效投标处理</w:t>
      </w:r>
      <w:r>
        <w:rPr>
          <w:rFonts w:hint="eastAsia" w:ascii="宋体" w:hAnsi="宋体" w:eastAsia="宋体" w:cs="宋体"/>
          <w:sz w:val="24"/>
          <w:szCs w:val="24"/>
        </w:rPr>
        <w:t>。</w:t>
      </w:r>
    </w:p>
    <w:p>
      <w:pPr>
        <w:spacing w:line="360" w:lineRule="auto"/>
        <w:ind w:left="287" w:leftChars="137" w:firstLine="480" w:firstLineChars="200"/>
        <w:rPr>
          <w:rFonts w:ascii="宋体" w:hAnsi="宋体" w:eastAsia="宋体" w:cs="宋体"/>
          <w:sz w:val="24"/>
          <w:szCs w:val="24"/>
          <w:highlight w:val="none"/>
        </w:rPr>
      </w:pPr>
      <w:r>
        <w:rPr>
          <w:rFonts w:hint="eastAsia" w:ascii="宋体" w:hAnsi="宋体" w:eastAsia="宋体" w:cs="宋体"/>
          <w:b/>
          <w:sz w:val="24"/>
          <w:szCs w:val="24"/>
        </w:rPr>
        <w:t>2）</w:t>
      </w:r>
      <w:r>
        <w:rPr>
          <w:rFonts w:hint="eastAsia" w:ascii="宋体" w:hAnsi="宋体" w:eastAsia="宋体" w:cs="宋体"/>
          <w:sz w:val="24"/>
          <w:szCs w:val="24"/>
          <w:highlight w:val="none"/>
        </w:rPr>
        <w:t>下表中标注有“</w:t>
      </w:r>
      <w:r>
        <w:rPr>
          <w:rFonts w:hint="eastAsia" w:ascii="仿宋" w:hAnsi="仿宋" w:eastAsia="仿宋" w:cs="宋体"/>
          <w:b/>
          <w:sz w:val="24"/>
          <w:szCs w:val="24"/>
          <w:highlight w:val="none"/>
        </w:rPr>
        <w:t>△</w:t>
      </w:r>
      <w:r>
        <w:rPr>
          <w:rFonts w:hint="eastAsia" w:ascii="宋体" w:hAnsi="宋体" w:eastAsia="宋体" w:cs="宋体"/>
          <w:sz w:val="24"/>
          <w:szCs w:val="24"/>
          <w:highlight w:val="none"/>
        </w:rPr>
        <w:t>”号的条款，为</w:t>
      </w:r>
      <w:r>
        <w:rPr>
          <w:rFonts w:hint="eastAsia" w:ascii="仿宋" w:hAnsi="仿宋" w:eastAsia="仿宋" w:cs="宋体"/>
          <w:b/>
          <w:sz w:val="24"/>
          <w:szCs w:val="24"/>
          <w:highlight w:val="none"/>
        </w:rPr>
        <w:t>第五章“三、评审因素及评分标准”</w:t>
      </w:r>
      <w:r>
        <w:rPr>
          <w:rFonts w:hint="eastAsia" w:ascii="宋体" w:hAnsi="宋体" w:eastAsia="宋体" w:cs="宋体"/>
          <w:sz w:val="24"/>
          <w:szCs w:val="24"/>
          <w:highlight w:val="none"/>
        </w:rPr>
        <w:t>中的评分内容。</w:t>
      </w:r>
    </w:p>
    <w:p>
      <w:pPr>
        <w:numPr>
          <w:ilvl w:val="0"/>
          <w:numId w:val="34"/>
        </w:numPr>
        <w:ind w:left="704" w:right="-48" w:rightChars="-23"/>
        <w:jc w:val="left"/>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cs="Times New Roman"/>
          <w:b/>
          <w:color w:val="000000" w:themeColor="text1"/>
          <w:sz w:val="28"/>
          <w:szCs w:val="28"/>
          <w14:textFill>
            <w14:solidFill>
              <w14:schemeClr w14:val="tx1"/>
            </w14:solidFill>
          </w14:textFill>
        </w:rPr>
        <w:t>本项目人员配备及总体要求</w:t>
      </w:r>
    </w:p>
    <w:tbl>
      <w:tblPr>
        <w:tblStyle w:val="25"/>
        <w:tblW w:w="951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498"/>
        <w:gridCol w:w="6817"/>
        <w:gridCol w:w="54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498" w:type="dxa"/>
            <w:vAlign w:val="center"/>
          </w:tcPr>
          <w:p>
            <w:pPr>
              <w:widowControl/>
              <w:spacing w:line="280" w:lineRule="exact"/>
              <w:ind w:left="-52" w:leftChars="-25" w:right="-52" w:rightChars="-25"/>
              <w:jc w:val="center"/>
              <w:rPr>
                <w:rFonts w:ascii="宋体" w:hAnsi="宋体" w:eastAsia="宋体" w:cs="Times New Roman"/>
                <w:b/>
                <w:sz w:val="24"/>
                <w:szCs w:val="24"/>
              </w:rPr>
            </w:pPr>
            <w:r>
              <w:rPr>
                <w:rFonts w:hint="eastAsia" w:ascii="宋体" w:hAnsi="宋体" w:eastAsia="宋体" w:cs="Times New Roman"/>
                <w:b/>
                <w:sz w:val="24"/>
                <w:szCs w:val="24"/>
              </w:rPr>
              <w:t>服务人员类别及区域</w:t>
            </w:r>
          </w:p>
        </w:tc>
        <w:tc>
          <w:tcPr>
            <w:tcW w:w="6817" w:type="dxa"/>
            <w:vAlign w:val="center"/>
          </w:tcPr>
          <w:p>
            <w:pPr>
              <w:spacing w:line="360" w:lineRule="exact"/>
              <w:ind w:left="-92" w:leftChars="-44" w:right="-77" w:rightChars="-37"/>
              <w:jc w:val="center"/>
              <w:rPr>
                <w:rFonts w:ascii="宋体" w:hAnsi="宋体" w:eastAsia="宋体" w:cs="Times New Roman"/>
                <w:b/>
                <w:sz w:val="24"/>
                <w:szCs w:val="24"/>
              </w:rPr>
            </w:pPr>
            <w:r>
              <w:rPr>
                <w:rFonts w:hint="eastAsia" w:ascii="宋体" w:hAnsi="宋体" w:eastAsia="宋体" w:cs="Times New Roman"/>
                <w:b/>
                <w:sz w:val="24"/>
                <w:szCs w:val="24"/>
              </w:rPr>
              <w:t>功能及技术参数</w:t>
            </w:r>
          </w:p>
        </w:tc>
        <w:tc>
          <w:tcPr>
            <w:tcW w:w="546" w:type="dxa"/>
            <w:vAlign w:val="center"/>
          </w:tcPr>
          <w:p>
            <w:pPr>
              <w:spacing w:line="280" w:lineRule="exact"/>
              <w:ind w:left="-107" w:leftChars="-51" w:right="-107" w:rightChars="-51"/>
              <w:jc w:val="center"/>
              <w:rPr>
                <w:rFonts w:ascii="宋体" w:hAnsi="宋体" w:eastAsia="宋体" w:cs="Times New Roman"/>
                <w:b/>
                <w:sz w:val="24"/>
                <w:szCs w:val="24"/>
              </w:rPr>
            </w:pPr>
            <w:r>
              <w:rPr>
                <w:rFonts w:hint="eastAsia" w:ascii="宋体" w:hAnsi="宋体" w:eastAsia="宋体" w:cs="Times New Roman"/>
                <w:b/>
                <w:sz w:val="24"/>
                <w:szCs w:val="24"/>
              </w:rPr>
              <w:t>评审点△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5"/>
              </w:numPr>
              <w:tabs>
                <w:tab w:val="left" w:pos="228"/>
              </w:tabs>
              <w:spacing w:line="320" w:lineRule="exact"/>
              <w:ind w:left="0" w:right="-50" w:rightChars="-24" w:firstLine="0"/>
              <w:jc w:val="right"/>
              <w:rPr>
                <w:rFonts w:ascii="宋体" w:hAnsi="宋体"/>
                <w:sz w:val="24"/>
                <w:szCs w:val="24"/>
              </w:rPr>
            </w:pPr>
          </w:p>
        </w:tc>
        <w:tc>
          <w:tcPr>
            <w:tcW w:w="1498" w:type="dxa"/>
            <w:vMerge w:val="restart"/>
            <w:vAlign w:val="center"/>
          </w:tcPr>
          <w:p>
            <w:pPr>
              <w:ind w:left="-52" w:leftChars="-25" w:right="-52" w:rightChars="-25"/>
              <w:jc w:val="center"/>
              <w:rPr>
                <w:rFonts w:ascii="宋体" w:hAnsi="宋体" w:eastAsia="宋体" w:cs="宋体"/>
                <w:b/>
                <w:sz w:val="24"/>
                <w:szCs w:val="24"/>
              </w:rPr>
            </w:pPr>
            <w:r>
              <w:rPr>
                <w:rFonts w:hint="eastAsia" w:ascii="宋体" w:hAnsi="宋体" w:eastAsia="宋体" w:cs="宋体"/>
                <w:b/>
                <w:sz w:val="24"/>
                <w:szCs w:val="24"/>
              </w:rPr>
              <w:t>人员配备总要求</w:t>
            </w:r>
          </w:p>
        </w:tc>
        <w:tc>
          <w:tcPr>
            <w:tcW w:w="6817" w:type="dxa"/>
            <w:vAlign w:val="center"/>
          </w:tcPr>
          <w:p>
            <w:pPr>
              <w:numPr>
                <w:ilvl w:val="0"/>
                <w:numId w:val="36"/>
              </w:numPr>
              <w:tabs>
                <w:tab w:val="left" w:pos="691"/>
              </w:tabs>
              <w:ind w:left="410" w:right="-50" w:rightChars="-24" w:hanging="210"/>
              <w:jc w:val="left"/>
              <w:rPr>
                <w:rFonts w:cs="仿宋_GB2312" w:asciiTheme="minorEastAsia" w:hAnsiTheme="minorEastAsia"/>
                <w:b/>
                <w:sz w:val="24"/>
                <w:szCs w:val="24"/>
              </w:rPr>
            </w:pPr>
            <w:r>
              <w:rPr>
                <w:rFonts w:hint="eastAsia" w:ascii="仿宋" w:hAnsi="仿宋" w:eastAsia="仿宋" w:cs="仿宋_GB2312"/>
                <w:b/>
                <w:sz w:val="24"/>
                <w:szCs w:val="24"/>
              </w:rPr>
              <w:t>项目服务人员总要求</w:t>
            </w:r>
            <w:r>
              <w:rPr>
                <w:rFonts w:hint="eastAsia" w:ascii="仿宋" w:hAnsi="仿宋" w:eastAsia="仿宋" w:cs="仿宋_GB2312"/>
                <w:b/>
                <w:sz w:val="24"/>
                <w:szCs w:val="24"/>
                <w:lang w:val="zh-CN"/>
              </w:rPr>
              <w:t>：</w:t>
            </w:r>
            <w:r>
              <w:rPr>
                <w:rFonts w:hint="eastAsia" w:cs="仿宋_GB2312" w:asciiTheme="minorEastAsia" w:hAnsiTheme="minorEastAsia"/>
                <w:b/>
                <w:sz w:val="24"/>
                <w:szCs w:val="24"/>
              </w:rPr>
              <w:t>人数3</w:t>
            </w:r>
            <w:r>
              <w:rPr>
                <w:rFonts w:hint="eastAsia" w:cs="仿宋_GB2312" w:asciiTheme="minorEastAsia" w:hAnsiTheme="minorEastAsia"/>
                <w:b/>
                <w:sz w:val="24"/>
                <w:szCs w:val="24"/>
                <w:lang w:val="en-US" w:eastAsia="zh-CN"/>
              </w:rPr>
              <w:t>5</w:t>
            </w:r>
            <w:r>
              <w:rPr>
                <w:rFonts w:hint="eastAsia" w:cs="仿宋_GB2312" w:asciiTheme="minorEastAsia" w:hAnsiTheme="minorEastAsia"/>
                <w:b/>
                <w:sz w:val="24"/>
                <w:szCs w:val="24"/>
              </w:rPr>
              <w:t>人。</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46" w:hRule="atLeast"/>
          <w:jc w:val="center"/>
        </w:trPr>
        <w:tc>
          <w:tcPr>
            <w:tcW w:w="658" w:type="dxa"/>
            <w:vMerge w:val="continue"/>
            <w:vAlign w:val="center"/>
          </w:tcPr>
          <w:p>
            <w:pPr>
              <w:numPr>
                <w:ilvl w:val="0"/>
                <w:numId w:val="37"/>
              </w:numPr>
              <w:tabs>
                <w:tab w:val="left" w:pos="17"/>
              </w:tabs>
              <w:spacing w:line="320" w:lineRule="exact"/>
              <w:ind w:left="-65" w:leftChars="-31" w:right="-52" w:rightChars="-25" w:firstLine="0"/>
              <w:jc w:val="right"/>
              <w:rPr>
                <w:rFonts w:ascii="宋体" w:hAnsi="宋体" w:eastAsia="宋体" w:cs="Times New Roman"/>
                <w:sz w:val="24"/>
                <w:szCs w:val="24"/>
              </w:rPr>
            </w:pPr>
          </w:p>
        </w:tc>
        <w:tc>
          <w:tcPr>
            <w:tcW w:w="1498" w:type="dxa"/>
            <w:vMerge w:val="continue"/>
            <w:vAlign w:val="center"/>
          </w:tcPr>
          <w:p>
            <w:pPr>
              <w:ind w:left="-52" w:leftChars="-25" w:right="-52" w:rightChars="-25"/>
              <w:jc w:val="center"/>
              <w:rPr>
                <w:rFonts w:ascii="宋体" w:hAnsi="宋体" w:eastAsia="宋体" w:cs="宋体"/>
                <w:b/>
                <w:sz w:val="24"/>
                <w:szCs w:val="24"/>
              </w:rPr>
            </w:pPr>
          </w:p>
        </w:tc>
        <w:tc>
          <w:tcPr>
            <w:tcW w:w="6817" w:type="dxa"/>
            <w:vAlign w:val="center"/>
          </w:tcPr>
          <w:p>
            <w:pPr>
              <w:numPr>
                <w:ilvl w:val="0"/>
                <w:numId w:val="36"/>
              </w:numPr>
              <w:tabs>
                <w:tab w:val="left" w:pos="690"/>
              </w:tabs>
              <w:ind w:left="410" w:right="-50" w:rightChars="-24" w:hanging="210"/>
              <w:jc w:val="left"/>
              <w:rPr>
                <w:rFonts w:cs="仿宋_GB2312" w:asciiTheme="minorEastAsia" w:hAnsiTheme="minorEastAsia"/>
                <w:b/>
                <w:sz w:val="24"/>
                <w:szCs w:val="24"/>
              </w:rPr>
            </w:pPr>
            <w:r>
              <w:rPr>
                <w:rFonts w:hint="eastAsia" w:ascii="仿宋" w:hAnsi="仿宋" w:eastAsia="仿宋" w:cs="仿宋_GB2312"/>
                <w:b/>
                <w:sz w:val="24"/>
                <w:szCs w:val="24"/>
              </w:rPr>
              <w:t>保洁员：</w:t>
            </w:r>
            <w:r>
              <w:rPr>
                <w:rFonts w:hint="eastAsia" w:eastAsia="仿宋" w:cs="仿宋_GB2312" w:asciiTheme="minorEastAsia" w:hAnsiTheme="minorEastAsia"/>
                <w:b/>
                <w:sz w:val="24"/>
                <w:szCs w:val="24"/>
              </w:rPr>
              <w:t>3</w:t>
            </w:r>
            <w:r>
              <w:rPr>
                <w:rFonts w:hint="eastAsia" w:eastAsia="仿宋" w:cs="仿宋_GB2312" w:asciiTheme="minorEastAsia" w:hAnsiTheme="minorEastAsia"/>
                <w:b/>
                <w:sz w:val="24"/>
                <w:szCs w:val="24"/>
                <w:lang w:val="en-US" w:eastAsia="zh-CN"/>
              </w:rPr>
              <w:t>3</w:t>
            </w:r>
            <w:r>
              <w:rPr>
                <w:rFonts w:hint="eastAsia" w:cs="仿宋_GB2312" w:asciiTheme="minorEastAsia" w:hAnsiTheme="minorEastAsia"/>
                <w:b/>
                <w:sz w:val="24"/>
                <w:szCs w:val="24"/>
              </w:rPr>
              <w:t>人身体健康。</w:t>
            </w:r>
          </w:p>
        </w:tc>
        <w:tc>
          <w:tcPr>
            <w:tcW w:w="546" w:type="dxa"/>
            <w:vAlign w:val="center"/>
          </w:tcPr>
          <w:p>
            <w:pPr>
              <w:rPr>
                <w:rFonts w:ascii="宋体" w:hAnsi="宋体" w:eastAsia="宋体" w:cs="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72"/>
              </w:tabs>
              <w:spacing w:line="320" w:lineRule="exact"/>
              <w:ind w:left="0" w:right="-50" w:rightChars="-24" w:firstLine="0"/>
              <w:jc w:val="right"/>
              <w:rPr>
                <w:rFonts w:ascii="宋体" w:hAnsi="宋体"/>
                <w:sz w:val="24"/>
                <w:szCs w:val="24"/>
              </w:rPr>
            </w:pPr>
          </w:p>
        </w:tc>
        <w:tc>
          <w:tcPr>
            <w:tcW w:w="1498" w:type="dxa"/>
            <w:vMerge w:val="restart"/>
            <w:vAlign w:val="center"/>
          </w:tcPr>
          <w:p>
            <w:pPr>
              <w:ind w:left="-56" w:leftChars="-27" w:right="-56" w:rightChars="-27"/>
              <w:jc w:val="center"/>
              <w:rPr>
                <w:rFonts w:ascii="宋体" w:hAnsi="宋体"/>
                <w:b/>
                <w:sz w:val="24"/>
                <w:szCs w:val="24"/>
              </w:rPr>
            </w:pPr>
            <w:r>
              <w:rPr>
                <w:rFonts w:hint="eastAsia" w:ascii="宋体" w:hAnsi="宋体"/>
                <w:b/>
                <w:sz w:val="24"/>
                <w:szCs w:val="24"/>
              </w:rPr>
              <w:t>服务区域</w:t>
            </w: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lang w:val="zh-CN"/>
              </w:rPr>
            </w:pPr>
            <w:r>
              <w:rPr>
                <w:rFonts w:hint="eastAsia" w:ascii="仿宋" w:hAnsi="仿宋" w:eastAsia="仿宋" w:cs="仿宋_GB2312"/>
                <w:b/>
                <w:sz w:val="24"/>
                <w:szCs w:val="24"/>
                <w:lang w:val="zh-CN"/>
              </w:rPr>
              <w:t>地</w:t>
            </w:r>
            <w:r>
              <w:rPr>
                <w:rFonts w:hint="eastAsia" w:cs="仿宋_GB2312" w:asciiTheme="minorEastAsia" w:hAnsiTheme="minorEastAsia"/>
                <w:b/>
                <w:sz w:val="24"/>
                <w:szCs w:val="24"/>
              </w:rPr>
              <w:t>址：广水市第二人民医院内。</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17"/>
              </w:tabs>
              <w:spacing w:line="320" w:lineRule="exact"/>
              <w:ind w:left="-65" w:leftChars="-31" w:right="-52" w:rightChars="-25"/>
              <w:jc w:val="right"/>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lang w:val="zh-CN"/>
              </w:rPr>
            </w:pPr>
            <w:r>
              <w:rPr>
                <w:rFonts w:hint="eastAsia" w:ascii="仿宋" w:hAnsi="仿宋" w:eastAsia="仿宋" w:cs="仿宋_GB2312"/>
                <w:b/>
                <w:sz w:val="24"/>
                <w:szCs w:val="24"/>
                <w:lang w:val="zh-CN"/>
              </w:rPr>
              <w:t>医院内所有公共场所、各病区、楼房、厕所、楼梯。</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17"/>
              </w:tabs>
              <w:spacing w:line="320" w:lineRule="exact"/>
              <w:ind w:left="-65" w:leftChars="-31" w:right="-52" w:rightChars="-25"/>
              <w:jc w:val="right"/>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lang w:val="zh-CN"/>
              </w:rPr>
            </w:pPr>
            <w:r>
              <w:rPr>
                <w:rFonts w:hint="eastAsia" w:ascii="仿宋" w:hAnsi="仿宋" w:eastAsia="仿宋" w:cs="仿宋_GB2312"/>
                <w:b/>
                <w:sz w:val="24"/>
                <w:szCs w:val="24"/>
                <w:lang w:val="zh-CN"/>
              </w:rPr>
              <w:t>学术楼</w:t>
            </w:r>
            <w:r>
              <w:rPr>
                <w:rFonts w:hint="eastAsia" w:ascii="仿宋" w:hAnsi="仿宋" w:eastAsia="仿宋" w:cs="仿宋_GB2312"/>
                <w:b/>
                <w:sz w:val="24"/>
                <w:szCs w:val="24"/>
              </w:rPr>
              <w:t>。</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84"/>
              </w:tabs>
              <w:spacing w:line="320" w:lineRule="exact"/>
              <w:ind w:left="-65" w:leftChars="-31" w:right="-52" w:rightChars="-25"/>
              <w:jc w:val="right"/>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lang w:val="zh-CN"/>
              </w:rPr>
            </w:pPr>
            <w:r>
              <w:rPr>
                <w:rFonts w:hint="eastAsia" w:cs="仿宋_GB2312" w:asciiTheme="minorEastAsia" w:hAnsiTheme="minorEastAsia"/>
                <w:sz w:val="24"/>
                <w:szCs w:val="24"/>
              </w:rPr>
              <w:t>医院工作区外环境保洁，主、次干道雨雪天防滑、人行道、水沟和垃圾箱的清理。球场、花台、绿化区内的垃圾清理工作。</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84"/>
              </w:tabs>
              <w:spacing w:line="320" w:lineRule="exact"/>
              <w:ind w:left="-65" w:leftChars="-31" w:right="-52" w:rightChars="-25"/>
              <w:jc w:val="right"/>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lang w:val="zh-CN"/>
              </w:rPr>
            </w:pPr>
            <w:r>
              <w:rPr>
                <w:rFonts w:hint="eastAsia" w:cs="仿宋_GB2312" w:asciiTheme="minorEastAsia" w:hAnsiTheme="minorEastAsia"/>
                <w:sz w:val="24"/>
                <w:szCs w:val="24"/>
              </w:rPr>
              <w:t>医院工作区室内、外灭“四害”工作。</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84"/>
              </w:tabs>
              <w:spacing w:line="320" w:lineRule="exact"/>
              <w:ind w:left="-65" w:leftChars="-31" w:right="-52" w:rightChars="-25"/>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rPr>
            </w:pPr>
            <w:r>
              <w:rPr>
                <w:rFonts w:hint="eastAsia" w:cs="仿宋_GB2312" w:asciiTheme="minorEastAsia" w:hAnsiTheme="minorEastAsia"/>
                <w:sz w:val="24"/>
                <w:szCs w:val="24"/>
              </w:rPr>
              <w:t>负责各区域的垃圾分类及运送工作。各楼层卫生间铺防滑垫。</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84"/>
              </w:tabs>
              <w:spacing w:line="320" w:lineRule="exact"/>
              <w:ind w:left="-65" w:leftChars="-31" w:right="-52" w:rightChars="-25"/>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rPr>
            </w:pPr>
            <w:r>
              <w:rPr>
                <w:rFonts w:hint="eastAsia" w:cs="仿宋_GB2312" w:asciiTheme="minorEastAsia" w:hAnsiTheme="minorEastAsia"/>
                <w:sz w:val="24"/>
                <w:szCs w:val="24"/>
              </w:rPr>
              <w:t>医疗废物暂存地收集管理工作。</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tabs>
                <w:tab w:val="left" w:pos="84"/>
              </w:tabs>
              <w:spacing w:line="320" w:lineRule="exact"/>
              <w:ind w:left="-65" w:leftChars="-31" w:right="-52" w:rightChars="-25"/>
              <w:rPr>
                <w:rFonts w:ascii="宋体" w:hAnsi="宋体" w:eastAsia="宋体" w:cs="Times New Roman"/>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39"/>
              </w:numPr>
              <w:tabs>
                <w:tab w:val="left" w:pos="690"/>
              </w:tabs>
              <w:ind w:left="410" w:right="-50" w:rightChars="-24" w:hanging="210"/>
              <w:jc w:val="left"/>
              <w:rPr>
                <w:rFonts w:cs="仿宋_GB2312" w:asciiTheme="minorEastAsia" w:hAnsiTheme="minorEastAsia"/>
                <w:sz w:val="24"/>
                <w:szCs w:val="24"/>
              </w:rPr>
            </w:pPr>
            <w:r>
              <w:rPr>
                <w:rFonts w:hint="eastAsia" w:cs="仿宋_GB2312" w:asciiTheme="minorEastAsia" w:hAnsiTheme="minorEastAsia"/>
                <w:sz w:val="24"/>
                <w:szCs w:val="24"/>
              </w:rPr>
              <w:t>ICU病房护工工作</w:t>
            </w:r>
          </w:p>
        </w:tc>
        <w:tc>
          <w:tcPr>
            <w:tcW w:w="546" w:type="dxa"/>
            <w:vAlign w:val="center"/>
          </w:tcPr>
          <w:p>
            <w:pPr>
              <w:rPr>
                <w:rFonts w:ascii="宋体" w:hAnsi="宋体" w:eastAsia="宋体" w:cs="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restart"/>
            <w:vAlign w:val="center"/>
          </w:tcPr>
          <w:p>
            <w:pPr>
              <w:ind w:left="-52" w:leftChars="-25" w:right="-52" w:rightChars="-25"/>
              <w:jc w:val="center"/>
              <w:rPr>
                <w:rFonts w:ascii="宋体" w:hAnsi="宋体" w:eastAsia="宋体" w:cs="宋体"/>
                <w:b/>
                <w:sz w:val="24"/>
                <w:szCs w:val="24"/>
              </w:rPr>
            </w:pPr>
            <w:r>
              <w:rPr>
                <w:rFonts w:hint="eastAsia" w:ascii="宋体" w:hAnsi="宋体" w:eastAsia="宋体" w:cs="宋体"/>
                <w:b/>
                <w:sz w:val="24"/>
                <w:szCs w:val="24"/>
              </w:rPr>
              <w:t>各岗位人员责任</w:t>
            </w:r>
          </w:p>
        </w:tc>
        <w:tc>
          <w:tcPr>
            <w:tcW w:w="6817" w:type="dxa"/>
            <w:vAlign w:val="center"/>
          </w:tcPr>
          <w:p>
            <w:pPr>
              <w:numPr>
                <w:ilvl w:val="0"/>
                <w:numId w:val="40"/>
              </w:numPr>
              <w:tabs>
                <w:tab w:val="left" w:pos="690"/>
              </w:tabs>
              <w:ind w:left="410" w:right="-50" w:rightChars="-24" w:hanging="210"/>
              <w:jc w:val="left"/>
              <w:rPr>
                <w:rFonts w:ascii="宋体" w:hAnsi="宋体" w:cs="仿宋_GB2312"/>
                <w:sz w:val="24"/>
                <w:szCs w:val="24"/>
              </w:rPr>
            </w:pPr>
            <w:r>
              <w:rPr>
                <w:rFonts w:hint="eastAsia" w:ascii="仿宋" w:hAnsi="仿宋" w:eastAsia="仿宋" w:cs="仿宋_GB2312"/>
                <w:b/>
                <w:sz w:val="24"/>
                <w:szCs w:val="24"/>
              </w:rPr>
              <w:t>项目经理：1人，45周岁以下。</w:t>
            </w:r>
            <w:r>
              <w:rPr>
                <w:rFonts w:hint="eastAsia" w:ascii="宋体" w:hAnsi="宋体" w:cs="仿宋_GB2312"/>
                <w:sz w:val="24"/>
                <w:szCs w:val="24"/>
              </w:rPr>
              <w:t>需熟悉消防知识和消防系统工作原理。懂得相关的法律、法规，并有三年以上的卫生保洁等相关服务及管理经验。</w:t>
            </w:r>
          </w:p>
        </w:tc>
        <w:tc>
          <w:tcPr>
            <w:tcW w:w="546" w:type="dxa"/>
            <w:vAlign w:val="center"/>
          </w:tcPr>
          <w:p>
            <w:pPr>
              <w:ind w:left="-56" w:leftChars="-27" w:right="-77" w:rightChars="-37"/>
              <w:jc w:val="center"/>
              <w:rPr>
                <w:rFonts w:ascii="宋体" w:hAnsi="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2" w:leftChars="-25" w:right="-52" w:rightChars="-25"/>
              <w:jc w:val="center"/>
              <w:rPr>
                <w:rFonts w:ascii="宋体" w:hAnsi="宋体" w:eastAsia="宋体" w:cs="宋体"/>
                <w:b/>
                <w:sz w:val="24"/>
                <w:szCs w:val="24"/>
              </w:rPr>
            </w:pPr>
          </w:p>
        </w:tc>
        <w:tc>
          <w:tcPr>
            <w:tcW w:w="6817" w:type="dxa"/>
            <w:vAlign w:val="center"/>
          </w:tcPr>
          <w:p>
            <w:pPr>
              <w:numPr>
                <w:ilvl w:val="0"/>
                <w:numId w:val="40"/>
              </w:numPr>
              <w:tabs>
                <w:tab w:val="left" w:pos="690"/>
              </w:tabs>
              <w:ind w:left="410" w:right="-50" w:rightChars="-24" w:hanging="210"/>
              <w:jc w:val="left"/>
              <w:rPr>
                <w:rFonts w:ascii="宋体" w:hAnsi="宋体" w:cs="仿宋_GB2312"/>
                <w:sz w:val="24"/>
                <w:szCs w:val="24"/>
              </w:rPr>
            </w:pPr>
            <w:r>
              <w:rPr>
                <w:rFonts w:hint="eastAsia" w:ascii="仿宋" w:hAnsi="仿宋" w:eastAsia="仿宋" w:cs="仿宋_GB2312"/>
                <w:b/>
                <w:sz w:val="24"/>
                <w:szCs w:val="24"/>
              </w:rPr>
              <w:t>项目主管：1人，</w:t>
            </w:r>
            <w:r>
              <w:rPr>
                <w:rFonts w:hint="eastAsia" w:ascii="宋体" w:hAnsi="宋体" w:cs="仿宋_GB2312"/>
                <w:sz w:val="24"/>
                <w:szCs w:val="24"/>
              </w:rPr>
              <w:t>需熟悉消防知识和消防系统工作原理。懂得相关的法律、法规，并有两年以上的卫生保洁相关服务及管理经验。</w:t>
            </w:r>
          </w:p>
        </w:tc>
        <w:tc>
          <w:tcPr>
            <w:tcW w:w="546" w:type="dxa"/>
            <w:vAlign w:val="center"/>
          </w:tcPr>
          <w:p>
            <w:pPr>
              <w:ind w:left="-56" w:leftChars="-27" w:right="-77" w:rightChars="-37"/>
              <w:jc w:val="center"/>
              <w:rPr>
                <w:rFonts w:ascii="宋体" w:hAnsi="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2" w:leftChars="-25" w:right="-52" w:rightChars="-25"/>
              <w:jc w:val="center"/>
              <w:rPr>
                <w:rFonts w:ascii="宋体" w:hAnsi="宋体" w:eastAsia="宋体" w:cs="宋体"/>
                <w:b/>
                <w:sz w:val="24"/>
                <w:szCs w:val="24"/>
              </w:rPr>
            </w:pPr>
          </w:p>
        </w:tc>
        <w:tc>
          <w:tcPr>
            <w:tcW w:w="6817" w:type="dxa"/>
            <w:vAlign w:val="center"/>
          </w:tcPr>
          <w:p>
            <w:pPr>
              <w:numPr>
                <w:ilvl w:val="0"/>
                <w:numId w:val="40"/>
              </w:numPr>
              <w:tabs>
                <w:tab w:val="left" w:pos="690"/>
              </w:tabs>
              <w:ind w:left="410" w:right="-50" w:rightChars="-24" w:hanging="210"/>
              <w:jc w:val="left"/>
              <w:rPr>
                <w:rFonts w:ascii="宋体" w:hAnsi="宋体" w:cs="仿宋_GB2312"/>
                <w:sz w:val="24"/>
                <w:szCs w:val="24"/>
              </w:rPr>
            </w:pPr>
            <w:r>
              <w:rPr>
                <w:rFonts w:hint="eastAsia" w:ascii="宋体" w:hAnsi="宋体" w:cs="仿宋_GB2312"/>
                <w:b/>
                <w:bCs/>
                <w:sz w:val="24"/>
                <w:szCs w:val="24"/>
              </w:rPr>
              <w:t>保洁员：3</w:t>
            </w:r>
            <w:r>
              <w:rPr>
                <w:rFonts w:hint="eastAsia" w:ascii="宋体" w:hAnsi="宋体" w:cs="仿宋_GB2312"/>
                <w:b/>
                <w:bCs/>
                <w:sz w:val="24"/>
                <w:szCs w:val="24"/>
                <w:lang w:val="en-US" w:eastAsia="zh-CN"/>
              </w:rPr>
              <w:t>3</w:t>
            </w:r>
            <w:r>
              <w:rPr>
                <w:rFonts w:hint="eastAsia" w:ascii="宋体" w:hAnsi="宋体" w:cs="仿宋_GB2312"/>
                <w:b/>
                <w:bCs/>
                <w:sz w:val="24"/>
                <w:szCs w:val="24"/>
              </w:rPr>
              <w:t>人，</w:t>
            </w:r>
            <w:r>
              <w:rPr>
                <w:rFonts w:hint="eastAsia" w:ascii="宋体" w:hAnsi="宋体" w:cs="仿宋_GB2312"/>
                <w:sz w:val="24"/>
                <w:szCs w:val="24"/>
              </w:rPr>
              <w:t>需熟悉消防知识和消防系统工作原理，须树立全心全意为医院服务的思想，尽心尽力、尽职尽责、保质保量完成医院办公区及科室的卫生工作。</w:t>
            </w:r>
          </w:p>
        </w:tc>
        <w:tc>
          <w:tcPr>
            <w:tcW w:w="546" w:type="dxa"/>
            <w:vAlign w:val="center"/>
          </w:tcPr>
          <w:p>
            <w:pPr>
              <w:ind w:left="-56" w:leftChars="-27" w:right="-77" w:rightChars="-37"/>
              <w:jc w:val="center"/>
              <w:rPr>
                <w:rFonts w:ascii="宋体" w:hAnsi="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restart"/>
            <w:vAlign w:val="center"/>
          </w:tcPr>
          <w:p>
            <w:pPr>
              <w:ind w:left="-56" w:leftChars="-27" w:right="-56" w:rightChars="-27"/>
              <w:jc w:val="center"/>
              <w:rPr>
                <w:rFonts w:ascii="宋体" w:hAnsi="宋体"/>
                <w:b/>
                <w:sz w:val="24"/>
                <w:szCs w:val="24"/>
              </w:rPr>
            </w:pPr>
            <w:r>
              <w:rPr>
                <w:rFonts w:hint="eastAsia" w:ascii="宋体" w:hAnsi="宋体"/>
                <w:b/>
                <w:sz w:val="24"/>
                <w:szCs w:val="24"/>
              </w:rPr>
              <w:t>保洁管理总体要求</w:t>
            </w:r>
          </w:p>
        </w:tc>
        <w:tc>
          <w:tcPr>
            <w:tcW w:w="6817" w:type="dxa"/>
            <w:vAlign w:val="center"/>
          </w:tcPr>
          <w:p>
            <w:pPr>
              <w:numPr>
                <w:ilvl w:val="0"/>
                <w:numId w:val="41"/>
              </w:numPr>
              <w:tabs>
                <w:tab w:val="left" w:pos="690"/>
              </w:tabs>
              <w:ind w:left="410" w:right="-50" w:rightChars="-24" w:hanging="210"/>
              <w:jc w:val="left"/>
              <w:rPr>
                <w:rFonts w:ascii="宋体" w:hAnsi="宋体" w:cs="仿宋_GB2312"/>
                <w:sz w:val="24"/>
                <w:szCs w:val="24"/>
              </w:rPr>
            </w:pPr>
            <w:r>
              <w:rPr>
                <w:rFonts w:hint="eastAsia" w:cs="仿宋_GB2312" w:asciiTheme="minorEastAsia" w:hAnsiTheme="minorEastAsia"/>
                <w:sz w:val="24"/>
                <w:szCs w:val="24"/>
              </w:rPr>
              <w:t>本项目保洁管理采取承包形式，工作人员由保洁公司统一招聘，身体健康，配备统一着装，并经采购单位同意。投标人必须遵守《劳动法》，合法用工，依法保障劳动者的合法权益，</w:t>
            </w:r>
            <w:r>
              <w:rPr>
                <w:rFonts w:hint="eastAsia" w:cs="仿宋_GB2312" w:asciiTheme="minorEastAsia" w:hAnsiTheme="minorEastAsia"/>
                <w:color w:val="0000FF"/>
                <w:sz w:val="24"/>
                <w:szCs w:val="24"/>
              </w:rPr>
              <w:t>必须为员工购买工伤保险</w:t>
            </w:r>
            <w:r>
              <w:rPr>
                <w:rFonts w:hint="eastAsia" w:cs="仿宋_GB2312" w:asciiTheme="minorEastAsia" w:hAnsiTheme="minorEastAsia"/>
                <w:sz w:val="24"/>
                <w:szCs w:val="24"/>
              </w:rPr>
              <w:t>，因工作期间发生的任何工伤赔偿由中标公司负责。保洁员每天须提前半小时上班。</w:t>
            </w:r>
          </w:p>
        </w:tc>
        <w:tc>
          <w:tcPr>
            <w:tcW w:w="546" w:type="dxa"/>
            <w:vAlign w:val="center"/>
          </w:tcPr>
          <w:p>
            <w:pPr>
              <w:ind w:left="-56" w:leftChars="-27" w:right="-77" w:rightChars="-37"/>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6" w:leftChars="-27" w:right="-56" w:rightChars="-27"/>
              <w:jc w:val="center"/>
              <w:rPr>
                <w:rFonts w:ascii="仿宋" w:hAnsi="仿宋" w:eastAsia="仿宋" w:cs="仿宋_GB2312"/>
                <w:b/>
                <w:sz w:val="24"/>
                <w:szCs w:val="24"/>
              </w:rPr>
            </w:pPr>
          </w:p>
        </w:tc>
        <w:tc>
          <w:tcPr>
            <w:tcW w:w="6817" w:type="dxa"/>
            <w:vAlign w:val="center"/>
          </w:tcPr>
          <w:p>
            <w:pPr>
              <w:numPr>
                <w:ilvl w:val="0"/>
                <w:numId w:val="41"/>
              </w:numPr>
              <w:tabs>
                <w:tab w:val="left" w:pos="690"/>
              </w:tabs>
              <w:ind w:left="410" w:right="-50" w:rightChars="-24" w:hanging="210"/>
              <w:jc w:val="left"/>
              <w:rPr>
                <w:rFonts w:ascii="楷体" w:hAnsi="楷体" w:eastAsia="楷体" w:cs="仿宋_GB2312"/>
                <w:sz w:val="24"/>
                <w:szCs w:val="24"/>
              </w:rPr>
            </w:pPr>
            <w:r>
              <w:rPr>
                <w:rFonts w:hint="eastAsia" w:ascii="宋体" w:hAnsi="宋体" w:cs="宋体"/>
                <w:sz w:val="24"/>
              </w:rPr>
              <w:t>结合采购单位特点，组建一支专业化保洁队伍</w:t>
            </w:r>
            <w:r>
              <w:rPr>
                <w:rFonts w:hint="eastAsia" w:ascii="宋体" w:hAnsi="宋体" w:cs="仿宋_GB2312"/>
                <w:sz w:val="24"/>
                <w:szCs w:val="24"/>
              </w:rPr>
              <w:t>，制定合理、可行的总体计划、管理制度及管理标准。</w:t>
            </w:r>
          </w:p>
        </w:tc>
        <w:tc>
          <w:tcPr>
            <w:tcW w:w="546" w:type="dxa"/>
            <w:vAlign w:val="center"/>
          </w:tcPr>
          <w:p>
            <w:pPr>
              <w:ind w:left="-56" w:leftChars="-27" w:right="-77" w:rightChars="-37"/>
              <w:jc w:val="center"/>
              <w:rPr>
                <w:rFonts w:ascii="宋体" w:hAnsi="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42"/>
              </w:numPr>
              <w:tabs>
                <w:tab w:val="left" w:pos="690"/>
              </w:tabs>
              <w:ind w:left="386" w:right="-50" w:rightChars="-24" w:hanging="437"/>
              <w:jc w:val="left"/>
              <w:rPr>
                <w:rFonts w:ascii="宋体" w:hAnsi="宋体"/>
                <w:b/>
                <w:sz w:val="24"/>
              </w:rPr>
            </w:pPr>
            <w:r>
              <w:rPr>
                <w:rFonts w:hint="eastAsia" w:ascii="仿宋" w:hAnsi="仿宋" w:eastAsia="仿宋"/>
                <w:b/>
                <w:sz w:val="24"/>
              </w:rPr>
              <w:t>本项目服务内容包括：</w:t>
            </w:r>
            <w:r>
              <w:rPr>
                <w:rFonts w:hint="eastAsia" w:ascii="宋体" w:hAnsi="宋体"/>
                <w:b/>
                <w:sz w:val="24"/>
              </w:rPr>
              <w:t>卫生保洁服务，环境卫生治理及</w:t>
            </w:r>
            <w:r>
              <w:rPr>
                <w:rFonts w:hint="eastAsia" w:ascii="宋体" w:hAnsi="宋体"/>
                <w:b/>
                <w:sz w:val="24"/>
                <w:lang w:eastAsia="zh-CN"/>
              </w:rPr>
              <w:t>二</w:t>
            </w:r>
            <w:r>
              <w:rPr>
                <w:rFonts w:hint="eastAsia" w:ascii="宋体" w:hAnsi="宋体"/>
                <w:b/>
                <w:sz w:val="24"/>
              </w:rPr>
              <w:t>医院临时交办的工作任务等事项。</w:t>
            </w:r>
          </w:p>
        </w:tc>
        <w:tc>
          <w:tcPr>
            <w:tcW w:w="546" w:type="dxa"/>
            <w:vAlign w:val="center"/>
          </w:tcPr>
          <w:p>
            <w:pPr>
              <w:ind w:left="-56" w:leftChars="-27" w:right="-77" w:rightChars="-37"/>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43"/>
              </w:numPr>
              <w:tabs>
                <w:tab w:val="left" w:pos="690"/>
              </w:tabs>
              <w:ind w:left="410" w:right="-50" w:rightChars="-24" w:hanging="210"/>
              <w:jc w:val="left"/>
              <w:rPr>
                <w:rFonts w:cs="仿宋_GB2312" w:asciiTheme="minorEastAsia" w:hAnsiTheme="minorEastAsia"/>
                <w:sz w:val="24"/>
                <w:szCs w:val="24"/>
              </w:rPr>
            </w:pPr>
            <w:r>
              <w:rPr>
                <w:rFonts w:hint="eastAsia" w:cs="仿宋_GB2312" w:asciiTheme="minorEastAsia" w:hAnsiTheme="minorEastAsia"/>
                <w:sz w:val="24"/>
                <w:szCs w:val="24"/>
              </w:rPr>
              <w:t>对所有人员必须加强法纪教育，搞好保密、防盗、防火等安全工作，做好年度岗位培训和消防演练计划，每年度必须保证2次以上。发生泄密、偷盗和破坏等违纪违法行为的，必须依法及时查处。给发包人造成损失的必须由中标方予以赔偿，对于因中标方人员引起的治安纠纷问题及人员伤害由中标方全权负责。</w:t>
            </w:r>
          </w:p>
        </w:tc>
        <w:tc>
          <w:tcPr>
            <w:tcW w:w="546" w:type="dxa"/>
            <w:vAlign w:val="center"/>
          </w:tcPr>
          <w:p>
            <w:pPr>
              <w:ind w:left="-56" w:leftChars="-27" w:right="-77" w:rightChars="-37"/>
              <w:jc w:val="center"/>
              <w:rPr>
                <w:rFonts w:ascii="宋体" w:hAnsi="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43"/>
              </w:numPr>
              <w:tabs>
                <w:tab w:val="left" w:pos="690"/>
              </w:tabs>
              <w:ind w:left="410" w:right="-50" w:rightChars="-24" w:hanging="210"/>
              <w:jc w:val="left"/>
              <w:rPr>
                <w:rFonts w:cs="仿宋_GB2312" w:asciiTheme="minorEastAsia" w:hAnsiTheme="minorEastAsia"/>
                <w:sz w:val="24"/>
                <w:szCs w:val="24"/>
              </w:rPr>
            </w:pPr>
            <w:r>
              <w:rPr>
                <w:rFonts w:hint="eastAsia" w:cs="仿宋_GB2312" w:asciiTheme="minorEastAsia" w:hAnsiTheme="minorEastAsia"/>
                <w:sz w:val="24"/>
                <w:szCs w:val="24"/>
              </w:rPr>
              <w:t>认真贯彻《保密协议》，接受发包人监督，承担因违反《保密协议》而造成事故的责任。</w:t>
            </w:r>
          </w:p>
        </w:tc>
        <w:tc>
          <w:tcPr>
            <w:tcW w:w="546" w:type="dxa"/>
            <w:vAlign w:val="center"/>
          </w:tcPr>
          <w:p>
            <w:pPr>
              <w:ind w:left="-56" w:leftChars="-27" w:right="-77" w:rightChars="-37"/>
              <w:jc w:val="center"/>
              <w:rPr>
                <w:rFonts w:ascii="宋体" w:hAnsi="宋体"/>
                <w:b/>
                <w:sz w:val="24"/>
                <w:szCs w:val="24"/>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43"/>
              </w:numPr>
              <w:tabs>
                <w:tab w:val="left" w:pos="690"/>
              </w:tabs>
              <w:ind w:left="410" w:right="-50" w:rightChars="-24" w:hanging="210"/>
              <w:jc w:val="left"/>
              <w:rPr>
                <w:rFonts w:cs="仿宋_GB2312" w:asciiTheme="minorEastAsia" w:hAnsiTheme="minorEastAsia"/>
                <w:sz w:val="24"/>
                <w:szCs w:val="24"/>
              </w:rPr>
            </w:pPr>
            <w:r>
              <w:rPr>
                <w:rFonts w:hint="eastAsia" w:cs="仿宋_GB2312" w:asciiTheme="minorEastAsia" w:hAnsiTheme="minorEastAsia"/>
                <w:sz w:val="24"/>
                <w:szCs w:val="24"/>
              </w:rPr>
              <w:t>各项保洁管理档案资料要保证完整。合同期满后，应将保安保洁管理的相关档案资料副本移交发包人。</w:t>
            </w:r>
          </w:p>
        </w:tc>
        <w:tc>
          <w:tcPr>
            <w:tcW w:w="546" w:type="dxa"/>
            <w:vAlign w:val="center"/>
          </w:tcPr>
          <w:p>
            <w:pPr>
              <w:ind w:left="-56" w:leftChars="-27" w:right="-77" w:rightChars="-37"/>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sz w:val="24"/>
                <w:szCs w:val="24"/>
              </w:rPr>
            </w:pPr>
          </w:p>
        </w:tc>
        <w:tc>
          <w:tcPr>
            <w:tcW w:w="1498" w:type="dxa"/>
            <w:vMerge w:val="continue"/>
            <w:vAlign w:val="center"/>
          </w:tcPr>
          <w:p>
            <w:pPr>
              <w:ind w:left="-56" w:leftChars="-27" w:right="-56" w:rightChars="-27"/>
              <w:jc w:val="center"/>
              <w:rPr>
                <w:rFonts w:ascii="宋体" w:hAnsi="宋体"/>
                <w:b/>
                <w:sz w:val="24"/>
                <w:szCs w:val="24"/>
              </w:rPr>
            </w:pPr>
          </w:p>
        </w:tc>
        <w:tc>
          <w:tcPr>
            <w:tcW w:w="6817" w:type="dxa"/>
            <w:vAlign w:val="center"/>
          </w:tcPr>
          <w:p>
            <w:pPr>
              <w:numPr>
                <w:ilvl w:val="0"/>
                <w:numId w:val="44"/>
              </w:numPr>
              <w:tabs>
                <w:tab w:val="left" w:pos="690"/>
              </w:tabs>
              <w:ind w:left="386" w:right="-50" w:rightChars="-24" w:hanging="437"/>
              <w:jc w:val="left"/>
              <w:rPr>
                <w:rFonts w:ascii="仿宋" w:hAnsi="仿宋" w:eastAsia="仿宋" w:cs="仿宋_GB2312"/>
                <w:b/>
                <w:sz w:val="24"/>
                <w:szCs w:val="24"/>
              </w:rPr>
            </w:pPr>
            <w:r>
              <w:rPr>
                <w:rFonts w:hint="eastAsia" w:ascii="宋体" w:hAnsi="宋体"/>
                <w:b/>
                <w:sz w:val="24"/>
              </w:rPr>
              <w:t>所有拟派服务人员的基本工资（含保险）按广水市中心城区最低工资标准及工伤保险基准予以计算。</w:t>
            </w:r>
          </w:p>
        </w:tc>
        <w:tc>
          <w:tcPr>
            <w:tcW w:w="546" w:type="dxa"/>
            <w:vAlign w:val="center"/>
          </w:tcPr>
          <w:p>
            <w:pPr>
              <w:ind w:left="-56" w:leftChars="-27" w:right="-77" w:rightChars="-37"/>
              <w:jc w:val="center"/>
              <w:rPr>
                <w:rFonts w:ascii="宋体" w:hAnsi="宋体"/>
                <w:b/>
                <w:sz w:val="24"/>
                <w:szCs w:val="24"/>
              </w:rPr>
            </w:pPr>
          </w:p>
        </w:tc>
      </w:tr>
    </w:tbl>
    <w:p>
      <w:pPr>
        <w:numPr>
          <w:ilvl w:val="0"/>
          <w:numId w:val="34"/>
        </w:numPr>
        <w:ind w:left="704" w:right="-48" w:rightChars="-23"/>
        <w:jc w:val="left"/>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cs="Times New Roman"/>
          <w:b/>
          <w:color w:val="000000" w:themeColor="text1"/>
          <w:sz w:val="28"/>
          <w:szCs w:val="28"/>
          <w14:textFill>
            <w14:solidFill>
              <w14:schemeClr w14:val="tx1"/>
            </w14:solidFill>
          </w14:textFill>
        </w:rPr>
        <w:t>保洁服务</w:t>
      </w:r>
    </w:p>
    <w:tbl>
      <w:tblPr>
        <w:tblStyle w:val="25"/>
        <w:tblW w:w="951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498"/>
        <w:gridCol w:w="6817"/>
        <w:gridCol w:w="54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Align w:val="center"/>
          </w:tcPr>
          <w:p>
            <w:pPr>
              <w:ind w:left="-56" w:leftChars="-27" w:right="-77" w:rightChars="-37"/>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1498" w:type="dxa"/>
            <w:vAlign w:val="center"/>
          </w:tcPr>
          <w:p>
            <w:pPr>
              <w:ind w:left="-56" w:leftChars="-27" w:right="-77" w:rightChars="-37"/>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服务区域</w:t>
            </w:r>
          </w:p>
        </w:tc>
        <w:tc>
          <w:tcPr>
            <w:tcW w:w="6817" w:type="dxa"/>
            <w:vAlign w:val="center"/>
          </w:tcPr>
          <w:p>
            <w:pPr>
              <w:ind w:left="-56" w:leftChars="-27" w:right="-77" w:rightChars="-37"/>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服务内容及标准</w:t>
            </w:r>
          </w:p>
        </w:tc>
        <w:tc>
          <w:tcPr>
            <w:tcW w:w="546" w:type="dxa"/>
            <w:vAlign w:val="center"/>
          </w:tcPr>
          <w:p>
            <w:pPr>
              <w:spacing w:line="280" w:lineRule="exact"/>
              <w:ind w:left="-107" w:leftChars="-51" w:right="-107" w:rightChars="-51"/>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restart"/>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楼内卫生</w:t>
            </w:r>
          </w:p>
        </w:tc>
        <w:tc>
          <w:tcPr>
            <w:tcW w:w="6817" w:type="dxa"/>
            <w:vAlign w:val="center"/>
          </w:tcPr>
          <w:p>
            <w:pPr>
              <w:numPr>
                <w:ilvl w:val="0"/>
                <w:numId w:val="45"/>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各楼层公共区域卫生；拖把、抹布分类摆放。生活垃圾桶和医疗废物垃圾桶按标识摆放。</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5"/>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地面：</w:t>
            </w:r>
            <w:r>
              <w:rPr>
                <w:rFonts w:hint="eastAsia" w:cs="仿宋_GB2312" w:asciiTheme="minorEastAsia" w:hAnsiTheme="minorEastAsia"/>
                <w:color w:val="000000" w:themeColor="text1"/>
                <w:sz w:val="24"/>
                <w:szCs w:val="24"/>
                <w14:textFill>
                  <w14:solidFill>
                    <w14:schemeClr w14:val="tx1"/>
                  </w14:solidFill>
                </w14:textFill>
              </w:rPr>
              <w:t>无废杂物、无污迹、无渍水、无烟头、保持干燥和整洁；</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5"/>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墙面：</w:t>
            </w:r>
            <w:r>
              <w:rPr>
                <w:rFonts w:hint="eastAsia" w:cs="仿宋_GB2312" w:asciiTheme="minorEastAsia" w:hAnsiTheme="minorEastAsia"/>
                <w:color w:val="000000" w:themeColor="text1"/>
                <w:sz w:val="24"/>
                <w:szCs w:val="24"/>
                <w14:textFill>
                  <w14:solidFill>
                    <w14:schemeClr w14:val="tx1"/>
                  </w14:solidFill>
                </w14:textFill>
              </w:rPr>
              <w:t>无灰尘，水迹、污迹、斑点和整洁；</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5"/>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垃圾桶：</w:t>
            </w:r>
            <w:r>
              <w:rPr>
                <w:rFonts w:hint="eastAsia" w:cs="仿宋_GB2312" w:asciiTheme="minorEastAsia" w:hAnsiTheme="minorEastAsia"/>
                <w:color w:val="000000" w:themeColor="text1"/>
                <w:sz w:val="24"/>
                <w:szCs w:val="24"/>
                <w14:textFill>
                  <w14:solidFill>
                    <w14:schemeClr w14:val="tx1"/>
                  </w14:solidFill>
                </w14:textFill>
              </w:rPr>
              <w:t>内、外干净；</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5"/>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玻璃窗（玻璃、窗框、窗帘、窗台）：</w:t>
            </w:r>
            <w:r>
              <w:rPr>
                <w:rFonts w:hint="eastAsia" w:cs="仿宋_GB2312" w:asciiTheme="minorEastAsia" w:hAnsiTheme="minorEastAsia"/>
                <w:color w:val="000000" w:themeColor="text1"/>
                <w:sz w:val="24"/>
                <w:szCs w:val="24"/>
                <w14:textFill>
                  <w14:solidFill>
                    <w14:schemeClr w14:val="tx1"/>
                  </w14:solidFill>
                </w14:textFill>
              </w:rPr>
              <w:t>明净、光洁、无积尘、污迹、斑点；</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5"/>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各种设施外表：</w:t>
            </w:r>
            <w:r>
              <w:rPr>
                <w:rFonts w:hint="eastAsia" w:cs="仿宋_GB2312" w:asciiTheme="minorEastAsia" w:hAnsiTheme="minorEastAsia"/>
                <w:color w:val="000000" w:themeColor="text1"/>
                <w:sz w:val="24"/>
                <w:szCs w:val="24"/>
                <w14:textFill>
                  <w14:solidFill>
                    <w14:schemeClr w14:val="tx1"/>
                  </w14:solidFill>
                </w14:textFill>
              </w:rPr>
              <w:t>表面干净，无积尘、污迹、斑点，摆放整齐。</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restart"/>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卫生间</w:t>
            </w:r>
          </w:p>
        </w:tc>
        <w:tc>
          <w:tcPr>
            <w:tcW w:w="6817" w:type="dxa"/>
            <w:vAlign w:val="center"/>
          </w:tcPr>
          <w:p>
            <w:pPr>
              <w:numPr>
                <w:ilvl w:val="0"/>
                <w:numId w:val="47"/>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大、小便池：</w:t>
            </w:r>
            <w:r>
              <w:rPr>
                <w:rFonts w:hint="eastAsia" w:cs="仿宋_GB2312" w:asciiTheme="minorEastAsia" w:hAnsiTheme="minorEastAsia"/>
                <w:color w:val="000000" w:themeColor="text1"/>
                <w:sz w:val="24"/>
                <w:szCs w:val="24"/>
                <w14:textFill>
                  <w14:solidFill>
                    <w14:schemeClr w14:val="tx1"/>
                  </w14:solidFill>
                </w14:textFill>
              </w:rPr>
              <w:t>内外光洁、无污垢、室内空气无异味，保持干燥和整洁；</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仿宋" w:hAnsi="仿宋" w:eastAsia="仿宋" w:cs="仿宋_GB2312"/>
                <w:b/>
                <w:color w:val="000000" w:themeColor="text1"/>
                <w:sz w:val="24"/>
                <w:szCs w:val="24"/>
                <w14:textFill>
                  <w14:solidFill>
                    <w14:schemeClr w14:val="tx1"/>
                  </w14:solidFill>
                </w14:textFill>
              </w:rPr>
            </w:pPr>
          </w:p>
        </w:tc>
        <w:tc>
          <w:tcPr>
            <w:tcW w:w="6817" w:type="dxa"/>
            <w:vAlign w:val="center"/>
          </w:tcPr>
          <w:p>
            <w:pPr>
              <w:numPr>
                <w:ilvl w:val="0"/>
                <w:numId w:val="47"/>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洗手盆、镜台、镜面：</w:t>
            </w:r>
            <w:r>
              <w:rPr>
                <w:rFonts w:hint="eastAsia" w:cs="仿宋_GB2312" w:asciiTheme="minorEastAsia" w:hAnsiTheme="minorEastAsia"/>
                <w:color w:val="000000" w:themeColor="text1"/>
                <w:sz w:val="24"/>
                <w:szCs w:val="24"/>
                <w14:textFill>
                  <w14:solidFill>
                    <w14:schemeClr w14:val="tx1"/>
                  </w14:solidFill>
                </w14:textFill>
              </w:rPr>
              <w:t xml:space="preserve">内外光洁，无污垢，保持干燥和整洁； </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仿宋" w:hAnsi="仿宋" w:eastAsia="仿宋" w:cs="仿宋_GB2312"/>
                <w:b/>
                <w:color w:val="000000" w:themeColor="text1"/>
                <w:sz w:val="24"/>
                <w:szCs w:val="24"/>
                <w14:textFill>
                  <w14:solidFill>
                    <w14:schemeClr w14:val="tx1"/>
                  </w14:solidFill>
                </w14:textFill>
              </w:rPr>
            </w:pPr>
          </w:p>
        </w:tc>
        <w:tc>
          <w:tcPr>
            <w:tcW w:w="6817" w:type="dxa"/>
            <w:vAlign w:val="center"/>
          </w:tcPr>
          <w:p>
            <w:pPr>
              <w:numPr>
                <w:ilvl w:val="0"/>
                <w:numId w:val="47"/>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地面、墙面：</w:t>
            </w:r>
            <w:r>
              <w:rPr>
                <w:rFonts w:hint="eastAsia" w:cs="仿宋_GB2312" w:asciiTheme="minorEastAsia" w:hAnsiTheme="minorEastAsia"/>
                <w:color w:val="000000" w:themeColor="text1"/>
                <w:sz w:val="24"/>
                <w:szCs w:val="24"/>
                <w14:textFill>
                  <w14:solidFill>
                    <w14:schemeClr w14:val="tx1"/>
                  </w14:solidFill>
                </w14:textFill>
              </w:rPr>
              <w:t>光洁、无污迹、无水渍、配备防滑垫；</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38"/>
              </w:numPr>
              <w:tabs>
                <w:tab w:val="left" w:pos="84"/>
              </w:tabs>
              <w:spacing w:line="320" w:lineRule="exact"/>
              <w:ind w:left="0" w:right="-50" w:rightChars="-24" w:firstLine="0"/>
              <w:jc w:val="right"/>
              <w:rPr>
                <w:rFonts w:ascii="宋体" w:hAnsi="宋体"/>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仿宋" w:hAnsi="仿宋" w:eastAsia="仿宋" w:cs="仿宋_GB2312"/>
                <w:b/>
                <w:color w:val="000000" w:themeColor="text1"/>
                <w:sz w:val="24"/>
                <w:szCs w:val="24"/>
                <w14:textFill>
                  <w14:solidFill>
                    <w14:schemeClr w14:val="tx1"/>
                  </w14:solidFill>
                </w14:textFill>
              </w:rPr>
            </w:pPr>
          </w:p>
        </w:tc>
        <w:tc>
          <w:tcPr>
            <w:tcW w:w="6817" w:type="dxa"/>
            <w:vAlign w:val="center"/>
          </w:tcPr>
          <w:p>
            <w:pPr>
              <w:numPr>
                <w:ilvl w:val="0"/>
                <w:numId w:val="47"/>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厕纸篓、垃圾篓：</w:t>
            </w:r>
            <w:r>
              <w:rPr>
                <w:rFonts w:hint="eastAsia" w:cs="仿宋_GB2312" w:asciiTheme="minorEastAsia" w:hAnsiTheme="minorEastAsia"/>
                <w:color w:val="000000" w:themeColor="text1"/>
                <w:sz w:val="24"/>
                <w:szCs w:val="24"/>
                <w14:textFill>
                  <w14:solidFill>
                    <w14:schemeClr w14:val="tx1"/>
                  </w14:solidFill>
                </w14:textFill>
              </w:rPr>
              <w:t>无沉积物、干净无臭味。</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restart"/>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楼梯</w:t>
            </w:r>
          </w:p>
        </w:tc>
        <w:tc>
          <w:tcPr>
            <w:tcW w:w="6817" w:type="dxa"/>
            <w:vAlign w:val="center"/>
          </w:tcPr>
          <w:p>
            <w:pPr>
              <w:numPr>
                <w:ilvl w:val="0"/>
                <w:numId w:val="48"/>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楼梯（所管理区域内的楼梯、栏杆灯）：</w:t>
            </w:r>
            <w:r>
              <w:rPr>
                <w:rFonts w:hint="eastAsia" w:cs="仿宋_GB2312" w:asciiTheme="minorEastAsia" w:hAnsiTheme="minorEastAsia"/>
                <w:color w:val="000000" w:themeColor="text1"/>
                <w:sz w:val="24"/>
                <w:szCs w:val="24"/>
                <w14:textFill>
                  <w14:solidFill>
                    <w14:schemeClr w14:val="tx1"/>
                  </w14:solidFill>
                </w14:textFill>
              </w:rPr>
              <w:t>无灰尘，无杂物；</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8"/>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楼梯走道、墙上各种设施：</w:t>
            </w:r>
            <w:r>
              <w:rPr>
                <w:rFonts w:hint="eastAsia" w:cs="仿宋_GB2312" w:asciiTheme="minorEastAsia" w:hAnsiTheme="minorEastAsia"/>
                <w:color w:val="000000" w:themeColor="text1"/>
                <w:sz w:val="24"/>
                <w:szCs w:val="24"/>
                <w14:textFill>
                  <w14:solidFill>
                    <w14:schemeClr w14:val="tx1"/>
                  </w14:solidFill>
                </w14:textFill>
              </w:rPr>
              <w:t>无积尘、污迹、脏杂物、无水渍；</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8"/>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扶手、栏杆：</w:t>
            </w:r>
            <w:r>
              <w:rPr>
                <w:rFonts w:hint="eastAsia" w:cs="仿宋_GB2312" w:asciiTheme="minorEastAsia" w:hAnsiTheme="minorEastAsia"/>
                <w:color w:val="000000" w:themeColor="text1"/>
                <w:sz w:val="24"/>
                <w:szCs w:val="24"/>
                <w14:textFill>
                  <w14:solidFill>
                    <w14:schemeClr w14:val="tx1"/>
                  </w14:solidFill>
                </w14:textFill>
              </w:rPr>
              <w:t>光洁、无积尘；</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8"/>
              </w:numPr>
              <w:tabs>
                <w:tab w:val="left" w:pos="690"/>
              </w:tabs>
              <w:ind w:left="410" w:right="-50" w:rightChars="-24" w:hanging="210"/>
              <w:jc w:val="left"/>
              <w:rPr>
                <w:rFonts w:cs="仿宋_GB2312" w:asciiTheme="minorEastAsia" w:hAnsiTheme="minorEastAsia"/>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门（各卫生区域的门）：</w:t>
            </w:r>
            <w:r>
              <w:rPr>
                <w:rFonts w:hint="eastAsia" w:cs="仿宋_GB2312" w:asciiTheme="minorEastAsia" w:hAnsiTheme="minorEastAsia"/>
                <w:color w:val="000000" w:themeColor="text1"/>
                <w:sz w:val="24"/>
                <w:szCs w:val="24"/>
                <w14:textFill>
                  <w14:solidFill>
                    <w14:schemeClr w14:val="tx1"/>
                  </w14:solidFill>
                </w14:textFill>
              </w:rPr>
              <w:t>干净，无灰尘、无污迹；</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restart"/>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办公室、会议室、接待室、党团活动室、职工之家、职工书屋</w:t>
            </w: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保持室内的窗、窗台、窗框干净、整洁；</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仿宋" w:hAnsi="仿宋" w:eastAsia="仿宋" w:cs="仿宋_GB2312"/>
                <w:b/>
                <w:color w:val="000000" w:themeColor="text1"/>
                <w:sz w:val="24"/>
                <w:szCs w:val="24"/>
                <w14:textFill>
                  <w14:solidFill>
                    <w14:schemeClr w14:val="tx1"/>
                  </w14:solidFill>
                </w14:textFill>
              </w:rPr>
            </w:pP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保持室内墙面、天花板整洁、完好；</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保持地面地毯整洁、完好，无垃圾；</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保持室内各种家具光洁、无灰尘、无杂物、摆放整齐；</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保持室内各种灯具整洁、完好</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保持室内空调出风口干净、整洁；</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49"/>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室内各种艺术装饰挂件挂放端正、清洁无损；</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84"/>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restart"/>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楼外</w:t>
            </w: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广场区域地面和道路：</w:t>
            </w:r>
            <w:r>
              <w:rPr>
                <w:rFonts w:hint="eastAsia" w:cs="仿宋_GB2312" w:asciiTheme="minorEastAsia" w:hAnsiTheme="minorEastAsia"/>
                <w:color w:val="000000" w:themeColor="text1"/>
                <w:sz w:val="24"/>
                <w:szCs w:val="24"/>
                <w14:textFill>
                  <w14:solidFill>
                    <w14:schemeClr w14:val="tx1"/>
                  </w14:solidFill>
                </w14:textFill>
              </w:rPr>
              <w:t>路面整齐、干净，无垃圾；</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大门前：</w:t>
            </w:r>
            <w:r>
              <w:rPr>
                <w:rFonts w:hint="eastAsia" w:cs="仿宋_GB2312" w:asciiTheme="minorEastAsia" w:hAnsiTheme="minorEastAsia"/>
                <w:color w:val="000000" w:themeColor="text1"/>
                <w:sz w:val="24"/>
                <w:szCs w:val="24"/>
                <w14:textFill>
                  <w14:solidFill>
                    <w14:schemeClr w14:val="tx1"/>
                  </w14:solidFill>
                </w14:textFill>
              </w:rPr>
              <w:t>执行政府门前“三包”规定；</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大楼外墙：</w:t>
            </w:r>
            <w:r>
              <w:rPr>
                <w:rFonts w:hint="eastAsia" w:cs="仿宋_GB2312" w:asciiTheme="minorEastAsia" w:hAnsiTheme="minorEastAsia"/>
                <w:color w:val="000000" w:themeColor="text1"/>
                <w:sz w:val="24"/>
                <w:szCs w:val="24"/>
                <w14:textFill>
                  <w14:solidFill>
                    <w14:schemeClr w14:val="tx1"/>
                  </w14:solidFill>
                </w14:textFill>
              </w:rPr>
              <w:t>保持干净、明亮；</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停车场：</w:t>
            </w:r>
            <w:r>
              <w:rPr>
                <w:rFonts w:hint="eastAsia" w:cs="仿宋_GB2312" w:asciiTheme="minorEastAsia" w:hAnsiTheme="minorEastAsia"/>
                <w:color w:val="000000" w:themeColor="text1"/>
                <w:sz w:val="24"/>
                <w:szCs w:val="24"/>
                <w14:textFill>
                  <w14:solidFill>
                    <w14:schemeClr w14:val="tx1"/>
                  </w14:solidFill>
                </w14:textFill>
              </w:rPr>
              <w:t>保持地面无垃圾、纸屑；</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垃圾桶：</w:t>
            </w:r>
            <w:r>
              <w:rPr>
                <w:rFonts w:hint="eastAsia" w:cs="仿宋_GB2312" w:asciiTheme="minorEastAsia" w:hAnsiTheme="minorEastAsia"/>
                <w:color w:val="000000" w:themeColor="text1"/>
                <w:sz w:val="24"/>
                <w:szCs w:val="24"/>
                <w14:textFill>
                  <w14:solidFill>
                    <w14:schemeClr w14:val="tx1"/>
                  </w14:solidFill>
                </w14:textFill>
              </w:rPr>
              <w:t>垃圾桶内外干净、无异味散播、无堆积垃圾；</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绿化带、花草盆：</w:t>
            </w:r>
            <w:r>
              <w:rPr>
                <w:rFonts w:hint="eastAsia" w:cs="仿宋_GB2312" w:asciiTheme="minorEastAsia" w:hAnsiTheme="minorEastAsia"/>
                <w:color w:val="000000" w:themeColor="text1"/>
                <w:sz w:val="24"/>
                <w:szCs w:val="24"/>
                <w14:textFill>
                  <w14:solidFill>
                    <w14:schemeClr w14:val="tx1"/>
                  </w14:solidFill>
                </w14:textFill>
              </w:rPr>
              <w:t>无垃圾、无杂物；</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0"/>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区域内承办大型活动产生的垃圾及时清出。</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restart"/>
            <w:vAlign w:val="center"/>
          </w:tcPr>
          <w:p>
            <w:pPr>
              <w:numPr>
                <w:ilvl w:val="0"/>
                <w:numId w:val="38"/>
              </w:numPr>
              <w:tabs>
                <w:tab w:val="left" w:pos="176"/>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restart"/>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保洁总体服务标准</w:t>
            </w: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负责整个责任区域日常的室内保洁：</w:t>
            </w:r>
            <w:r>
              <w:rPr>
                <w:rFonts w:hint="eastAsia" w:cs="仿宋_GB2312" w:asciiTheme="minorEastAsia" w:hAnsiTheme="minorEastAsia"/>
                <w:color w:val="000000" w:themeColor="text1"/>
                <w:sz w:val="24"/>
                <w:szCs w:val="24"/>
                <w14:textFill>
                  <w14:solidFill>
                    <w14:schemeClr w14:val="tx1"/>
                  </w14:solidFill>
                </w14:textFill>
              </w:rPr>
              <w:t>楼内、卫生间、楼梯、办公室、会议室、接待室、党团活动室、职工之家、职工书屋、楼外区域卫生等。</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制定符合各服务区域的保洁服务标准方案，建立岗位责任制，坚持高质量、高标准。</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责任区域立面、公共楼梯、馆内外活动空间、道路等整洁，无堆放杂物现象。</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各岗位人员安排专业、合理，岗位职责明确</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负责垃圾的收集、清运，做到垃圾日产日清。</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负责组织大型活动时的清洁卫生。</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ascii="宋体" w:hAnsi="宋体" w:cs="宋体"/>
                <w:sz w:val="24"/>
              </w:rPr>
              <w:t>有突发事件的应急措施及合理化建议。</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其它与环境清洁有关的事项。</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供应商必需完成各服务内容。</w:t>
            </w:r>
          </w:p>
        </w:tc>
        <w:tc>
          <w:tcPr>
            <w:tcW w:w="546" w:type="dxa"/>
            <w:vAlign w:val="center"/>
          </w:tcPr>
          <w:p>
            <w:pPr>
              <w:ind w:left="-56" w:leftChars="-27" w:right="-77" w:rightChars="-37"/>
              <w:jc w:val="cente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Merge w:val="continue"/>
            <w:vAlign w:val="center"/>
          </w:tcPr>
          <w:p>
            <w:pPr>
              <w:numPr>
                <w:ilvl w:val="0"/>
                <w:numId w:val="46"/>
              </w:numPr>
              <w:tabs>
                <w:tab w:val="left" w:pos="228"/>
              </w:tabs>
              <w:spacing w:line="320" w:lineRule="exact"/>
              <w:ind w:left="-65" w:leftChars="-31" w:right="-52" w:rightChars="-25"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Merge w:val="continue"/>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p>
        </w:tc>
        <w:tc>
          <w:tcPr>
            <w:tcW w:w="6817" w:type="dxa"/>
            <w:vAlign w:val="center"/>
          </w:tcPr>
          <w:p>
            <w:pPr>
              <w:numPr>
                <w:ilvl w:val="0"/>
                <w:numId w:val="51"/>
              </w:numPr>
              <w:tabs>
                <w:tab w:val="left" w:pos="690"/>
              </w:tabs>
              <w:ind w:left="410" w:right="-50" w:rightChars="-24" w:hanging="210"/>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详细细节结合合同和招标文件内容要求执行。</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Align w:val="center"/>
          </w:tcPr>
          <w:p>
            <w:pPr>
              <w:numPr>
                <w:ilvl w:val="0"/>
                <w:numId w:val="38"/>
              </w:numPr>
              <w:tabs>
                <w:tab w:val="left" w:pos="176"/>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机构设置</w:t>
            </w:r>
          </w:p>
        </w:tc>
        <w:tc>
          <w:tcPr>
            <w:tcW w:w="6817" w:type="dxa"/>
            <w:vAlign w:val="center"/>
          </w:tcPr>
          <w:p>
            <w:pPr>
              <w:keepNext/>
              <w:tabs>
                <w:tab w:val="left" w:pos="214"/>
              </w:tabs>
              <w:ind w:right="-50" w:rightChars="-24"/>
              <w:jc w:val="left"/>
              <w:rPr>
                <w:rFonts w:cs="仿宋_GB2312" w:asciiTheme="minorEastAsia" w:hAnsiTheme="minorEastAsia"/>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提供详细的各服务区域岗位人员安排表，人员安排专业、合理，岗位职责明确。</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Align w:val="center"/>
          </w:tcPr>
          <w:p>
            <w:pPr>
              <w:numPr>
                <w:ilvl w:val="0"/>
                <w:numId w:val="38"/>
              </w:numPr>
              <w:tabs>
                <w:tab w:val="left" w:pos="176"/>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管理制度</w:t>
            </w:r>
          </w:p>
        </w:tc>
        <w:tc>
          <w:tcPr>
            <w:tcW w:w="6817" w:type="dxa"/>
            <w:vAlign w:val="center"/>
          </w:tcPr>
          <w:p>
            <w:pPr>
              <w:keepNext/>
              <w:tabs>
                <w:tab w:val="left" w:pos="214"/>
              </w:tabs>
              <w:ind w:right="-50" w:rightChars="-24"/>
              <w:jc w:val="left"/>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投标人制定完善的保洁管理制度，符合招标要求，描述清晰，工作运作流程清晰、规范，且有检查、有整改，在此基础上有合理可行的标准、考核办法、奖惩措施。</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Align w:val="center"/>
          </w:tcPr>
          <w:p>
            <w:pPr>
              <w:numPr>
                <w:ilvl w:val="0"/>
                <w:numId w:val="38"/>
              </w:numPr>
              <w:tabs>
                <w:tab w:val="left" w:pos="176"/>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服务标准及措施</w:t>
            </w:r>
          </w:p>
        </w:tc>
        <w:tc>
          <w:tcPr>
            <w:tcW w:w="6817" w:type="dxa"/>
            <w:vAlign w:val="center"/>
          </w:tcPr>
          <w:p>
            <w:pPr>
              <w:keepNext/>
              <w:tabs>
                <w:tab w:val="left" w:pos="214"/>
              </w:tabs>
              <w:ind w:right="-50" w:rightChars="-24"/>
              <w:jc w:val="left"/>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制定完整、科学、合理，可行的保洁服务质量标准及措施实施办法</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58" w:type="dxa"/>
            <w:vAlign w:val="center"/>
          </w:tcPr>
          <w:p>
            <w:pPr>
              <w:numPr>
                <w:ilvl w:val="0"/>
                <w:numId w:val="38"/>
              </w:numPr>
              <w:tabs>
                <w:tab w:val="left" w:pos="176"/>
              </w:tabs>
              <w:spacing w:line="320" w:lineRule="exact"/>
              <w:ind w:left="0" w:right="-50" w:rightChars="-24" w:firstLine="0"/>
              <w:jc w:val="right"/>
              <w:rPr>
                <w:rFonts w:ascii="宋体" w:hAnsi="宋体" w:eastAsia="宋体" w:cs="Times New Roman"/>
                <w:color w:val="000000" w:themeColor="text1"/>
                <w:sz w:val="24"/>
                <w:szCs w:val="24"/>
                <w14:textFill>
                  <w14:solidFill>
                    <w14:schemeClr w14:val="tx1"/>
                  </w14:solidFill>
                </w14:textFill>
              </w:rPr>
            </w:pPr>
          </w:p>
        </w:tc>
        <w:tc>
          <w:tcPr>
            <w:tcW w:w="1498" w:type="dxa"/>
            <w:vAlign w:val="center"/>
          </w:tcPr>
          <w:p>
            <w:pPr>
              <w:ind w:left="-56" w:leftChars="-27" w:right="-56" w:rightChars="-2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考核措施</w:t>
            </w:r>
          </w:p>
        </w:tc>
        <w:tc>
          <w:tcPr>
            <w:tcW w:w="6817" w:type="dxa"/>
            <w:vAlign w:val="center"/>
          </w:tcPr>
          <w:p>
            <w:pPr>
              <w:keepNext/>
              <w:tabs>
                <w:tab w:val="left" w:pos="214"/>
              </w:tabs>
              <w:ind w:right="-50" w:rightChars="-24"/>
              <w:jc w:val="left"/>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考核管理方案规范、完备，配合采购人不定期抽查考核。</w:t>
            </w:r>
          </w:p>
        </w:tc>
        <w:tc>
          <w:tcPr>
            <w:tcW w:w="546" w:type="dxa"/>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bl>
    <w:p>
      <w:pPr>
        <w:numPr>
          <w:ilvl w:val="0"/>
          <w:numId w:val="34"/>
        </w:numPr>
        <w:ind w:left="704" w:right="-48" w:rightChars="-23"/>
        <w:jc w:val="left"/>
        <w:rPr>
          <w:rFonts w:ascii="黑体" w:hAnsi="黑体" w:eastAsia="黑体" w:cs="Times New Roman"/>
          <w:b/>
          <w:color w:val="000000" w:themeColor="text1"/>
          <w:sz w:val="28"/>
          <w:szCs w:val="28"/>
          <w:lang w:val="zh-CN"/>
          <w14:textFill>
            <w14:solidFill>
              <w14:schemeClr w14:val="tx1"/>
            </w14:solidFill>
          </w14:textFill>
        </w:rPr>
      </w:pPr>
      <w:bookmarkStart w:id="257" w:name="_Toc511889434"/>
      <w:bookmarkStart w:id="258" w:name="_Toc494561956"/>
      <w:bookmarkStart w:id="259" w:name="_Toc15294"/>
      <w:bookmarkStart w:id="260" w:name="_Toc511894512"/>
      <w:r>
        <w:rPr>
          <w:rFonts w:hint="eastAsia" w:ascii="黑体" w:hAnsi="黑体" w:eastAsia="黑体" w:cs="Times New Roman"/>
          <w:b/>
          <w:color w:val="000000" w:themeColor="text1"/>
          <w:sz w:val="28"/>
          <w:szCs w:val="28"/>
          <w:lang w:val="zh-CN"/>
          <w14:textFill>
            <w14:solidFill>
              <w14:schemeClr w14:val="tx1"/>
            </w14:solidFill>
          </w14:textFill>
        </w:rPr>
        <w:t>洗涤项目服务内容：</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b/>
          <w:sz w:val="24"/>
          <w:szCs w:val="24"/>
          <w:lang w:val="zh-CN"/>
        </w:rPr>
        <w:t>1、洗涤服务范围</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广水市第二人民医院所有科室、病区及行管后勤的各种布草的洗涤、下收、下送、拆叠、熨烫等服务项目。</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b/>
          <w:sz w:val="24"/>
          <w:szCs w:val="24"/>
          <w:lang w:val="zh-CN"/>
        </w:rPr>
        <w:t>2、投标企业服务方案：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投标企业服务项目人员构成、洗涤设备明细、洗涤场地、洗涤原料、实施服务的管理规章制度、配送车辆、反映投标企业实力的描述，拟定详实的服务方案。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b/>
          <w:sz w:val="24"/>
          <w:szCs w:val="24"/>
          <w:lang w:val="zh-CN"/>
        </w:rPr>
        <w:t>3、洗涤服务要求</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3.1收送被服</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负责甲方被服的收取和送达，收取和发放时应用专车，污、洁分开，避免污染，收发登记无误，准确率≥99%，特殊天气或特殊情况想办法满足甲方的需要。</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3.2洗涤</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各类布草应分类专锅洗涤，严格按控制感染标准洗涤，洗涤后应洁净无污渍、无洗涤剂残留、PH值≤9，眼观达到洁白（无血渍、无油污）平整。洗涤不净的由乙方二次洗涤。</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3.3干燥</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对经洗涤、消毒后的被服经高温烘干，注意防火，不要烘焦和弄破被服。干燥≥99%，如有损失按合同价格赔偿。</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3.4清理</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干燥后，被服进行烫平、折叠、分类、清点、入库。</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3.5折叠</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各种被服折叠方法正确，便于甲方应用。</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3.6被服</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各种被服、敷料如有裂缝和小洞应及时缝补，缝补平整美观。</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3.7分发</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发放时应及时、准确、无误、不影响使用。</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3.8服务</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应实行文明服务，周到服务，对甲方的反馈意见应及时改正。</w:t>
      </w:r>
    </w:p>
    <w:p>
      <w:pPr>
        <w:numPr>
          <w:ilvl w:val="0"/>
          <w:numId w:val="52"/>
        </w:numPr>
        <w:spacing w:line="360" w:lineRule="auto"/>
        <w:ind w:firstLine="480" w:firstLineChars="200"/>
        <w:rPr>
          <w:rFonts w:ascii="宋体" w:hAnsi="宋体" w:eastAsia="宋体" w:cs="Times New Roman"/>
          <w:b/>
          <w:sz w:val="24"/>
          <w:szCs w:val="24"/>
          <w:lang w:val="zh-CN"/>
        </w:rPr>
      </w:pPr>
      <w:r>
        <w:rPr>
          <w:rFonts w:hint="eastAsia" w:ascii="宋体" w:hAnsi="宋体" w:eastAsia="宋体" w:cs="Times New Roman"/>
          <w:b/>
          <w:sz w:val="24"/>
          <w:szCs w:val="24"/>
          <w:lang w:val="zh-CN"/>
        </w:rPr>
        <w:t>洗涤服务内容：</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服务时间：全年每天必须根据院方需求专业人员到医院定时定点进行收送。</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投标单位负责将需要洗涤的被服等按照医院要求上午8:00—12:00到各科室收取，下午2:00—5:00手术室加收一次，如有特殊情况，随叫随到。按医院要求的时间将洗涤好的物品上午8:00前送到医院指定地点。</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投标单位要建立洗涤被服数量台帐。双方在收取和送达时，共同清点并详细填写清单，双方签字方为有效，涂改无效。医院有权随时核实有关账目。</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医院随时抽查洗涤后的被服质量，对存在的质量问题，医院有权要求投标单位整改，投标单位应在两天内提出整改方案，整改措施应书面告知医院。</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投标单位对传染病及存在有污染的被服应单独包装（或做出明显标记），不得混装。</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对接收的衣物应进行分类，污染的衣物、普通工作服装和婴幼儿衣物等应分类存放，分别洗涤或专机洗涤。</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普通衣物和污染性衣服应在病房内床边或就地进行分类收集并及时密封包装。洗涤机构对衣物进行分拣时应在污染区进行。</w:t>
      </w:r>
      <w:r>
        <w:rPr>
          <w:rFonts w:hint="eastAsia" w:ascii="宋体" w:hAnsi="宋体" w:eastAsia="宋体" w:cs="Times New Roman"/>
          <w:sz w:val="24"/>
          <w:szCs w:val="20"/>
          <w:lang w:val="zh-CN"/>
        </w:rPr>
        <w:br w:type="textWrapping"/>
      </w:r>
      <w:r>
        <w:rPr>
          <w:rFonts w:hint="eastAsia" w:ascii="宋体" w:hAnsi="宋体" w:eastAsia="宋体" w:cs="Times New Roman"/>
          <w:sz w:val="24"/>
          <w:szCs w:val="20"/>
          <w:lang w:val="zh-CN"/>
        </w:rPr>
        <w:t>普通衣物收集：收集普通衣物可使用塑料收集袋或布袋进行包装。普通衣物塑料包装袋不得重复使用；包装布袋一用一洗涤消毒。</w:t>
      </w:r>
      <w:r>
        <w:rPr>
          <w:rFonts w:hint="eastAsia" w:ascii="宋体" w:hAnsi="宋体" w:eastAsia="宋体" w:cs="Times New Roman"/>
          <w:sz w:val="24"/>
          <w:szCs w:val="20"/>
          <w:lang w:val="zh-CN"/>
        </w:rPr>
        <w:br w:type="textWrapping"/>
      </w:r>
      <w:r>
        <w:rPr>
          <w:rFonts w:hint="eastAsia" w:ascii="宋体" w:hAnsi="宋体" w:eastAsia="宋体" w:cs="Times New Roman"/>
          <w:sz w:val="24"/>
          <w:szCs w:val="20"/>
          <w:lang w:val="zh-CN"/>
        </w:rPr>
        <w:t>污染性衣物的收集：收集该类衣物时应使用防漏、防刺穿双层结构的水溶性收集袋，水溶性收集袋连同污染性衣物一起进行消毒清洗。</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洗涤后的洁净衣物交付委托方时，应由委托方验收。验收按国家卫生部门医疗机构衣物洗消规范的相关要求进行，并有记录备查。</w:t>
      </w:r>
    </w:p>
    <w:p>
      <w:pPr>
        <w:numPr>
          <w:ilvl w:val="0"/>
          <w:numId w:val="53"/>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洁净衣物技术要求：衣物外观整洁、不变形，无异味、无水渍、无污垢、无异物、无破损。</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b/>
          <w:sz w:val="24"/>
          <w:szCs w:val="24"/>
        </w:rPr>
        <w:t>5、</w:t>
      </w:r>
      <w:r>
        <w:rPr>
          <w:rFonts w:hint="eastAsia" w:ascii="宋体" w:hAnsi="宋体" w:eastAsia="宋体" w:cs="Times New Roman"/>
          <w:b/>
          <w:sz w:val="24"/>
          <w:szCs w:val="24"/>
          <w:lang w:val="zh-CN"/>
        </w:rPr>
        <w:t>自然破损、掉带、掉扣、脱线要认真提取，单独打包，方便缝补，禁止有问题的物品送到使用科室。</w:t>
      </w:r>
      <w:r>
        <w:rPr>
          <w:rFonts w:hint="eastAsia" w:ascii="宋体" w:hAnsi="宋体" w:eastAsia="宋体" w:cs="Times New Roman"/>
          <w:sz w:val="24"/>
          <w:szCs w:val="20"/>
          <w:lang w:val="zh-CN"/>
        </w:rPr>
        <w:br w:type="textWrapping"/>
      </w:r>
      <w:r>
        <w:rPr>
          <w:rFonts w:hint="eastAsia" w:ascii="宋体" w:hAnsi="宋体" w:eastAsia="宋体" w:cs="Times New Roman"/>
          <w:sz w:val="24"/>
          <w:szCs w:val="20"/>
          <w:lang w:val="en-US" w:eastAsia="zh-CN"/>
        </w:rPr>
        <w:t xml:space="preserve">    </w:t>
      </w:r>
      <w:r>
        <w:rPr>
          <w:rFonts w:hint="eastAsia" w:ascii="宋体" w:hAnsi="宋体" w:eastAsia="宋体" w:cs="Times New Roman"/>
          <w:b/>
          <w:sz w:val="24"/>
          <w:szCs w:val="24"/>
        </w:rPr>
        <w:t>6、</w:t>
      </w:r>
      <w:r>
        <w:rPr>
          <w:rFonts w:hint="eastAsia" w:ascii="宋体" w:hAnsi="宋体" w:eastAsia="宋体" w:cs="Times New Roman"/>
          <w:b/>
          <w:sz w:val="24"/>
          <w:szCs w:val="24"/>
          <w:lang w:val="zh-CN"/>
        </w:rPr>
        <w:t>经营场所说明</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主要内容应包括：</w:t>
      </w:r>
    </w:p>
    <w:p>
      <w:pPr>
        <w:numPr>
          <w:ilvl w:val="0"/>
          <w:numId w:val="54"/>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经营场所地理位置（文字和图形）</w:t>
      </w:r>
    </w:p>
    <w:p>
      <w:pPr>
        <w:numPr>
          <w:ilvl w:val="0"/>
          <w:numId w:val="54"/>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经营场所平面示意图（图形）</w:t>
      </w:r>
    </w:p>
    <w:p>
      <w:pPr>
        <w:numPr>
          <w:ilvl w:val="0"/>
          <w:numId w:val="54"/>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经营场所面积证明（房产证明或租赁合同原件）</w:t>
      </w:r>
    </w:p>
    <w:p>
      <w:pPr>
        <w:numPr>
          <w:ilvl w:val="0"/>
          <w:numId w:val="54"/>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工作服洗涤区域说明（提供现场照片）</w:t>
      </w:r>
    </w:p>
    <w:p>
      <w:pPr>
        <w:numPr>
          <w:ilvl w:val="0"/>
          <w:numId w:val="54"/>
        </w:num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所有洗涤区域全部独立分区说明（提供现场照片）</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b/>
          <w:bCs/>
          <w:sz w:val="24"/>
          <w:szCs w:val="20"/>
          <w:lang w:val="zh-CN"/>
        </w:rPr>
        <w:t>注：投标提供资料如有虚假，经查实立即取消其中标资格（如中标），追究其相关责任。</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b/>
          <w:sz w:val="24"/>
          <w:szCs w:val="24"/>
          <w:lang w:val="zh-CN"/>
        </w:rPr>
        <w:t>附广水市第二人民医院洗涤服务项目清单及拦标价、人员工资（</w:t>
      </w:r>
      <w:r>
        <w:rPr>
          <w:rFonts w:hint="eastAsia" w:ascii="宋体" w:hAnsi="宋体" w:eastAsia="宋体" w:cs="Times New Roman"/>
          <w:b/>
          <w:sz w:val="24"/>
          <w:szCs w:val="24"/>
        </w:rPr>
        <w:t>2</w:t>
      </w:r>
      <w:r>
        <w:rPr>
          <w:rFonts w:hint="eastAsia" w:ascii="宋体" w:hAnsi="宋体" w:eastAsia="宋体" w:cs="Times New Roman"/>
          <w:b/>
          <w:sz w:val="24"/>
          <w:szCs w:val="24"/>
          <w:lang w:val="en-US" w:eastAsia="zh-CN"/>
        </w:rPr>
        <w:t>5.87</w:t>
      </w:r>
      <w:r>
        <w:rPr>
          <w:rFonts w:hint="eastAsia" w:ascii="宋体" w:hAnsi="宋体" w:eastAsia="宋体" w:cs="Times New Roman"/>
          <w:b/>
          <w:sz w:val="24"/>
          <w:szCs w:val="24"/>
          <w:lang w:val="zh-CN"/>
        </w:rPr>
        <w:t>万元）</w:t>
      </w:r>
    </w:p>
    <w:tbl>
      <w:tblPr>
        <w:tblStyle w:val="24"/>
        <w:tblW w:w="0" w:type="auto"/>
        <w:tblInd w:w="78" w:type="dxa"/>
        <w:tblLayout w:type="fixed"/>
        <w:tblCellMar>
          <w:top w:w="0" w:type="dxa"/>
          <w:left w:w="108" w:type="dxa"/>
          <w:bottom w:w="0" w:type="dxa"/>
          <w:right w:w="108" w:type="dxa"/>
        </w:tblCellMar>
      </w:tblPr>
      <w:tblGrid>
        <w:gridCol w:w="1298"/>
        <w:gridCol w:w="2017"/>
        <w:gridCol w:w="2550"/>
        <w:gridCol w:w="2683"/>
      </w:tblGrid>
      <w:tr>
        <w:tblPrEx>
          <w:tblCellMar>
            <w:top w:w="0" w:type="dxa"/>
            <w:left w:w="108" w:type="dxa"/>
            <w:bottom w:w="0" w:type="dxa"/>
            <w:right w:w="108" w:type="dxa"/>
          </w:tblCellMar>
        </w:tblPrEx>
        <w:trPr>
          <w:trHeight w:val="461" w:hRule="atLeast"/>
        </w:trPr>
        <w:tc>
          <w:tcPr>
            <w:tcW w:w="1298"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360" w:lineRule="auto"/>
              <w:jc w:val="center"/>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序号</w:t>
            </w:r>
          </w:p>
        </w:tc>
        <w:tc>
          <w:tcPr>
            <w:tcW w:w="20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360" w:lineRule="auto"/>
              <w:jc w:val="center"/>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品种</w:t>
            </w:r>
          </w:p>
        </w:tc>
        <w:tc>
          <w:tcPr>
            <w:tcW w:w="2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360" w:lineRule="auto"/>
              <w:jc w:val="center"/>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拦标价（元/件）</w:t>
            </w:r>
          </w:p>
        </w:tc>
        <w:tc>
          <w:tcPr>
            <w:tcW w:w="268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spacing w:line="360" w:lineRule="auto"/>
              <w:jc w:val="center"/>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总数量（件）/年</w:t>
            </w:r>
          </w:p>
        </w:tc>
      </w:tr>
      <w:tr>
        <w:tblPrEx>
          <w:tblCellMar>
            <w:top w:w="0" w:type="dxa"/>
            <w:left w:w="108" w:type="dxa"/>
            <w:bottom w:w="0" w:type="dxa"/>
            <w:right w:w="108" w:type="dxa"/>
          </w:tblCellMar>
        </w:tblPrEx>
        <w:trPr>
          <w:trHeight w:val="331"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被套</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18756</w:t>
            </w:r>
          </w:p>
        </w:tc>
      </w:tr>
      <w:tr>
        <w:tblPrEx>
          <w:tblCellMar>
            <w:top w:w="0" w:type="dxa"/>
            <w:left w:w="108" w:type="dxa"/>
            <w:bottom w:w="0" w:type="dxa"/>
            <w:right w:w="108" w:type="dxa"/>
          </w:tblCellMar>
        </w:tblPrEx>
        <w:trPr>
          <w:trHeight w:val="402"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2</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床单</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20345</w:t>
            </w:r>
          </w:p>
        </w:tc>
      </w:tr>
      <w:tr>
        <w:tblPrEx>
          <w:tblCellMar>
            <w:top w:w="0" w:type="dxa"/>
            <w:left w:w="108" w:type="dxa"/>
            <w:bottom w:w="0" w:type="dxa"/>
            <w:right w:w="108" w:type="dxa"/>
          </w:tblCellMar>
        </w:tblPrEx>
        <w:trPr>
          <w:trHeight w:val="50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3</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中单</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3552</w:t>
            </w:r>
          </w:p>
        </w:tc>
      </w:tr>
      <w:tr>
        <w:tblPrEx>
          <w:tblCellMar>
            <w:top w:w="0" w:type="dxa"/>
            <w:left w:w="108" w:type="dxa"/>
            <w:bottom w:w="0" w:type="dxa"/>
            <w:right w:w="108" w:type="dxa"/>
          </w:tblCellMar>
        </w:tblPrEx>
        <w:trPr>
          <w:trHeight w:val="52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4</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长工衣</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5654</w:t>
            </w:r>
          </w:p>
        </w:tc>
      </w:tr>
      <w:tr>
        <w:tblPrEx>
          <w:tblCellMar>
            <w:top w:w="0" w:type="dxa"/>
            <w:left w:w="108" w:type="dxa"/>
            <w:bottom w:w="0" w:type="dxa"/>
            <w:right w:w="108" w:type="dxa"/>
          </w:tblCellMar>
        </w:tblPrEx>
        <w:trPr>
          <w:trHeight w:val="52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5</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枕套/砂袋</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19868</w:t>
            </w:r>
          </w:p>
        </w:tc>
      </w:tr>
      <w:tr>
        <w:tblPrEx>
          <w:tblCellMar>
            <w:top w:w="0" w:type="dxa"/>
            <w:left w:w="108" w:type="dxa"/>
            <w:bottom w:w="0" w:type="dxa"/>
            <w:right w:w="108" w:type="dxa"/>
          </w:tblCellMar>
        </w:tblPrEx>
        <w:trPr>
          <w:trHeight w:val="405"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6</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枕芯</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r>
      <w:tr>
        <w:tblPrEx>
          <w:tblCellMar>
            <w:top w:w="0" w:type="dxa"/>
            <w:left w:w="108" w:type="dxa"/>
            <w:bottom w:w="0" w:type="dxa"/>
            <w:right w:w="108" w:type="dxa"/>
          </w:tblCellMar>
        </w:tblPrEx>
        <w:trPr>
          <w:trHeight w:val="418"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7</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大孔</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2134</w:t>
            </w:r>
          </w:p>
        </w:tc>
      </w:tr>
      <w:tr>
        <w:tblPrEx>
          <w:tblCellMar>
            <w:top w:w="0" w:type="dxa"/>
            <w:left w:w="108" w:type="dxa"/>
            <w:bottom w:w="0" w:type="dxa"/>
            <w:right w:w="108" w:type="dxa"/>
          </w:tblCellMar>
        </w:tblPrEx>
        <w:trPr>
          <w:trHeight w:val="352"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8</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中孔</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910</w:t>
            </w:r>
          </w:p>
        </w:tc>
      </w:tr>
      <w:tr>
        <w:tblPrEx>
          <w:tblCellMar>
            <w:top w:w="0" w:type="dxa"/>
            <w:left w:w="108" w:type="dxa"/>
            <w:bottom w:w="0" w:type="dxa"/>
            <w:right w:w="108" w:type="dxa"/>
          </w:tblCellMar>
        </w:tblPrEx>
        <w:trPr>
          <w:trHeight w:val="52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9</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小孔</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648</w:t>
            </w:r>
          </w:p>
        </w:tc>
      </w:tr>
      <w:tr>
        <w:tblPrEx>
          <w:tblCellMar>
            <w:top w:w="0" w:type="dxa"/>
            <w:left w:w="108" w:type="dxa"/>
            <w:bottom w:w="0" w:type="dxa"/>
            <w:right w:w="108" w:type="dxa"/>
          </w:tblCellMar>
        </w:tblPrEx>
        <w:trPr>
          <w:trHeight w:val="52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10</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短工衣</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3000</w:t>
            </w:r>
          </w:p>
        </w:tc>
      </w:tr>
      <w:tr>
        <w:tblPrEx>
          <w:tblCellMar>
            <w:top w:w="0" w:type="dxa"/>
            <w:left w:w="108" w:type="dxa"/>
            <w:bottom w:w="0" w:type="dxa"/>
            <w:right w:w="108" w:type="dxa"/>
          </w:tblCellMar>
        </w:tblPrEx>
        <w:trPr>
          <w:trHeight w:val="54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11</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短工裤</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2620</w:t>
            </w:r>
          </w:p>
        </w:tc>
      </w:tr>
      <w:tr>
        <w:tblPrEx>
          <w:tblCellMar>
            <w:top w:w="0" w:type="dxa"/>
            <w:left w:w="108" w:type="dxa"/>
            <w:bottom w:w="0" w:type="dxa"/>
            <w:right w:w="108" w:type="dxa"/>
          </w:tblCellMar>
        </w:tblPrEx>
        <w:trPr>
          <w:trHeight w:val="52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12</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内层</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r>
      <w:tr>
        <w:tblPrEx>
          <w:tblCellMar>
            <w:top w:w="0" w:type="dxa"/>
            <w:left w:w="108" w:type="dxa"/>
            <w:bottom w:w="0" w:type="dxa"/>
            <w:right w:w="108" w:type="dxa"/>
          </w:tblCellMar>
        </w:tblPrEx>
        <w:trPr>
          <w:trHeight w:val="50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13</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外层</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r>
      <w:tr>
        <w:tblPrEx>
          <w:tblCellMar>
            <w:top w:w="0" w:type="dxa"/>
            <w:left w:w="108" w:type="dxa"/>
            <w:bottom w:w="0" w:type="dxa"/>
            <w:right w:w="108" w:type="dxa"/>
          </w:tblCellMar>
        </w:tblPrEx>
        <w:trPr>
          <w:trHeight w:val="46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14</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手术衣/患服</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4086</w:t>
            </w:r>
          </w:p>
        </w:tc>
      </w:tr>
      <w:tr>
        <w:tblPrEx>
          <w:tblCellMar>
            <w:top w:w="0" w:type="dxa"/>
            <w:left w:w="108" w:type="dxa"/>
            <w:bottom w:w="0" w:type="dxa"/>
            <w:right w:w="108" w:type="dxa"/>
          </w:tblCellMar>
        </w:tblPrEx>
        <w:trPr>
          <w:trHeight w:val="48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15</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洗手衣</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5775</w:t>
            </w:r>
          </w:p>
        </w:tc>
      </w:tr>
      <w:tr>
        <w:tblPrEx>
          <w:tblCellMar>
            <w:top w:w="0" w:type="dxa"/>
            <w:left w:w="108" w:type="dxa"/>
            <w:bottom w:w="0" w:type="dxa"/>
            <w:right w:w="108" w:type="dxa"/>
          </w:tblCellMar>
        </w:tblPrEx>
        <w:trPr>
          <w:trHeight w:val="54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16</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洗手裤</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5775</w:t>
            </w:r>
          </w:p>
        </w:tc>
      </w:tr>
      <w:tr>
        <w:tblPrEx>
          <w:tblCellMar>
            <w:top w:w="0" w:type="dxa"/>
            <w:left w:w="108" w:type="dxa"/>
            <w:bottom w:w="0" w:type="dxa"/>
            <w:right w:w="108" w:type="dxa"/>
          </w:tblCellMar>
        </w:tblPrEx>
        <w:trPr>
          <w:trHeight w:val="48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17</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小巾/氧气袋</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4156</w:t>
            </w:r>
          </w:p>
        </w:tc>
      </w:tr>
      <w:tr>
        <w:tblPrEx>
          <w:tblCellMar>
            <w:top w:w="0" w:type="dxa"/>
            <w:left w:w="108" w:type="dxa"/>
            <w:bottom w:w="0" w:type="dxa"/>
            <w:right w:w="108" w:type="dxa"/>
          </w:tblCellMar>
        </w:tblPrEx>
        <w:trPr>
          <w:trHeight w:val="520"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18</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棉被絮/垫絮</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r>
      <w:tr>
        <w:tblPrEx>
          <w:tblCellMar>
            <w:top w:w="0" w:type="dxa"/>
            <w:left w:w="108" w:type="dxa"/>
            <w:bottom w:w="0" w:type="dxa"/>
            <w:right w:w="108" w:type="dxa"/>
          </w:tblCellMar>
        </w:tblPrEx>
        <w:trPr>
          <w:trHeight w:val="425"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19</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窗帘/床帘</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193</w:t>
            </w:r>
          </w:p>
        </w:tc>
      </w:tr>
      <w:tr>
        <w:tblPrEx>
          <w:tblCellMar>
            <w:top w:w="0" w:type="dxa"/>
            <w:left w:w="108" w:type="dxa"/>
            <w:bottom w:w="0" w:type="dxa"/>
            <w:right w:w="108" w:type="dxa"/>
          </w:tblCellMar>
        </w:tblPrEx>
        <w:trPr>
          <w:trHeight w:val="298" w:hRule="atLeast"/>
        </w:trPr>
        <w:tc>
          <w:tcPr>
            <w:tcW w:w="1298"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hint="default" w:ascii="宋体" w:hAnsi="宋体" w:eastAsia="宋体" w:cs="Times New Roman"/>
                <w:color w:val="000000" w:themeColor="text1"/>
                <w:sz w:val="24"/>
                <w:szCs w:val="20"/>
                <w:lang w:val="en-US" w:eastAsia="zh-CN"/>
                <w14:textFill>
                  <w14:solidFill>
                    <w14:schemeClr w14:val="tx1"/>
                  </w14:solidFill>
                </w14:textFill>
              </w:rPr>
            </w:pPr>
            <w:r>
              <w:rPr>
                <w:rFonts w:hint="eastAsia" w:ascii="宋体" w:hAnsi="宋体" w:eastAsia="宋体" w:cs="Times New Roman"/>
                <w:color w:val="000000" w:themeColor="text1"/>
                <w:sz w:val="24"/>
                <w:szCs w:val="20"/>
                <w:lang w:val="en-US" w:eastAsia="zh-CN"/>
                <w14:textFill>
                  <w14:solidFill>
                    <w14:schemeClr w14:val="tx1"/>
                  </w14:solidFill>
                </w14:textFill>
              </w:rPr>
              <w:t>20</w:t>
            </w:r>
          </w:p>
        </w:tc>
        <w:tc>
          <w:tcPr>
            <w:tcW w:w="2017"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kern w:val="2"/>
                <w:sz w:val="24"/>
                <w:szCs w:val="20"/>
                <w:lang w:val="zh-CN" w:eastAsia="zh-CN" w:bidi="ar-SA"/>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收发员工资</w:t>
            </w:r>
          </w:p>
        </w:tc>
        <w:tc>
          <w:tcPr>
            <w:tcW w:w="2550"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kern w:val="2"/>
                <w:sz w:val="24"/>
                <w:szCs w:val="20"/>
                <w:lang w:val="zh-CN" w:eastAsia="zh-CN" w:bidi="ar-SA"/>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2000元/月</w:t>
            </w:r>
          </w:p>
        </w:tc>
        <w:tc>
          <w:tcPr>
            <w:tcW w:w="2683"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宋体" w:hAnsi="宋体" w:eastAsia="宋体" w:cs="Times New Roman"/>
                <w:color w:val="000000" w:themeColor="text1"/>
                <w:kern w:val="2"/>
                <w:sz w:val="24"/>
                <w:szCs w:val="20"/>
                <w:lang w:val="zh-CN" w:eastAsia="zh-CN" w:bidi="ar-SA"/>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12个月</w:t>
            </w:r>
          </w:p>
        </w:tc>
      </w:tr>
    </w:tbl>
    <w:p>
      <w:pPr>
        <w:pStyle w:val="4"/>
        <w:numPr>
          <w:ilvl w:val="0"/>
          <w:numId w:val="32"/>
        </w:numPr>
        <w:spacing w:before="0" w:after="0" w:line="360" w:lineRule="auto"/>
        <w:ind w:left="616" w:hanging="616"/>
        <w:jc w:val="left"/>
        <w:rPr>
          <w:rFonts w:cs="Times New Roman" w:asciiTheme="majorEastAsia" w:hAnsiTheme="majorEastAsia"/>
          <w:bCs w:val="0"/>
          <w:sz w:val="30"/>
          <w:szCs w:val="30"/>
        </w:rPr>
      </w:pPr>
      <w:r>
        <w:rPr>
          <w:rFonts w:hint="eastAsia" w:cs="Times New Roman" w:asciiTheme="majorEastAsia" w:hAnsiTheme="majorEastAsia"/>
          <w:bCs w:val="0"/>
          <w:sz w:val="30"/>
          <w:szCs w:val="30"/>
        </w:rPr>
        <w:t>商务要求</w:t>
      </w:r>
      <w:bookmarkEnd w:id="257"/>
      <w:bookmarkEnd w:id="258"/>
      <w:bookmarkEnd w:id="259"/>
      <w:bookmarkEnd w:id="260"/>
    </w:p>
    <w:p>
      <w:pPr>
        <w:spacing w:line="360" w:lineRule="auto"/>
        <w:ind w:left="716" w:hanging="712" w:hangingChars="297"/>
        <w:rPr>
          <w:rFonts w:ascii="宋体" w:hAnsi="宋体" w:cs="宋体"/>
          <w:b/>
          <w:color w:val="000000"/>
          <w:sz w:val="24"/>
          <w:szCs w:val="24"/>
        </w:rPr>
      </w:pPr>
      <w:r>
        <w:rPr>
          <w:rFonts w:hint="eastAsia" w:ascii="宋体" w:hAnsi="宋体" w:eastAsia="宋体" w:cs="宋体"/>
          <w:b/>
          <w:color w:val="000000"/>
          <w:sz w:val="24"/>
          <w:szCs w:val="24"/>
        </w:rPr>
        <w:t>说明：</w:t>
      </w:r>
      <w:r>
        <w:rPr>
          <w:rFonts w:hint="eastAsia" w:ascii="宋体" w:hAnsi="宋体" w:eastAsia="宋体" w:cs="宋体"/>
          <w:b/>
          <w:sz w:val="24"/>
          <w:szCs w:val="24"/>
        </w:rPr>
        <w:t>1）</w:t>
      </w:r>
      <w:r>
        <w:rPr>
          <w:rFonts w:hint="eastAsia" w:ascii="宋体" w:hAnsi="宋体" w:cs="宋体"/>
          <w:color w:val="000000"/>
          <w:sz w:val="24"/>
          <w:szCs w:val="24"/>
        </w:rPr>
        <w:t>投标人在投标文件《</w:t>
      </w:r>
      <w:r>
        <w:rPr>
          <w:rFonts w:hint="eastAsia" w:ascii="宋体" w:hAnsi="宋体" w:cs="仿宋_GB2312"/>
          <w:sz w:val="24"/>
          <w:szCs w:val="24"/>
        </w:rPr>
        <w:t>商务要求响应、偏离说明表</w:t>
      </w:r>
      <w:r>
        <w:rPr>
          <w:rFonts w:hint="eastAsia" w:ascii="宋体" w:hAnsi="宋体" w:cs="宋体"/>
          <w:color w:val="000000"/>
          <w:sz w:val="24"/>
          <w:szCs w:val="24"/>
        </w:rPr>
        <w:t>》中未对以下商务要求逐条说明响应或偏离情况的，其投标按照</w:t>
      </w:r>
      <w:r>
        <w:rPr>
          <w:rFonts w:hint="eastAsia" w:ascii="宋体" w:hAnsi="宋体" w:cs="宋体"/>
          <w:b/>
          <w:color w:val="000000"/>
          <w:sz w:val="24"/>
          <w:szCs w:val="24"/>
        </w:rPr>
        <w:t>无效投标处理。</w:t>
      </w:r>
    </w:p>
    <w:p>
      <w:pPr>
        <w:spacing w:line="360" w:lineRule="auto"/>
        <w:ind w:left="287" w:leftChars="137" w:firstLine="480" w:firstLineChars="200"/>
        <w:rPr>
          <w:rFonts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sz w:val="24"/>
          <w:szCs w:val="24"/>
        </w:rPr>
        <w:t>下表中标注有“△”号的条款，为</w:t>
      </w:r>
      <w:r>
        <w:rPr>
          <w:rFonts w:hint="eastAsia" w:ascii="仿宋" w:hAnsi="仿宋" w:eastAsia="仿宋" w:cs="宋体"/>
          <w:b/>
          <w:sz w:val="24"/>
          <w:szCs w:val="24"/>
        </w:rPr>
        <w:t>第五章“三、评审因素及评分标准”</w:t>
      </w:r>
      <w:r>
        <w:rPr>
          <w:rFonts w:hint="eastAsia" w:ascii="宋体" w:hAnsi="宋体" w:eastAsia="宋体" w:cs="宋体"/>
          <w:sz w:val="24"/>
          <w:szCs w:val="24"/>
        </w:rPr>
        <w:t>中的评分内容。</w:t>
      </w:r>
    </w:p>
    <w:tbl>
      <w:tblPr>
        <w:tblStyle w:val="24"/>
        <w:tblW w:w="953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386"/>
        <w:gridCol w:w="6929"/>
        <w:gridCol w:w="56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pct10" w:color="auto" w:fill="auto"/>
            <w:vAlign w:val="center"/>
          </w:tcPr>
          <w:p>
            <w:pPr>
              <w:spacing w:line="360" w:lineRule="exact"/>
              <w:ind w:left="-56" w:leftChars="-27" w:right="-77" w:rightChars="-37"/>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1386" w:type="dxa"/>
            <w:shd w:val="pct10" w:color="auto" w:fill="auto"/>
            <w:vAlign w:val="center"/>
          </w:tcPr>
          <w:p>
            <w:pPr>
              <w:widowControl/>
              <w:spacing w:line="360" w:lineRule="exac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商务条款</w:t>
            </w:r>
          </w:p>
        </w:tc>
        <w:tc>
          <w:tcPr>
            <w:tcW w:w="6929" w:type="dxa"/>
            <w:shd w:val="pct10" w:color="auto" w:fill="auto"/>
            <w:vAlign w:val="center"/>
          </w:tcPr>
          <w:p>
            <w:pPr>
              <w:spacing w:line="360" w:lineRule="exact"/>
              <w:ind w:left="-92" w:leftChars="-44" w:right="-77" w:rightChars="-37"/>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内    容</w:t>
            </w:r>
          </w:p>
        </w:tc>
        <w:tc>
          <w:tcPr>
            <w:tcW w:w="560" w:type="dxa"/>
            <w:shd w:val="pct10" w:color="auto" w:fill="auto"/>
            <w:vAlign w:val="center"/>
          </w:tcPr>
          <w:p>
            <w:pPr>
              <w:spacing w:line="280" w:lineRule="exact"/>
              <w:ind w:left="-107" w:leftChars="-51" w:right="-107" w:rightChars="-51"/>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w:t>
            </w:r>
            <w:r>
              <w:rPr>
                <w:rFonts w:hint="eastAsia" w:ascii="宋体" w:hAnsi="宋体"/>
                <w:b/>
                <w:color w:val="000000" w:themeColor="text1"/>
                <w:sz w:val="24"/>
                <w:szCs w:val="24"/>
                <w14:textFill>
                  <w14:solidFill>
                    <w14:schemeClr w14:val="tx1"/>
                  </w14:solidFill>
                </w14:textFill>
              </w:rPr>
              <w:t>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284"/>
                <w:tab w:val="left" w:pos="409"/>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其他要求</w:t>
            </w:r>
          </w:p>
        </w:tc>
        <w:tc>
          <w:tcPr>
            <w:tcW w:w="6929" w:type="dxa"/>
            <w:shd w:val="clear" w:color="auto" w:fill="auto"/>
            <w:vAlign w:val="center"/>
          </w:tcPr>
          <w:p>
            <w:pPr>
              <w:tabs>
                <w:tab w:val="left" w:pos="351"/>
                <w:tab w:val="left" w:pos="690"/>
              </w:tabs>
              <w:ind w:left="86" w:right="-50" w:rightChars="-24"/>
              <w:jc w:val="left"/>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中标方必须给保洁人员购买意外伤害险。</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restart"/>
            <w:shd w:val="clear" w:color="auto" w:fill="auto"/>
            <w:vAlign w:val="center"/>
          </w:tcPr>
          <w:p>
            <w:pPr>
              <w:ind w:left="-56" w:leftChars="-27" w:right="-77" w:rightChars="-37"/>
              <w:jc w:val="center"/>
              <w:rPr>
                <w:rFonts w:ascii="宋体" w:hAnsi="宋体"/>
                <w:b/>
                <w:sz w:val="24"/>
                <w:szCs w:val="24"/>
              </w:rPr>
            </w:pPr>
            <w:r>
              <w:rPr>
                <w:rFonts w:hint="eastAsia" w:ascii="宋体" w:hAnsi="宋体"/>
                <w:b/>
                <w:sz w:val="24"/>
              </w:rPr>
              <w:t>项目经理</w:t>
            </w:r>
            <w:r>
              <w:rPr>
                <w:rFonts w:hint="eastAsia" w:ascii="宋体" w:hAnsi="宋体"/>
                <w:b/>
                <w:sz w:val="24"/>
                <w:lang w:eastAsia="zh-CN"/>
              </w:rPr>
              <w:t>、主管</w:t>
            </w:r>
            <w:r>
              <w:rPr>
                <w:rFonts w:hint="eastAsia" w:ascii="宋体" w:hAnsi="宋体"/>
                <w:b/>
                <w:sz w:val="24"/>
              </w:rPr>
              <w:t>业绩</w:t>
            </w:r>
          </w:p>
        </w:tc>
        <w:tc>
          <w:tcPr>
            <w:tcW w:w="6929" w:type="dxa"/>
            <w:shd w:val="clear" w:color="auto" w:fill="auto"/>
            <w:vAlign w:val="center"/>
          </w:tcPr>
          <w:p>
            <w:pPr>
              <w:keepNext/>
              <w:tabs>
                <w:tab w:val="left" w:pos="351"/>
                <w:tab w:val="left" w:pos="690"/>
              </w:tabs>
              <w:ind w:left="86" w:right="-50" w:rightChars="-24"/>
              <w:jc w:val="left"/>
              <w:rPr>
                <w:rFonts w:ascii="宋体" w:hAnsi="宋体" w:cs="仿宋_GB2312"/>
                <w:sz w:val="24"/>
                <w:szCs w:val="24"/>
              </w:rPr>
            </w:pPr>
            <w:r>
              <w:rPr>
                <w:rFonts w:hint="eastAsia" w:ascii="宋体" w:hAnsi="宋体" w:cs="宋体"/>
                <w:sz w:val="24"/>
              </w:rPr>
              <w:t>拟派项目经理</w:t>
            </w:r>
            <w:r>
              <w:rPr>
                <w:rFonts w:hint="eastAsia" w:ascii="宋体" w:hAnsi="宋体" w:cs="宋体"/>
                <w:sz w:val="24"/>
                <w:lang w:eastAsia="zh-CN"/>
              </w:rPr>
              <w:t>、主管</w:t>
            </w:r>
            <w:r>
              <w:rPr>
                <w:rFonts w:hint="eastAsia" w:ascii="宋体" w:hAnsi="宋体" w:cs="宋体"/>
                <w:sz w:val="24"/>
              </w:rPr>
              <w:t>45周岁以下，</w:t>
            </w:r>
            <w:r>
              <w:rPr>
                <w:rFonts w:hint="eastAsia" w:ascii="宋体" w:hAnsi="宋体"/>
                <w:sz w:val="24"/>
              </w:rPr>
              <w:t>需熟悉消防知识和消防系统工作原理。</w:t>
            </w:r>
          </w:p>
        </w:tc>
        <w:tc>
          <w:tcPr>
            <w:tcW w:w="560" w:type="dxa"/>
            <w:shd w:val="clear" w:color="auto" w:fill="auto"/>
            <w:vAlign w:val="center"/>
          </w:tcPr>
          <w:p>
            <w:pPr>
              <w:keepNext/>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ascii="宋体" w:hAnsi="宋体"/>
                <w:b/>
                <w:sz w:val="24"/>
                <w:szCs w:val="24"/>
              </w:rPr>
            </w:pPr>
          </w:p>
        </w:tc>
        <w:tc>
          <w:tcPr>
            <w:tcW w:w="6929" w:type="dxa"/>
            <w:shd w:val="clear" w:color="auto" w:fill="auto"/>
            <w:vAlign w:val="center"/>
          </w:tcPr>
          <w:p>
            <w:pPr>
              <w:keepNext/>
              <w:tabs>
                <w:tab w:val="left" w:pos="351"/>
                <w:tab w:val="left" w:pos="690"/>
              </w:tabs>
              <w:ind w:left="86" w:right="-50" w:rightChars="-24"/>
              <w:jc w:val="left"/>
              <w:rPr>
                <w:rFonts w:ascii="宋体" w:hAnsi="宋体" w:cs="仿宋_GB2312"/>
                <w:sz w:val="24"/>
                <w:szCs w:val="24"/>
              </w:rPr>
            </w:pPr>
            <w:r>
              <w:rPr>
                <w:rFonts w:hint="eastAsia" w:ascii="宋体" w:hAnsi="宋体" w:cs="宋体"/>
                <w:sz w:val="24"/>
              </w:rPr>
              <w:t>拟派项目</w:t>
            </w:r>
            <w:r>
              <w:rPr>
                <w:rFonts w:hint="eastAsia" w:ascii="宋体" w:hAnsi="宋体" w:cs="宋体"/>
                <w:sz w:val="24"/>
                <w:lang w:eastAsia="zh-CN"/>
              </w:rPr>
              <w:t>经理</w:t>
            </w:r>
            <w:r>
              <w:rPr>
                <w:rFonts w:hint="eastAsia" w:ascii="宋体" w:hAnsi="宋体" w:cs="宋体"/>
                <w:sz w:val="24"/>
              </w:rPr>
              <w:t>45周岁以下，从业年限达到</w:t>
            </w:r>
            <w:r>
              <w:rPr>
                <w:rFonts w:hint="eastAsia" w:ascii="宋体" w:hAnsi="宋体" w:cs="宋体"/>
                <w:sz w:val="24"/>
                <w:lang w:eastAsia="zh-CN"/>
              </w:rPr>
              <w:t>二</w:t>
            </w:r>
            <w:r>
              <w:rPr>
                <w:rFonts w:hint="eastAsia" w:ascii="宋体" w:hAnsi="宋体" w:cs="宋体"/>
                <w:sz w:val="24"/>
              </w:rPr>
              <w:t>年以上且有企业管理工作经验。</w:t>
            </w:r>
          </w:p>
        </w:tc>
        <w:tc>
          <w:tcPr>
            <w:tcW w:w="560" w:type="dxa"/>
            <w:shd w:val="clear" w:color="auto" w:fill="auto"/>
            <w:vAlign w:val="center"/>
          </w:tcPr>
          <w:p>
            <w:pPr>
              <w:keepNext/>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ascii="宋体" w:hAnsi="宋体"/>
                <w:b/>
                <w:sz w:val="24"/>
                <w:szCs w:val="24"/>
              </w:rPr>
            </w:pPr>
          </w:p>
        </w:tc>
        <w:tc>
          <w:tcPr>
            <w:tcW w:w="6929" w:type="dxa"/>
            <w:shd w:val="clear" w:color="auto" w:fill="auto"/>
            <w:vAlign w:val="center"/>
          </w:tcPr>
          <w:p>
            <w:pPr>
              <w:keepNext/>
              <w:tabs>
                <w:tab w:val="left" w:pos="351"/>
                <w:tab w:val="left" w:pos="690"/>
              </w:tabs>
              <w:ind w:left="86" w:right="-50" w:rightChars="-24"/>
              <w:jc w:val="left"/>
              <w:rPr>
                <w:rFonts w:ascii="宋体" w:hAnsi="宋体" w:cs="仿宋_GB2312"/>
                <w:sz w:val="24"/>
                <w:szCs w:val="24"/>
              </w:rPr>
            </w:pPr>
            <w:r>
              <w:rPr>
                <w:rFonts w:hint="eastAsia" w:ascii="宋体" w:hAnsi="宋体" w:cs="宋体"/>
                <w:sz w:val="24"/>
              </w:rPr>
              <w:t>拟派项目</w:t>
            </w:r>
            <w:r>
              <w:rPr>
                <w:rFonts w:hint="eastAsia" w:ascii="宋体" w:hAnsi="宋体" w:cs="宋体"/>
                <w:sz w:val="24"/>
                <w:lang w:eastAsia="zh-CN"/>
              </w:rPr>
              <w:t>主管</w:t>
            </w:r>
            <w:r>
              <w:rPr>
                <w:rFonts w:hint="eastAsia" w:ascii="宋体" w:hAnsi="宋体" w:cs="宋体"/>
                <w:sz w:val="24"/>
              </w:rPr>
              <w:t>45周岁以下，有</w:t>
            </w:r>
            <w:r>
              <w:rPr>
                <w:rFonts w:hint="eastAsia" w:ascii="宋体" w:hAnsi="宋体" w:cs="宋体"/>
                <w:sz w:val="24"/>
                <w:lang w:eastAsia="zh-CN"/>
              </w:rPr>
              <w:t>二</w:t>
            </w:r>
            <w:r>
              <w:rPr>
                <w:rFonts w:hint="eastAsia" w:ascii="宋体" w:hAnsi="宋体"/>
                <w:sz w:val="24"/>
              </w:rPr>
              <w:t>年及以上保洁服务工作经验。</w:t>
            </w:r>
            <w:r>
              <w:rPr>
                <w:rFonts w:hint="eastAsia" w:ascii="宋体" w:hAnsi="宋体"/>
                <w:b/>
                <w:sz w:val="24"/>
              </w:rPr>
              <w:t>（以合同彩色影印件加盖公章为准）。</w:t>
            </w:r>
          </w:p>
        </w:tc>
        <w:tc>
          <w:tcPr>
            <w:tcW w:w="560" w:type="dxa"/>
            <w:shd w:val="clear" w:color="auto" w:fill="auto"/>
            <w:vAlign w:val="center"/>
          </w:tcPr>
          <w:p>
            <w:pPr>
              <w:keepNext/>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9"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restart"/>
            <w:shd w:val="clear" w:color="auto" w:fill="auto"/>
            <w:vAlign w:val="center"/>
          </w:tcPr>
          <w:p>
            <w:pPr>
              <w:tabs>
                <w:tab w:val="left" w:pos="379"/>
              </w:tabs>
              <w:ind w:left="-56" w:leftChars="-27" w:right="-77" w:rightChars="-37"/>
              <w:jc w:val="center"/>
              <w:rPr>
                <w:rFonts w:hint="eastAsia" w:ascii="宋体" w:hAnsi="宋体" w:eastAsiaTheme="minorEastAsia"/>
                <w:b/>
                <w:sz w:val="24"/>
                <w:szCs w:val="24"/>
                <w:lang w:eastAsia="zh-CN"/>
              </w:rPr>
            </w:pPr>
            <w:r>
              <w:rPr>
                <w:rFonts w:hint="eastAsia" w:ascii="宋体" w:hAnsi="宋体"/>
                <w:b/>
                <w:sz w:val="24"/>
                <w:szCs w:val="24"/>
                <w:lang w:val="zh-CN" w:eastAsia="zh-CN"/>
              </w:rPr>
              <w:t>企业业绩</w:t>
            </w:r>
          </w:p>
        </w:tc>
        <w:tc>
          <w:tcPr>
            <w:tcW w:w="6929" w:type="dxa"/>
            <w:shd w:val="clear" w:color="auto" w:fill="auto"/>
            <w:vAlign w:val="center"/>
          </w:tcPr>
          <w:p>
            <w:pPr>
              <w:keepNext/>
              <w:tabs>
                <w:tab w:val="left" w:pos="351"/>
                <w:tab w:val="left" w:pos="690"/>
              </w:tabs>
              <w:ind w:left="86" w:right="-50" w:rightChars="-24"/>
              <w:jc w:val="left"/>
              <w:rPr>
                <w:rFonts w:hint="eastAsia" w:ascii="宋体" w:hAnsi="宋体" w:cs="宋体" w:eastAsiaTheme="minorEastAsia"/>
                <w:sz w:val="24"/>
                <w:lang w:eastAsia="zh-CN"/>
              </w:rPr>
            </w:pPr>
            <w:r>
              <w:rPr>
                <w:rFonts w:hint="eastAsia" w:ascii="宋体" w:hAnsi="宋体" w:cs="宋体"/>
                <w:sz w:val="24"/>
              </w:rPr>
              <w:t>近三年有二级医院或二级以上医院保洁服务类似业绩</w:t>
            </w:r>
            <w:r>
              <w:rPr>
                <w:rFonts w:hint="eastAsia" w:ascii="宋体" w:hAnsi="宋体" w:cs="宋体"/>
                <w:sz w:val="24"/>
                <w:lang w:eastAsia="zh-CN"/>
              </w:rPr>
              <w:t>。</w:t>
            </w:r>
          </w:p>
        </w:tc>
        <w:tc>
          <w:tcPr>
            <w:tcW w:w="560" w:type="dxa"/>
            <w:shd w:val="clear" w:color="auto" w:fill="auto"/>
            <w:vAlign w:val="center"/>
          </w:tcPr>
          <w:p>
            <w:pPr>
              <w:keepNext/>
              <w:ind w:left="-56" w:leftChars="-27" w:right="-77" w:rightChars="-37"/>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ascii="宋体" w:hAnsi="宋体"/>
                <w:b/>
                <w:sz w:val="24"/>
                <w:szCs w:val="24"/>
              </w:rPr>
            </w:pPr>
          </w:p>
        </w:tc>
        <w:tc>
          <w:tcPr>
            <w:tcW w:w="6929" w:type="dxa"/>
            <w:shd w:val="clear" w:color="auto" w:fill="auto"/>
            <w:vAlign w:val="center"/>
          </w:tcPr>
          <w:p>
            <w:pPr>
              <w:keepNext/>
              <w:tabs>
                <w:tab w:val="left" w:pos="351"/>
                <w:tab w:val="left" w:pos="690"/>
              </w:tabs>
              <w:ind w:left="86" w:right="-50" w:rightChars="-24"/>
              <w:jc w:val="left"/>
              <w:rPr>
                <w:rFonts w:hint="eastAsia" w:ascii="宋体" w:hAnsi="宋体" w:cs="宋体" w:eastAsiaTheme="minorEastAsia"/>
                <w:sz w:val="24"/>
                <w:lang w:eastAsia="zh-CN"/>
              </w:rPr>
            </w:pPr>
            <w:r>
              <w:rPr>
                <w:rFonts w:hint="eastAsia" w:ascii="宋体" w:hAnsi="宋体" w:cs="宋体"/>
                <w:sz w:val="24"/>
              </w:rPr>
              <w:t>近三年有医院洗涤服务类似业绩</w:t>
            </w:r>
            <w:r>
              <w:rPr>
                <w:rFonts w:hint="eastAsia" w:ascii="宋体" w:hAnsi="宋体" w:cs="宋体"/>
                <w:sz w:val="24"/>
                <w:lang w:eastAsia="zh-CN"/>
              </w:rPr>
              <w:t>。</w:t>
            </w:r>
          </w:p>
        </w:tc>
        <w:tc>
          <w:tcPr>
            <w:tcW w:w="560" w:type="dxa"/>
            <w:shd w:val="clear" w:color="auto" w:fill="auto"/>
            <w:vAlign w:val="center"/>
          </w:tcPr>
          <w:p>
            <w:pPr>
              <w:keepNext/>
              <w:ind w:left="-56" w:leftChars="-27" w:right="-77" w:rightChars="-37"/>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restart"/>
            <w:shd w:val="clear" w:color="auto" w:fill="auto"/>
            <w:vAlign w:val="center"/>
          </w:tcPr>
          <w:p>
            <w:pPr>
              <w:ind w:left="-56" w:leftChars="-27" w:right="-77" w:rightChars="-37"/>
              <w:jc w:val="center"/>
              <w:rPr>
                <w:rFonts w:ascii="宋体" w:hAnsi="宋体"/>
                <w:b/>
                <w:sz w:val="24"/>
                <w:szCs w:val="24"/>
              </w:rPr>
            </w:pPr>
            <w:r>
              <w:rPr>
                <w:rFonts w:hint="eastAsia" w:ascii="宋体" w:hAnsi="宋体"/>
                <w:b/>
                <w:sz w:val="24"/>
                <w:szCs w:val="24"/>
              </w:rPr>
              <w:t>相关类似经验及评价</w:t>
            </w:r>
          </w:p>
        </w:tc>
        <w:tc>
          <w:tcPr>
            <w:tcW w:w="6929" w:type="dxa"/>
            <w:shd w:val="clear" w:color="auto" w:fill="auto"/>
            <w:vAlign w:val="center"/>
          </w:tcPr>
          <w:p>
            <w:pPr>
              <w:contextualSpacing/>
              <w:rPr>
                <w:rFonts w:ascii="宋体" w:hAnsi="宋体" w:cs="仿宋_GB2312"/>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投标人近两年服务过类似项目并获得服务单位好评1次；2次；3次含以上。</w:t>
            </w:r>
          </w:p>
        </w:tc>
        <w:tc>
          <w:tcPr>
            <w:tcW w:w="560" w:type="dxa"/>
            <w:shd w:val="clear" w:color="auto" w:fill="auto"/>
            <w:vAlign w:val="center"/>
          </w:tcPr>
          <w:p>
            <w:pPr>
              <w:keepNext/>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ascii="宋体" w:hAnsi="宋体"/>
                <w:b/>
                <w:sz w:val="24"/>
                <w:szCs w:val="24"/>
              </w:rPr>
            </w:pPr>
          </w:p>
        </w:tc>
        <w:tc>
          <w:tcPr>
            <w:tcW w:w="6929" w:type="dxa"/>
            <w:shd w:val="clear" w:color="auto" w:fill="auto"/>
            <w:vAlign w:val="center"/>
          </w:tcPr>
          <w:p>
            <w:pPr>
              <w:contextualSpacing/>
              <w:rPr>
                <w:rFonts w:ascii="宋体" w:hAnsi="宋体"/>
                <w:color w:val="000000" w:themeColor="text1"/>
                <w:sz w:val="24"/>
                <w14:textFill>
                  <w14:solidFill>
                    <w14:schemeClr w14:val="tx1"/>
                  </w14:solidFill>
                </w14:textFill>
              </w:rPr>
            </w:pPr>
            <w:r>
              <w:rPr>
                <w:rFonts w:ascii="宋体" w:hAnsi="宋体" w:cs="宋体"/>
                <w:sz w:val="24"/>
              </w:rPr>
              <w:t>公司</w:t>
            </w:r>
            <w:r>
              <w:rPr>
                <w:rFonts w:hint="eastAsia" w:ascii="宋体" w:hAnsi="宋体" w:cs="宋体"/>
                <w:sz w:val="24"/>
              </w:rPr>
              <w:t>或公司员工在</w:t>
            </w:r>
            <w:r>
              <w:rPr>
                <w:rFonts w:hint="eastAsia" w:ascii="宋体" w:hAnsi="宋体"/>
                <w:color w:val="000000" w:themeColor="text1"/>
                <w:sz w:val="24"/>
                <w14:textFill>
                  <w14:solidFill>
                    <w14:schemeClr w14:val="tx1"/>
                  </w14:solidFill>
                </w14:textFill>
              </w:rPr>
              <w:t>以往服务中受到行业或客户单位表彰（提供证书原件）。</w:t>
            </w:r>
          </w:p>
        </w:tc>
        <w:tc>
          <w:tcPr>
            <w:tcW w:w="560" w:type="dxa"/>
            <w:shd w:val="clear" w:color="auto" w:fill="auto"/>
            <w:vAlign w:val="center"/>
          </w:tcPr>
          <w:p>
            <w:pPr>
              <w:keepNext/>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restart"/>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进场服务的具体要求</w:t>
            </w:r>
          </w:p>
        </w:tc>
        <w:tc>
          <w:tcPr>
            <w:tcW w:w="6929" w:type="dxa"/>
            <w:shd w:val="clear" w:color="auto" w:fill="auto"/>
            <w:vAlign w:val="center"/>
          </w:tcPr>
          <w:p>
            <w:pPr>
              <w:tabs>
                <w:tab w:val="left" w:pos="351"/>
                <w:tab w:val="left" w:pos="690"/>
              </w:tabs>
              <w:ind w:left="86" w:right="-50" w:rightChars="-24"/>
              <w:jc w:val="left"/>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满足总工期的前提下，需按如下时间步骤实施：</w:t>
            </w:r>
          </w:p>
          <w:p>
            <w:pPr>
              <w:tabs>
                <w:tab w:val="left" w:pos="690"/>
              </w:tabs>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合同签订后</w:t>
            </w:r>
            <w:r>
              <w:rPr>
                <w:rFonts w:hint="eastAsia" w:ascii="宋体" w:hAnsi="宋体" w:cs="仿宋_GB2312"/>
                <w:b/>
                <w:color w:val="000000" w:themeColor="text1"/>
                <w:sz w:val="24"/>
                <w:szCs w:val="24"/>
                <w:u w:val="single"/>
                <w14:textFill>
                  <w14:solidFill>
                    <w14:schemeClr w14:val="tx1"/>
                  </w14:solidFill>
                </w14:textFill>
              </w:rPr>
              <w:t xml:space="preserve"> 7个 </w:t>
            </w:r>
            <w:r>
              <w:rPr>
                <w:rFonts w:hint="eastAsia" w:ascii="宋体" w:hAnsi="宋体" w:cs="仿宋_GB2312"/>
                <w:color w:val="000000" w:themeColor="text1"/>
                <w:sz w:val="24"/>
                <w:szCs w:val="24"/>
                <w14:textFill>
                  <w14:solidFill>
                    <w14:schemeClr w14:val="tx1"/>
                  </w14:solidFill>
                </w14:textFill>
              </w:rPr>
              <w:t>日历日内完成本项目的服务人员、设备进场并开始服务工作。</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c>
          <w:tcPr>
            <w:tcW w:w="6929" w:type="dxa"/>
            <w:shd w:val="clear" w:color="auto" w:fill="auto"/>
            <w:vAlign w:val="center"/>
          </w:tcPr>
          <w:p>
            <w:pPr>
              <w:tabs>
                <w:tab w:val="left" w:pos="351"/>
                <w:tab w:val="left" w:pos="690"/>
              </w:tabs>
              <w:ind w:left="86" w:right="-50" w:rightChars="-24"/>
              <w:jc w:val="left"/>
              <w:rPr>
                <w:rFonts w:ascii="宋体" w:hAnsi="宋体" w:cs="仿宋_GB2312"/>
                <w:color w:val="000000" w:themeColor="text1"/>
                <w:sz w:val="24"/>
                <w:szCs w:val="24"/>
                <w:u w:val="single"/>
                <w14:textFill>
                  <w14:solidFill>
                    <w14:schemeClr w14:val="tx1"/>
                  </w14:solidFill>
                </w14:textFill>
              </w:rPr>
            </w:pPr>
            <w:r>
              <w:rPr>
                <w:rFonts w:hint="eastAsia" w:ascii="宋体" w:hAnsi="宋体"/>
                <w:color w:val="0000FF"/>
                <w:sz w:val="24"/>
              </w:rPr>
              <w:t>投标人需结合所投项目实际，在投标文件中须提供明确的进场服务及服务期内的实施周期表。</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报价要求</w:t>
            </w:r>
          </w:p>
        </w:tc>
        <w:tc>
          <w:tcPr>
            <w:tcW w:w="6929" w:type="dxa"/>
            <w:shd w:val="clear" w:color="auto" w:fill="auto"/>
            <w:vAlign w:val="center"/>
          </w:tcPr>
          <w:p>
            <w:pPr>
              <w:tabs>
                <w:tab w:val="left" w:pos="351"/>
                <w:tab w:val="left" w:pos="690"/>
              </w:tabs>
              <w:ind w:left="86" w:right="-50" w:rightChars="-24"/>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投标报价包括保洁服务人工工资、保险、福利、节假日加班补助、</w:t>
            </w:r>
          </w:p>
          <w:p>
            <w:pPr>
              <w:tabs>
                <w:tab w:val="left" w:pos="351"/>
                <w:tab w:val="left" w:pos="690"/>
              </w:tabs>
              <w:ind w:left="86" w:right="-50" w:rightChars="-24"/>
              <w:jc w:val="left"/>
              <w:rPr>
                <w:rFonts w:ascii="宋体" w:hAnsi="宋体" w:cs="仿宋_GB2312"/>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服装费、利润和税金、保洁耗材消耗、全部保洁服务工作必须具备的机械设备及</w:t>
            </w:r>
            <w:r>
              <w:rPr>
                <w:rFonts w:hint="eastAsia" w:ascii="宋体" w:hAnsi="宋体"/>
                <w:color w:val="0000FF"/>
                <w:sz w:val="24"/>
              </w:rPr>
              <w:t>专用工具租赁、采购、使用费等费用。</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shd w:val="clear" w:color="auto" w:fill="auto"/>
            <w:vAlign w:val="center"/>
          </w:tcPr>
          <w:p>
            <w:pPr>
              <w:ind w:left="-56" w:leftChars="-27" w:right="-77" w:rightChars="-37"/>
              <w:jc w:val="center"/>
              <w:rPr>
                <w:rFonts w:hint="eastAsia" w:ascii="宋体" w:hAnsi="宋体" w:eastAsiaTheme="minorEastAsia" w:cstheme="minorBidi"/>
                <w:b/>
                <w:color w:val="000000" w:themeColor="text1"/>
                <w:kern w:val="2"/>
                <w:sz w:val="24"/>
                <w:szCs w:val="24"/>
                <w:lang w:val="en-US" w:eastAsia="zh-CN" w:bidi="ar-SA"/>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其他要求</w:t>
            </w:r>
          </w:p>
        </w:tc>
        <w:tc>
          <w:tcPr>
            <w:tcW w:w="6929" w:type="dxa"/>
            <w:shd w:val="clear" w:color="auto" w:fill="auto"/>
            <w:vAlign w:val="center"/>
          </w:tcPr>
          <w:p>
            <w:pPr>
              <w:tabs>
                <w:tab w:val="left" w:pos="351"/>
                <w:tab w:val="left" w:pos="690"/>
              </w:tabs>
              <w:ind w:left="86" w:leftChars="0" w:right="-50" w:rightChars="-24"/>
              <w:jc w:val="left"/>
              <w:rPr>
                <w:rFonts w:hint="eastAsia" w:ascii="宋体" w:hAnsi="宋体" w:cs="仿宋_GB2312" w:eastAsiaTheme="minorEastAsia"/>
                <w:b/>
                <w:color w:val="000000" w:themeColor="text1"/>
                <w:kern w:val="2"/>
                <w:sz w:val="24"/>
                <w:szCs w:val="24"/>
                <w:lang w:val="en-US" w:eastAsia="zh-CN" w:bidi="ar-SA"/>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中标方必须给保洁人员购买意外伤害险。</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restart"/>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付款方式</w:t>
            </w:r>
          </w:p>
        </w:tc>
        <w:tc>
          <w:tcPr>
            <w:tcW w:w="6929" w:type="dxa"/>
            <w:shd w:val="clear" w:color="auto" w:fill="auto"/>
            <w:vAlign w:val="center"/>
          </w:tcPr>
          <w:p>
            <w:pPr>
              <w:jc w:val="left"/>
              <w:rPr>
                <w:rFonts w:ascii="宋体" w:hAnsi="宋体" w:cs="仿宋_GB2312"/>
                <w:color w:val="000000" w:themeColor="text1"/>
                <w:sz w:val="24"/>
                <w:szCs w:val="24"/>
                <w14:textFill>
                  <w14:solidFill>
                    <w14:schemeClr w14:val="tx1"/>
                  </w14:solidFill>
                </w14:textFill>
              </w:rPr>
            </w:pPr>
            <w:r>
              <w:rPr>
                <w:rFonts w:hint="eastAsia" w:ascii="宋体" w:hAnsi="宋体" w:eastAsia="宋体" w:cs="宋体"/>
                <w:sz w:val="24"/>
                <w:szCs w:val="24"/>
              </w:rPr>
              <w:t>具体以签订合同付款方式为准。</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hint="eastAsia" w:ascii="宋体" w:hAnsi="宋体"/>
                <w:b/>
                <w:color w:val="000000" w:themeColor="text1"/>
                <w:sz w:val="24"/>
                <w:szCs w:val="24"/>
                <w14:textFill>
                  <w14:solidFill>
                    <w14:schemeClr w14:val="tx1"/>
                  </w14:solidFill>
                </w14:textFill>
              </w:rPr>
            </w:pPr>
          </w:p>
        </w:tc>
        <w:tc>
          <w:tcPr>
            <w:tcW w:w="6929" w:type="dxa"/>
            <w:shd w:val="clear" w:color="auto" w:fill="auto"/>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从合同签订</w:t>
            </w:r>
            <w:r>
              <w:rPr>
                <w:rFonts w:hint="eastAsia" w:ascii="宋体" w:hAnsi="宋体" w:eastAsia="宋体" w:cs="宋体"/>
                <w:sz w:val="24"/>
                <w:szCs w:val="24"/>
                <w:lang w:eastAsia="zh-CN"/>
              </w:rPr>
              <w:t>之日后</w:t>
            </w:r>
            <w:r>
              <w:rPr>
                <w:rFonts w:hint="eastAsia" w:ascii="宋体" w:hAnsi="宋体" w:eastAsia="宋体" w:cs="宋体"/>
                <w:sz w:val="24"/>
                <w:szCs w:val="24"/>
              </w:rPr>
              <w:t>，</w:t>
            </w:r>
            <w:r>
              <w:rPr>
                <w:rFonts w:hint="eastAsia" w:ascii="宋体" w:hAnsi="宋体" w:eastAsia="宋体" w:cs="宋体"/>
                <w:sz w:val="24"/>
                <w:szCs w:val="24"/>
                <w:lang w:eastAsia="zh-CN"/>
              </w:rPr>
              <w:t>投标人进场之日起，次</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0日前甲方以支票或银行转帐形式向乙方付款</w:t>
            </w:r>
            <w:r>
              <w:rPr>
                <w:rFonts w:hint="eastAsia" w:ascii="宋体" w:hAnsi="宋体" w:eastAsia="宋体" w:cs="宋体"/>
                <w:sz w:val="24"/>
                <w:szCs w:val="24"/>
                <w:lang w:eastAsia="zh-CN"/>
              </w:rPr>
              <w:t>（）。</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vMerge w:val="continue"/>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c>
          <w:tcPr>
            <w:tcW w:w="6929" w:type="dxa"/>
            <w:shd w:val="clear" w:color="auto" w:fill="auto"/>
            <w:vAlign w:val="center"/>
          </w:tcPr>
          <w:p>
            <w:pPr>
              <w:keepNext/>
              <w:tabs>
                <w:tab w:val="left" w:pos="351"/>
                <w:tab w:val="left" w:pos="690"/>
              </w:tabs>
              <w:ind w:right="-50" w:rightChars="-24"/>
              <w:jc w:val="left"/>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中标人必须按国家有关财税规定开具发票。</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sz w:val="24"/>
                <w:szCs w:val="24"/>
              </w:rPr>
            </w:pPr>
          </w:p>
        </w:tc>
        <w:tc>
          <w:tcPr>
            <w:tcW w:w="1386" w:type="dxa"/>
            <w:vMerge w:val="restart"/>
            <w:shd w:val="clear" w:color="auto" w:fill="auto"/>
            <w:vAlign w:val="center"/>
          </w:tcPr>
          <w:p>
            <w:pPr>
              <w:ind w:left="-56" w:leftChars="-27" w:right="-77" w:rightChars="-37"/>
              <w:jc w:val="center"/>
              <w:rPr>
                <w:rFonts w:ascii="宋体" w:hAnsi="宋体"/>
                <w:b/>
                <w:bCs/>
                <w:kern w:val="0"/>
                <w:sz w:val="24"/>
              </w:rPr>
            </w:pPr>
            <w:r>
              <w:rPr>
                <w:rFonts w:hint="eastAsia" w:ascii="宋体" w:hAnsi="宋体"/>
                <w:b/>
                <w:bCs/>
                <w:kern w:val="0"/>
                <w:sz w:val="24"/>
              </w:rPr>
              <w:t>合同及履约条款</w:t>
            </w:r>
          </w:p>
        </w:tc>
        <w:tc>
          <w:tcPr>
            <w:tcW w:w="6929" w:type="dxa"/>
            <w:shd w:val="clear" w:color="auto" w:fill="auto"/>
            <w:vAlign w:val="center"/>
          </w:tcPr>
          <w:p>
            <w:pPr>
              <w:tabs>
                <w:tab w:val="left" w:pos="351"/>
                <w:tab w:val="left" w:pos="816"/>
              </w:tabs>
              <w:ind w:left="86" w:right="-50" w:rightChars="-24"/>
              <w:jc w:val="left"/>
              <w:rPr>
                <w:rFonts w:ascii="宋体" w:hAnsi="宋体"/>
                <w:sz w:val="24"/>
              </w:rPr>
            </w:pPr>
            <w:r>
              <w:rPr>
                <w:rFonts w:hint="eastAsia" w:ascii="宋体" w:hAnsi="宋体"/>
                <w:bCs/>
                <w:sz w:val="24"/>
              </w:rPr>
              <w:t>中标人根据有关物业管理法规与广水市第二人民医院签订物业服务合同。</w:t>
            </w:r>
          </w:p>
        </w:tc>
        <w:tc>
          <w:tcPr>
            <w:tcW w:w="560" w:type="dxa"/>
            <w:shd w:val="clear" w:color="auto" w:fill="auto"/>
            <w:vAlign w:val="center"/>
          </w:tcPr>
          <w:p>
            <w:pPr>
              <w:ind w:left="-56" w:leftChars="-27" w:right="-77" w:rightChars="-37"/>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sz w:val="24"/>
                <w:szCs w:val="24"/>
              </w:rPr>
            </w:pPr>
          </w:p>
        </w:tc>
        <w:tc>
          <w:tcPr>
            <w:tcW w:w="1386" w:type="dxa"/>
            <w:vMerge w:val="continue"/>
            <w:shd w:val="clear" w:color="auto" w:fill="auto"/>
            <w:vAlign w:val="center"/>
          </w:tcPr>
          <w:p>
            <w:pPr>
              <w:ind w:left="-56" w:leftChars="-27" w:right="-77" w:rightChars="-37"/>
              <w:jc w:val="center"/>
              <w:rPr>
                <w:rFonts w:ascii="宋体" w:hAnsi="宋体"/>
                <w:b/>
                <w:bCs/>
                <w:kern w:val="0"/>
                <w:sz w:val="24"/>
              </w:rPr>
            </w:pPr>
          </w:p>
        </w:tc>
        <w:tc>
          <w:tcPr>
            <w:tcW w:w="6929" w:type="dxa"/>
            <w:shd w:val="clear" w:color="auto" w:fill="auto"/>
            <w:vAlign w:val="center"/>
          </w:tcPr>
          <w:p>
            <w:pPr>
              <w:pStyle w:val="49"/>
              <w:keepNext/>
              <w:numPr>
                <w:ilvl w:val="0"/>
                <w:numId w:val="56"/>
              </w:numPr>
              <w:tabs>
                <w:tab w:val="left" w:pos="351"/>
                <w:tab w:val="left" w:pos="690"/>
              </w:tabs>
              <w:ind w:right="-50" w:rightChars="-24" w:firstLineChars="0"/>
              <w:jc w:val="left"/>
              <w:rPr>
                <w:rFonts w:ascii="宋体" w:hAnsi="宋体" w:cs="仿宋_GB2312"/>
                <w:sz w:val="24"/>
                <w:szCs w:val="24"/>
              </w:rPr>
            </w:pPr>
            <w:r>
              <w:rPr>
                <w:rFonts w:hint="eastAsia" w:ascii="宋体" w:hAnsi="宋体" w:cs="仿宋_GB2312"/>
                <w:sz w:val="24"/>
                <w:szCs w:val="24"/>
              </w:rPr>
              <w:t>中标人应当履行物业服务合同，按照合同约定提供物业服务。</w:t>
            </w:r>
          </w:p>
          <w:p>
            <w:pPr>
              <w:pStyle w:val="49"/>
              <w:keepNext/>
              <w:numPr>
                <w:ilvl w:val="0"/>
                <w:numId w:val="56"/>
              </w:numPr>
              <w:tabs>
                <w:tab w:val="left" w:pos="351"/>
                <w:tab w:val="left" w:pos="690"/>
              </w:tabs>
              <w:ind w:right="-50" w:rightChars="-24" w:firstLineChars="0"/>
              <w:jc w:val="left"/>
              <w:rPr>
                <w:rFonts w:ascii="宋体" w:hAnsi="宋体" w:cs="仿宋_GB2312"/>
                <w:sz w:val="24"/>
                <w:szCs w:val="24"/>
              </w:rPr>
            </w:pPr>
            <w:r>
              <w:rPr>
                <w:rFonts w:hint="eastAsia" w:ascii="宋体" w:hAnsi="宋体" w:cs="仿宋_GB2312"/>
                <w:sz w:val="24"/>
                <w:szCs w:val="24"/>
              </w:rPr>
              <w:t>中标人如不能完成招投标文件承诺的服务指标，或不能遵守服务合同，广水市第二人民医院将根据考核情况以及合同约定，按合同有关内容执行。</w:t>
            </w:r>
          </w:p>
          <w:p>
            <w:pPr>
              <w:pStyle w:val="49"/>
              <w:keepNext/>
              <w:numPr>
                <w:ilvl w:val="0"/>
                <w:numId w:val="56"/>
              </w:numPr>
              <w:tabs>
                <w:tab w:val="left" w:pos="351"/>
                <w:tab w:val="left" w:pos="690"/>
              </w:tabs>
              <w:ind w:right="-50" w:rightChars="-24" w:firstLineChars="0"/>
              <w:jc w:val="left"/>
              <w:rPr>
                <w:rFonts w:ascii="宋体" w:hAnsi="宋体" w:cs="仿宋_GB2312"/>
                <w:sz w:val="24"/>
                <w:szCs w:val="24"/>
              </w:rPr>
            </w:pPr>
            <w:r>
              <w:rPr>
                <w:rFonts w:hint="eastAsia" w:ascii="宋体" w:hAnsi="宋体" w:cs="仿宋_GB2312"/>
                <w:sz w:val="24"/>
                <w:szCs w:val="24"/>
              </w:rPr>
              <w:t>中标人物业管理服务标准，按照国家物业管理相关标准执行，要求达到标书、物业服务合同的有关约定要求。并以此作为物业公司是否续约条件之一。</w:t>
            </w:r>
          </w:p>
          <w:p>
            <w:pPr>
              <w:pStyle w:val="49"/>
              <w:keepNext/>
              <w:numPr>
                <w:ilvl w:val="0"/>
                <w:numId w:val="56"/>
              </w:numPr>
              <w:tabs>
                <w:tab w:val="left" w:pos="351"/>
                <w:tab w:val="left" w:pos="690"/>
              </w:tabs>
              <w:ind w:right="-50" w:rightChars="-24" w:firstLineChars="0"/>
              <w:jc w:val="left"/>
              <w:rPr>
                <w:rFonts w:ascii="宋体" w:hAnsi="宋体" w:cs="仿宋_GB2312"/>
                <w:sz w:val="24"/>
                <w:szCs w:val="24"/>
              </w:rPr>
            </w:pPr>
            <w:r>
              <w:rPr>
                <w:rFonts w:hint="eastAsia" w:ascii="宋体" w:hAnsi="宋体" w:cs="仿宋_GB2312"/>
                <w:sz w:val="24"/>
                <w:szCs w:val="24"/>
              </w:rPr>
              <w:t>如果中标单位没有履行合同中规定的物业管理服务承诺，广水市第二人民医院有权提前终止合同，但必须提前一个月通知。</w:t>
            </w:r>
          </w:p>
          <w:p>
            <w:pPr>
              <w:pStyle w:val="49"/>
              <w:keepNext/>
              <w:numPr>
                <w:ilvl w:val="0"/>
                <w:numId w:val="56"/>
              </w:numPr>
              <w:tabs>
                <w:tab w:val="left" w:pos="351"/>
                <w:tab w:val="left" w:pos="690"/>
              </w:tabs>
              <w:ind w:right="-50" w:rightChars="-24" w:firstLineChars="0"/>
              <w:jc w:val="left"/>
              <w:rPr>
                <w:rFonts w:ascii="宋体" w:hAnsi="宋体" w:cs="仿宋_GB2312"/>
                <w:sz w:val="24"/>
                <w:szCs w:val="24"/>
              </w:rPr>
            </w:pPr>
            <w:r>
              <w:rPr>
                <w:rFonts w:hint="eastAsia" w:ascii="宋体" w:hAnsi="宋体" w:cs="仿宋_GB2312"/>
                <w:sz w:val="24"/>
                <w:szCs w:val="24"/>
              </w:rPr>
              <w:t>中标人应每年给公司服务人员进行体检，在工作期间因身体状况出现意外事故则由中标人负责承担。</w:t>
            </w:r>
          </w:p>
        </w:tc>
        <w:tc>
          <w:tcPr>
            <w:tcW w:w="560" w:type="dxa"/>
            <w:shd w:val="clear" w:color="auto" w:fill="auto"/>
            <w:vAlign w:val="center"/>
          </w:tcPr>
          <w:p>
            <w:pPr>
              <w:ind w:left="-56" w:leftChars="-27" w:right="-77" w:rightChars="-37"/>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保密</w:t>
            </w:r>
          </w:p>
        </w:tc>
        <w:tc>
          <w:tcPr>
            <w:tcW w:w="6929" w:type="dxa"/>
            <w:shd w:val="clear" w:color="auto" w:fill="auto"/>
            <w:vAlign w:val="center"/>
          </w:tcPr>
          <w:p>
            <w:pPr>
              <w:tabs>
                <w:tab w:val="left" w:pos="351"/>
                <w:tab w:val="left" w:pos="816"/>
              </w:tabs>
              <w:ind w:left="86" w:right="-50" w:rightChars="-24"/>
              <w:jc w:val="left"/>
              <w:rPr>
                <w:rFonts w:ascii="宋体" w:hAnsi="宋体"/>
                <w:color w:val="000000" w:themeColor="text1"/>
                <w:sz w:val="24"/>
                <w:szCs w:val="24"/>
                <w:highlight w:val="red"/>
                <w14:textFill>
                  <w14:solidFill>
                    <w14:schemeClr w14:val="tx1"/>
                  </w14:solidFill>
                </w14:textFill>
              </w:rPr>
            </w:pPr>
            <w:r>
              <w:rPr>
                <w:rFonts w:hint="eastAsia" w:ascii="宋体" w:hAnsi="宋体"/>
                <w:color w:val="000000" w:themeColor="text1"/>
                <w:sz w:val="24"/>
                <w14:textFill>
                  <w14:solidFill>
                    <w14:schemeClr w14:val="tx1"/>
                  </w14:solidFill>
                </w14:textFill>
              </w:rPr>
              <w:t>中标人必须认真贯彻《保密协议》，接受发包人监督，承担因违反《保密协议》而造成事故的责任。</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shd w:val="clear" w:color="auto" w:fill="auto"/>
            <w:vAlign w:val="center"/>
          </w:tcPr>
          <w:p>
            <w:pPr>
              <w:numPr>
                <w:ilvl w:val="0"/>
                <w:numId w:val="55"/>
              </w:numPr>
              <w:tabs>
                <w:tab w:val="left" w:pos="176"/>
              </w:tabs>
              <w:spacing w:line="320" w:lineRule="exact"/>
              <w:ind w:right="-50" w:rightChars="-24"/>
              <w:jc w:val="right"/>
              <w:rPr>
                <w:rFonts w:ascii="宋体" w:hAnsi="宋体"/>
                <w:color w:val="000000" w:themeColor="text1"/>
                <w:sz w:val="24"/>
                <w:szCs w:val="24"/>
                <w14:textFill>
                  <w14:solidFill>
                    <w14:schemeClr w14:val="tx1"/>
                  </w14:solidFill>
                </w14:textFill>
              </w:rPr>
            </w:pPr>
          </w:p>
        </w:tc>
        <w:tc>
          <w:tcPr>
            <w:tcW w:w="1386"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违约责任</w:t>
            </w:r>
          </w:p>
        </w:tc>
        <w:tc>
          <w:tcPr>
            <w:tcW w:w="6929" w:type="dxa"/>
            <w:shd w:val="clear" w:color="auto" w:fill="auto"/>
            <w:vAlign w:val="center"/>
          </w:tcPr>
          <w:p>
            <w:pPr>
              <w:tabs>
                <w:tab w:val="left" w:pos="351"/>
                <w:tab w:val="left" w:pos="816"/>
              </w:tabs>
              <w:ind w:left="86" w:right="-50" w:rightChars="-24"/>
              <w:jc w:val="left"/>
              <w:rPr>
                <w:rFonts w:ascii="宋体" w:hAnsi="宋体" w:cs="仿宋_GB2312"/>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中标人违约承担违约责任。所有中标服务内容均需按照招标文件指标要求进行检查核对后方可进行报验，不满足招标文件“★”指标要求的服务或人员，采购人有权不对其进行验收。</w:t>
            </w:r>
          </w:p>
        </w:tc>
        <w:tc>
          <w:tcPr>
            <w:tcW w:w="560" w:type="dxa"/>
            <w:shd w:val="clear" w:color="auto" w:fill="auto"/>
            <w:vAlign w:val="center"/>
          </w:tcPr>
          <w:p>
            <w:pPr>
              <w:ind w:left="-56" w:leftChars="-27" w:right="-77" w:rightChars="-37"/>
              <w:jc w:val="center"/>
              <w:rPr>
                <w:rFonts w:ascii="宋体" w:hAnsi="宋体"/>
                <w:b/>
                <w:color w:val="000000" w:themeColor="text1"/>
                <w:sz w:val="24"/>
                <w:szCs w:val="24"/>
                <w14:textFill>
                  <w14:solidFill>
                    <w14:schemeClr w14:val="tx1"/>
                  </w14:solidFill>
                </w14:textFill>
              </w:rPr>
            </w:pPr>
          </w:p>
        </w:tc>
      </w:tr>
    </w:tbl>
    <w:p>
      <w:pPr>
        <w:pStyle w:val="4"/>
        <w:numPr>
          <w:ilvl w:val="0"/>
          <w:numId w:val="32"/>
        </w:numPr>
        <w:spacing w:before="0" w:after="0" w:line="360" w:lineRule="auto"/>
        <w:ind w:left="616" w:hanging="616"/>
        <w:jc w:val="left"/>
        <w:rPr>
          <w:rFonts w:cs="Times New Roman" w:asciiTheme="majorEastAsia" w:hAnsiTheme="majorEastAsia"/>
          <w:bCs w:val="0"/>
          <w:sz w:val="30"/>
          <w:szCs w:val="30"/>
        </w:rPr>
      </w:pPr>
      <w:bookmarkStart w:id="261" w:name="_Toc533429834"/>
      <w:bookmarkStart w:id="262" w:name="_Toc8460"/>
      <w:r>
        <w:rPr>
          <w:rFonts w:hint="eastAsia" w:cs="Times New Roman" w:asciiTheme="majorEastAsia" w:hAnsiTheme="majorEastAsia"/>
          <w:bCs w:val="0"/>
          <w:sz w:val="30"/>
          <w:szCs w:val="30"/>
        </w:rPr>
        <w:t>物业管理</w:t>
      </w:r>
      <w:r>
        <w:rPr>
          <w:rFonts w:hint="eastAsia" w:cs="Times New Roman" w:asciiTheme="majorEastAsia" w:hAnsiTheme="majorEastAsia"/>
          <w:bCs w:val="0"/>
          <w:sz w:val="30"/>
          <w:szCs w:val="30"/>
          <w:lang w:eastAsia="zh-CN"/>
        </w:rPr>
        <w:t>、洗涤</w:t>
      </w:r>
      <w:r>
        <w:rPr>
          <w:rFonts w:hint="eastAsia" w:cs="Times New Roman" w:asciiTheme="majorEastAsia" w:hAnsiTheme="majorEastAsia"/>
          <w:bCs w:val="0"/>
          <w:sz w:val="30"/>
          <w:szCs w:val="30"/>
        </w:rPr>
        <w:t>量化考评管理办法</w:t>
      </w:r>
      <w:bookmarkEnd w:id="261"/>
      <w:bookmarkEnd w:id="262"/>
    </w:p>
    <w:p>
      <w:pPr>
        <w:spacing w:line="360" w:lineRule="auto"/>
        <w:ind w:firstLine="420"/>
        <w:rPr>
          <w:rFonts w:ascii="宋体" w:hAnsi="宋体" w:eastAsia="宋体" w:cs="Times New Roman"/>
          <w:bCs/>
          <w:color w:val="0D0D0D"/>
          <w:sz w:val="24"/>
          <w:szCs w:val="20"/>
        </w:rPr>
      </w:pPr>
      <w:r>
        <w:rPr>
          <w:rFonts w:hint="eastAsia" w:ascii="宋体" w:hAnsi="宋体" w:eastAsia="宋体" w:cs="Times New Roman"/>
          <w:b/>
          <w:bCs w:val="0"/>
          <w:color w:val="0D0D0D"/>
          <w:sz w:val="24"/>
          <w:szCs w:val="20"/>
        </w:rPr>
        <w:t>按照本项目采购</w:t>
      </w:r>
      <w:r>
        <w:rPr>
          <w:rFonts w:hint="eastAsia" w:ascii="宋体" w:hAnsi="宋体" w:eastAsia="宋体" w:cs="Times New Roman"/>
          <w:b/>
          <w:bCs w:val="0"/>
          <w:color w:val="0D0D0D"/>
          <w:sz w:val="24"/>
          <w:szCs w:val="20"/>
          <w:lang w:eastAsia="zh-CN"/>
        </w:rPr>
        <w:t>需求</w:t>
      </w:r>
      <w:r>
        <w:rPr>
          <w:rFonts w:hint="eastAsia" w:ascii="宋体" w:hAnsi="宋体" w:eastAsia="宋体" w:cs="Times New Roman"/>
          <w:b/>
          <w:bCs w:val="0"/>
          <w:color w:val="0D0D0D"/>
          <w:sz w:val="24"/>
          <w:szCs w:val="20"/>
        </w:rPr>
        <w:t>保洁</w:t>
      </w:r>
      <w:r>
        <w:rPr>
          <w:rFonts w:hint="eastAsia" w:ascii="宋体" w:hAnsi="宋体" w:eastAsia="宋体" w:cs="Times New Roman"/>
          <w:b/>
          <w:bCs w:val="0"/>
          <w:color w:val="0D0D0D"/>
          <w:sz w:val="24"/>
          <w:szCs w:val="20"/>
          <w:lang w:eastAsia="zh-CN"/>
        </w:rPr>
        <w:t>、洗涤中的服务要求，</w:t>
      </w:r>
      <w:r>
        <w:rPr>
          <w:rFonts w:hint="eastAsia" w:ascii="宋体" w:hAnsi="宋体" w:eastAsia="宋体" w:cs="Times New Roman"/>
          <w:b/>
          <w:bCs w:val="0"/>
          <w:color w:val="0D0D0D"/>
          <w:sz w:val="24"/>
          <w:szCs w:val="20"/>
        </w:rPr>
        <w:t>人员素质、服务态度</w:t>
      </w:r>
      <w:r>
        <w:rPr>
          <w:rFonts w:hint="eastAsia" w:ascii="宋体" w:hAnsi="宋体" w:eastAsia="宋体" w:cs="Times New Roman"/>
          <w:b/>
          <w:bCs w:val="0"/>
          <w:color w:val="0D0D0D"/>
          <w:sz w:val="24"/>
          <w:szCs w:val="20"/>
          <w:lang w:eastAsia="zh-CN"/>
        </w:rPr>
        <w:t>等</w:t>
      </w:r>
      <w:r>
        <w:rPr>
          <w:rFonts w:hint="eastAsia" w:ascii="宋体" w:hAnsi="宋体" w:eastAsia="宋体" w:cs="Times New Roman"/>
          <w:b/>
          <w:bCs w:val="0"/>
          <w:color w:val="0D0D0D"/>
          <w:sz w:val="24"/>
          <w:szCs w:val="20"/>
        </w:rPr>
        <w:t>由总务科组织各科室进行月度考评，如考评分数达到90分则给予当月付款。如连续三个月低于80分则采购方有权解除合同</w:t>
      </w:r>
      <w:r>
        <w:rPr>
          <w:rFonts w:hint="eastAsia" w:ascii="宋体" w:hAnsi="宋体" w:eastAsia="宋体" w:cs="Times New Roman"/>
          <w:bCs/>
          <w:color w:val="0D0D0D"/>
          <w:sz w:val="24"/>
          <w:szCs w:val="20"/>
        </w:rPr>
        <w:t>。</w:t>
      </w:r>
    </w:p>
    <w:p>
      <w:pPr>
        <w:pStyle w:val="4"/>
        <w:numPr>
          <w:ilvl w:val="0"/>
          <w:numId w:val="32"/>
        </w:numPr>
        <w:spacing w:before="0" w:after="0" w:line="360" w:lineRule="auto"/>
        <w:ind w:left="616" w:hanging="616"/>
        <w:jc w:val="left"/>
        <w:rPr>
          <w:rFonts w:ascii="宋体" w:hAnsi="宋体" w:eastAsia="宋体" w:cs="Times New Roman"/>
          <w:sz w:val="24"/>
          <w:szCs w:val="20"/>
          <w:lang w:val="zh-CN"/>
        </w:rPr>
      </w:pPr>
      <w:r>
        <w:rPr>
          <w:rFonts w:hint="eastAsia" w:cs="Times New Roman" w:asciiTheme="majorEastAsia" w:hAnsiTheme="majorEastAsia"/>
          <w:bCs w:val="0"/>
          <w:sz w:val="30"/>
          <w:szCs w:val="30"/>
          <w:lang w:val="zh-CN"/>
        </w:rPr>
        <w:t>其他服务要求</w:t>
      </w:r>
      <w:r>
        <w:rPr>
          <w:rFonts w:hint="eastAsia" w:cs="Times New Roman" w:asciiTheme="majorEastAsia" w:hAnsiTheme="majorEastAsia"/>
          <w:bCs w:val="0"/>
          <w:sz w:val="30"/>
          <w:szCs w:val="30"/>
          <w:lang w:val="zh-CN"/>
        </w:rPr>
        <w:br w:type="textWrapping"/>
      </w:r>
      <w:r>
        <w:rPr>
          <w:rFonts w:hint="eastAsia" w:ascii="宋体" w:hAnsi="宋体" w:eastAsia="宋体" w:cs="Times New Roman"/>
          <w:b w:val="0"/>
          <w:bCs w:val="0"/>
          <w:sz w:val="24"/>
          <w:szCs w:val="20"/>
          <w:lang w:val="zh-CN"/>
        </w:rPr>
        <w:t>1、本次招标一经中标，服务周期为叁年（中标人服务质量在量化考评符合标准的前提下），其中标人在服务质量、服务承诺不变、临床满意，其价格涨浮不超过10%的情况下，经双方协商，可以续约合同。</w:t>
      </w:r>
      <w:r>
        <w:rPr>
          <w:rFonts w:hint="eastAsia" w:ascii="宋体" w:hAnsi="宋体" w:eastAsia="宋体" w:cs="Times New Roman"/>
          <w:b w:val="0"/>
          <w:bCs w:val="0"/>
          <w:sz w:val="24"/>
          <w:szCs w:val="20"/>
          <w:lang w:val="zh-CN"/>
        </w:rPr>
        <w:br w:type="textWrapping"/>
      </w:r>
      <w:r>
        <w:rPr>
          <w:rFonts w:hint="eastAsia" w:ascii="宋体" w:hAnsi="宋体" w:eastAsia="宋体" w:cs="Times New Roman"/>
          <w:b w:val="0"/>
          <w:bCs w:val="0"/>
          <w:sz w:val="24"/>
          <w:szCs w:val="20"/>
          <w:lang w:val="zh-CN"/>
        </w:rPr>
        <w:t>2、中标投标单位应承诺在服务周期内，对出现的保洁服务、洗涤服务质量问题给予及时解决。响应时间不大于2小时，响应时间越快越优。</w:t>
      </w:r>
      <w:r>
        <w:rPr>
          <w:rFonts w:hint="eastAsia" w:ascii="宋体" w:hAnsi="宋体" w:eastAsia="宋体" w:cs="Times New Roman"/>
          <w:b w:val="0"/>
          <w:bCs w:val="0"/>
          <w:sz w:val="24"/>
          <w:szCs w:val="20"/>
          <w:lang w:val="zh-CN"/>
        </w:rPr>
        <w:br w:type="textWrapping"/>
      </w:r>
      <w:r>
        <w:rPr>
          <w:rFonts w:hint="eastAsia" w:ascii="宋体" w:hAnsi="宋体" w:eastAsia="宋体" w:cs="Times New Roman"/>
          <w:b w:val="0"/>
          <w:bCs w:val="0"/>
          <w:sz w:val="24"/>
          <w:szCs w:val="20"/>
          <w:lang w:val="zh-CN"/>
        </w:rPr>
        <w:t>3、洗涤设备要求：生产能力强，自动化程度高，能够实现，半自动分拣、全自动装料、洗涤、脱水、烘干整体联动化；病员服、隔离衣等烘干、熨烫、折叠自动化。</w:t>
      </w:r>
      <w:r>
        <w:rPr>
          <w:rFonts w:hint="eastAsia" w:ascii="宋体" w:hAnsi="宋体" w:eastAsia="宋体" w:cs="Times New Roman"/>
          <w:b w:val="0"/>
          <w:bCs w:val="0"/>
          <w:sz w:val="24"/>
          <w:szCs w:val="20"/>
          <w:lang w:val="zh-CN"/>
        </w:rPr>
        <w:br w:type="textWrapping"/>
      </w:r>
      <w:r>
        <w:rPr>
          <w:rFonts w:hint="eastAsia" w:ascii="宋体" w:hAnsi="宋体" w:eastAsia="宋体" w:cs="Times New Roman"/>
          <w:b w:val="0"/>
          <w:bCs w:val="0"/>
          <w:sz w:val="24"/>
          <w:szCs w:val="20"/>
          <w:lang w:val="zh-CN"/>
        </w:rPr>
        <w:t>4、服务热情，杜绝与病人（家属）或医院工作人员发生争吵。</w:t>
      </w:r>
    </w:p>
    <w:p>
      <w:pPr>
        <w:rPr>
          <w:rFonts w:cs="Times New Roman" w:asciiTheme="majorEastAsia" w:hAnsiTheme="majorEastAsia" w:eastAsiaTheme="majorEastAsia"/>
          <w:b/>
          <w:sz w:val="30"/>
          <w:szCs w:val="30"/>
          <w:lang w:val="zh-CN"/>
        </w:rPr>
        <w:sectPr>
          <w:pgSz w:w="11906" w:h="16838"/>
          <w:pgMar w:top="1134" w:right="1191" w:bottom="1134" w:left="1191" w:header="851" w:footer="850" w:gutter="0"/>
          <w:cols w:space="425" w:num="1"/>
          <w:docGrid w:type="linesAndChars" w:linePitch="312" w:charSpace="0"/>
        </w:sectPr>
      </w:pPr>
      <w:r>
        <w:rPr>
          <w:rFonts w:hint="eastAsia" w:cs="Times New Roman" w:asciiTheme="majorEastAsia" w:hAnsiTheme="majorEastAsia" w:eastAsiaTheme="majorEastAsia"/>
          <w:b/>
          <w:sz w:val="30"/>
          <w:szCs w:val="30"/>
          <w:lang w:val="zh-CN"/>
        </w:rPr>
        <w:t>八、</w:t>
      </w:r>
      <w:r>
        <w:rPr>
          <w:rFonts w:hint="eastAsia" w:cs="Times New Roman" w:asciiTheme="majorEastAsia" w:hAnsiTheme="majorEastAsia" w:eastAsiaTheme="majorEastAsia"/>
          <w:b w:val="0"/>
          <w:bCs/>
          <w:sz w:val="30"/>
          <w:szCs w:val="30"/>
          <w:lang w:val="zh-CN"/>
        </w:rPr>
        <w:t>以上所有服务内容最终解释权归招标人。</w:t>
      </w:r>
    </w:p>
    <w:p>
      <w:pPr>
        <w:rPr>
          <w:rFonts w:ascii="黑体" w:hAnsi="黑体" w:eastAsia="黑体"/>
        </w:rPr>
      </w:pPr>
      <w:r>
        <w:rPr>
          <w:rFonts w:ascii="黑体" w:hAnsi="黑体" w:eastAsia="黑体"/>
        </w:rPr>
        <w:br w:type="page"/>
      </w:r>
    </w:p>
    <w:p>
      <w:pPr>
        <w:pStyle w:val="3"/>
        <w:numPr>
          <w:ilvl w:val="0"/>
          <w:numId w:val="2"/>
        </w:numPr>
        <w:spacing w:before="240" w:after="120"/>
        <w:ind w:left="883" w:hanging="883" w:hangingChars="200"/>
        <w:jc w:val="center"/>
        <w:rPr>
          <w:rFonts w:ascii="黑体" w:hAnsi="黑体" w:eastAsia="黑体"/>
        </w:rPr>
      </w:pPr>
      <w:bookmarkStart w:id="263" w:name="_Toc20110"/>
      <w:bookmarkStart w:id="264" w:name="_Toc511894513"/>
      <w:r>
        <w:rPr>
          <w:rFonts w:hint="eastAsia" w:ascii="黑体" w:hAnsi="黑体" w:eastAsia="黑体"/>
        </w:rPr>
        <w:t>资格审查方法及标准</w:t>
      </w:r>
      <w:bookmarkEnd w:id="263"/>
      <w:bookmarkEnd w:id="264"/>
    </w:p>
    <w:p>
      <w:pPr>
        <w:spacing w:line="360" w:lineRule="auto"/>
        <w:ind w:firstLine="420"/>
        <w:rPr>
          <w:rFonts w:ascii="宋体" w:hAnsi="宋体" w:eastAsia="宋体" w:cs="Times New Roman"/>
          <w:bCs/>
          <w:sz w:val="24"/>
          <w:szCs w:val="20"/>
          <w:lang w:val="zh-CN" w:eastAsia="zh-CN"/>
        </w:rPr>
      </w:pPr>
      <w:r>
        <w:rPr>
          <w:rFonts w:hint="eastAsia" w:ascii="宋体" w:hAnsi="宋体" w:eastAsia="宋体" w:cs="Times New Roman"/>
          <w:bCs/>
          <w:sz w:val="24"/>
          <w:szCs w:val="20"/>
          <w:lang w:val="zh-CN" w:eastAsia="zh-CN"/>
        </w:rPr>
        <w:t>根据《政府采购法》、《政府采购法实施条例》、《政府采购货物和服务招标投标管理办法》等相关法律法规确定以下资格审查方法及标准</w:t>
      </w:r>
      <w:r>
        <w:rPr>
          <w:rFonts w:hint="eastAsia" w:ascii="宋体" w:hAnsi="宋体" w:eastAsia="宋体" w:cs="Times New Roman"/>
          <w:bCs/>
          <w:sz w:val="24"/>
          <w:szCs w:val="20"/>
          <w:lang w:val="zh-CN"/>
        </w:rPr>
        <w:t>。</w:t>
      </w:r>
    </w:p>
    <w:p>
      <w:pPr>
        <w:pStyle w:val="4"/>
        <w:numPr>
          <w:ilvl w:val="0"/>
          <w:numId w:val="57"/>
        </w:numPr>
        <w:spacing w:before="0" w:after="0" w:line="360" w:lineRule="auto"/>
        <w:ind w:left="616" w:hanging="616"/>
        <w:jc w:val="left"/>
        <w:rPr>
          <w:rFonts w:cs="Times New Roman" w:asciiTheme="majorEastAsia" w:hAnsiTheme="majorEastAsia"/>
          <w:bCs w:val="0"/>
          <w:sz w:val="30"/>
          <w:szCs w:val="30"/>
          <w:lang w:val="zh-CN" w:eastAsia="zh-CN"/>
        </w:rPr>
      </w:pPr>
      <w:bookmarkStart w:id="265" w:name="_Toc494561958"/>
      <w:bookmarkStart w:id="266" w:name="_Toc511894514"/>
      <w:bookmarkStart w:id="267" w:name="_Toc30984"/>
      <w:r>
        <w:rPr>
          <w:rFonts w:hint="eastAsia" w:cs="Times New Roman" w:asciiTheme="majorEastAsia" w:hAnsiTheme="majorEastAsia"/>
          <w:bCs w:val="0"/>
          <w:sz w:val="30"/>
          <w:szCs w:val="30"/>
          <w:lang w:val="zh-CN" w:eastAsia="zh-CN"/>
        </w:rPr>
        <w:t>资格审查方法</w:t>
      </w:r>
      <w:bookmarkEnd w:id="265"/>
      <w:bookmarkEnd w:id="266"/>
      <w:bookmarkEnd w:id="267"/>
    </w:p>
    <w:p>
      <w:pPr>
        <w:spacing w:line="360" w:lineRule="auto"/>
        <w:ind w:firstLine="420"/>
        <w:rPr>
          <w:rFonts w:ascii="宋体" w:hAnsi="宋体" w:eastAsia="宋体" w:cs="Times New Roman"/>
          <w:bCs/>
          <w:sz w:val="24"/>
          <w:szCs w:val="20"/>
          <w:lang w:val="zh-CN" w:eastAsia="zh-CN"/>
        </w:rPr>
      </w:pPr>
      <w:r>
        <w:rPr>
          <w:rFonts w:hint="eastAsia" w:ascii="宋体" w:hAnsi="宋体" w:eastAsia="宋体" w:cs="Times New Roman"/>
          <w:bCs/>
          <w:sz w:val="24"/>
          <w:szCs w:val="20"/>
          <w:lang w:val="zh-CN"/>
        </w:rPr>
        <w:t>公开招标</w:t>
      </w:r>
      <w:r>
        <w:rPr>
          <w:rFonts w:hint="eastAsia" w:ascii="宋体" w:hAnsi="宋体" w:eastAsia="宋体" w:cs="Times New Roman"/>
          <w:bCs/>
          <w:sz w:val="24"/>
          <w:szCs w:val="20"/>
          <w:lang w:val="zh-CN" w:eastAsia="zh-CN"/>
        </w:rPr>
        <w:t>采购项目开标结束后，采购人与集中采购机构</w:t>
      </w:r>
      <w:r>
        <w:rPr>
          <w:rFonts w:hint="eastAsia" w:ascii="宋体" w:hAnsi="宋体" w:eastAsia="宋体" w:cs="Times New Roman"/>
          <w:bCs/>
          <w:sz w:val="24"/>
          <w:szCs w:val="20"/>
          <w:lang w:val="zh-CN"/>
        </w:rPr>
        <w:t>成立资格审查小组，</w:t>
      </w:r>
      <w:r>
        <w:rPr>
          <w:rFonts w:hint="eastAsia" w:ascii="宋体" w:hAnsi="宋体" w:eastAsia="宋体" w:cs="Times New Roman"/>
          <w:bCs/>
          <w:sz w:val="24"/>
          <w:szCs w:val="20"/>
          <w:lang w:val="zh-CN" w:eastAsia="zh-CN"/>
        </w:rPr>
        <w:t>依据法律、法规及招标文件的规定，对投标人的资格进行审查，以确定投标人资格是否合格。</w:t>
      </w:r>
    </w:p>
    <w:p>
      <w:pPr>
        <w:pStyle w:val="4"/>
        <w:numPr>
          <w:ilvl w:val="0"/>
          <w:numId w:val="57"/>
        </w:numPr>
        <w:spacing w:before="0" w:after="0" w:line="360" w:lineRule="auto"/>
        <w:ind w:left="616" w:hanging="616"/>
        <w:jc w:val="left"/>
        <w:rPr>
          <w:rFonts w:cs="Times New Roman" w:asciiTheme="majorEastAsia" w:hAnsiTheme="majorEastAsia"/>
          <w:bCs w:val="0"/>
          <w:sz w:val="30"/>
          <w:szCs w:val="30"/>
          <w:lang w:val="zh-CN" w:eastAsia="zh-CN"/>
        </w:rPr>
      </w:pPr>
      <w:bookmarkStart w:id="268" w:name="_Toc16488"/>
      <w:bookmarkStart w:id="269" w:name="_Toc494561959"/>
      <w:bookmarkStart w:id="270" w:name="_Toc511894515"/>
      <w:r>
        <w:rPr>
          <w:rFonts w:hint="eastAsia" w:cs="Times New Roman" w:asciiTheme="majorEastAsia" w:hAnsiTheme="majorEastAsia"/>
          <w:bCs w:val="0"/>
          <w:sz w:val="30"/>
          <w:szCs w:val="30"/>
          <w:lang w:val="zh-CN" w:eastAsia="zh-CN"/>
        </w:rPr>
        <w:t>资格审查标准</w:t>
      </w:r>
      <w:bookmarkEnd w:id="268"/>
      <w:bookmarkEnd w:id="269"/>
      <w:bookmarkEnd w:id="270"/>
    </w:p>
    <w:p>
      <w:pPr>
        <w:numPr>
          <w:ilvl w:val="0"/>
          <w:numId w:val="58"/>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资格证明文件审查</w:t>
      </w:r>
    </w:p>
    <w:p>
      <w:pPr>
        <w:tabs>
          <w:tab w:val="left" w:pos="1098"/>
        </w:tabs>
        <w:spacing w:line="360" w:lineRule="auto"/>
        <w:ind w:left="708" w:hanging="708" w:hangingChars="294"/>
        <w:rPr>
          <w:rFonts w:ascii="宋体" w:hAnsi="宋体" w:eastAsia="宋体" w:cs="Times New Roman"/>
          <w:sz w:val="24"/>
          <w:szCs w:val="24"/>
        </w:rPr>
      </w:pPr>
      <w:r>
        <w:rPr>
          <w:rFonts w:hint="eastAsia" w:ascii="宋体" w:hAnsi="宋体" w:eastAsia="宋体" w:cs="Times New Roman"/>
          <w:b/>
          <w:sz w:val="24"/>
          <w:szCs w:val="24"/>
          <w:lang w:val="zh-CN" w:eastAsia="zh-CN"/>
        </w:rPr>
        <w:t>说明：</w:t>
      </w:r>
      <w:r>
        <w:rPr>
          <w:rFonts w:hint="eastAsia" w:ascii="宋体" w:hAnsi="宋体" w:eastAsia="宋体" w:cs="Times New Roman"/>
          <w:sz w:val="24"/>
          <w:szCs w:val="24"/>
          <w:lang w:val="zh-CN"/>
        </w:rPr>
        <w:t>资格审查内容要求提供的相关证明材料，投标人应对应放入投标文件的“</w:t>
      </w:r>
      <w:r>
        <w:rPr>
          <w:rFonts w:hint="eastAsia" w:ascii="宋体" w:hAnsi="宋体" w:eastAsia="宋体" w:cs="Times New Roman"/>
          <w:sz w:val="24"/>
          <w:szCs w:val="24"/>
          <w:lang w:val="zh-CN" w:eastAsia="zh-CN"/>
        </w:rPr>
        <w:t>第</w:t>
      </w:r>
      <w:r>
        <w:rPr>
          <w:rFonts w:hint="eastAsia" w:ascii="宋体" w:hAnsi="宋体" w:eastAsia="宋体" w:cs="Times New Roman"/>
          <w:sz w:val="24"/>
          <w:szCs w:val="24"/>
          <w:lang w:val="zh-CN"/>
        </w:rPr>
        <w:t>一</w:t>
      </w:r>
      <w:r>
        <w:rPr>
          <w:rFonts w:hint="eastAsia" w:ascii="宋体" w:hAnsi="宋体" w:eastAsia="宋体" w:cs="Times New Roman"/>
          <w:sz w:val="24"/>
          <w:szCs w:val="24"/>
          <w:lang w:val="zh-CN" w:eastAsia="zh-CN"/>
        </w:rPr>
        <w:t>部分</w:t>
      </w:r>
      <w:r>
        <w:rPr>
          <w:rFonts w:hint="eastAsia" w:ascii="宋体" w:hAnsi="宋体" w:eastAsia="宋体" w:cs="Times New Roman"/>
          <w:sz w:val="24"/>
          <w:szCs w:val="24"/>
          <w:lang w:val="zh-CN"/>
        </w:rPr>
        <w:t xml:space="preserve"> 资格证明文件”中，否则，</w:t>
      </w:r>
      <w:r>
        <w:rPr>
          <w:rFonts w:hint="eastAsia" w:ascii="宋体" w:hAnsi="宋体" w:eastAsia="宋体" w:cs="Times New Roman"/>
          <w:b/>
          <w:sz w:val="24"/>
          <w:szCs w:val="24"/>
          <w:lang w:val="zh-CN"/>
        </w:rPr>
        <w:t>将会导致投标无效</w:t>
      </w:r>
      <w:r>
        <w:rPr>
          <w:rFonts w:hint="eastAsia" w:ascii="宋体" w:hAnsi="宋体" w:eastAsia="宋体" w:cs="Times New Roman"/>
          <w:sz w:val="24"/>
          <w:szCs w:val="24"/>
        </w:rPr>
        <w:t>。</w:t>
      </w:r>
    </w:p>
    <w:p>
      <w:pPr>
        <w:tabs>
          <w:tab w:val="left" w:pos="616"/>
        </w:tabs>
        <w:spacing w:line="360" w:lineRule="auto"/>
        <w:ind w:firstLine="540" w:firstLineChars="225"/>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eastAsia="zh-CN"/>
        </w:rPr>
        <w:t>所递交的资格证明文件出现不符合下列情形之一或不足以证明其符合下列情形之一的，</w:t>
      </w:r>
      <w:r>
        <w:rPr>
          <w:rFonts w:hint="eastAsia" w:ascii="Helvetica" w:hAnsi="Helvetica" w:eastAsia="宋体" w:cs="Helvetica"/>
          <w:kern w:val="0"/>
          <w:sz w:val="24"/>
          <w:szCs w:val="24"/>
          <w:lang w:val="zh-CN"/>
        </w:rPr>
        <w:t>应</w:t>
      </w:r>
      <w:r>
        <w:rPr>
          <w:rFonts w:hint="eastAsia" w:ascii="Helvetica" w:hAnsi="Helvetica" w:eastAsia="宋体" w:cs="Helvetica"/>
          <w:kern w:val="0"/>
          <w:sz w:val="24"/>
          <w:szCs w:val="24"/>
          <w:lang w:val="zh-CN" w:eastAsia="zh-CN"/>
        </w:rPr>
        <w:t>视为资格审查不合格，并按照</w:t>
      </w:r>
      <w:r>
        <w:rPr>
          <w:rFonts w:hint="eastAsia" w:ascii="Helvetica" w:hAnsi="Helvetica" w:eastAsia="宋体" w:cs="Helvetica"/>
          <w:b/>
          <w:kern w:val="0"/>
          <w:sz w:val="24"/>
          <w:szCs w:val="24"/>
          <w:lang w:val="zh-CN" w:eastAsia="zh-CN"/>
        </w:rPr>
        <w:t>无效投标处理：</w:t>
      </w:r>
    </w:p>
    <w:p>
      <w:pPr>
        <w:pStyle w:val="49"/>
        <w:numPr>
          <w:ilvl w:val="0"/>
          <w:numId w:val="59"/>
        </w:numPr>
        <w:spacing w:line="360" w:lineRule="auto"/>
        <w:ind w:left="840" w:hanging="364" w:firstLineChars="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应具备《政府采购法》第二十二条第一款规定的条件</w:t>
      </w:r>
      <w:r>
        <w:rPr>
          <w:rFonts w:hint="eastAsia" w:ascii="宋体" w:hAnsi="宋体" w:eastAsia="宋体" w:cs="Times New Roman"/>
          <w:b/>
          <w:sz w:val="24"/>
          <w:szCs w:val="24"/>
          <w:lang w:val="zh-CN"/>
        </w:rPr>
        <w:t>，</w:t>
      </w:r>
      <w:r>
        <w:rPr>
          <w:rFonts w:hint="eastAsia" w:hAnsi="宋体"/>
          <w:b/>
          <w:sz w:val="24"/>
          <w:szCs w:val="24"/>
        </w:rPr>
        <w:t>提供下列材料</w:t>
      </w:r>
      <w:r>
        <w:rPr>
          <w:rFonts w:hint="eastAsia" w:ascii="宋体" w:hAnsi="宋体" w:eastAsia="宋体" w:cs="Times New Roman"/>
          <w:b/>
          <w:sz w:val="24"/>
          <w:szCs w:val="24"/>
          <w:lang w:val="zh-CN"/>
        </w:rPr>
        <w:t>：</w:t>
      </w:r>
    </w:p>
    <w:p>
      <w:pPr>
        <w:pStyle w:val="49"/>
        <w:numPr>
          <w:ilvl w:val="0"/>
          <w:numId w:val="60"/>
        </w:numPr>
        <w:spacing w:line="360" w:lineRule="auto"/>
        <w:ind w:left="958" w:hanging="482"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法人或者其他组织的营业执照等证明文件，自然人的身份证明</w:t>
      </w:r>
      <w:r>
        <w:rPr>
          <w:rFonts w:hint="eastAsia" w:asciiTheme="majorEastAsia" w:hAnsiTheme="majorEastAsia" w:eastAsiaTheme="majorEastAsia"/>
          <w:sz w:val="24"/>
          <w:szCs w:val="24"/>
        </w:rPr>
        <w:t>（投标人根据自身情况提供对应的证明材料）</w:t>
      </w:r>
      <w:r>
        <w:rPr>
          <w:rFonts w:hint="eastAsia" w:ascii="宋体" w:hAnsi="宋体" w:eastAsia="宋体" w:cs="Times New Roman"/>
          <w:sz w:val="24"/>
          <w:szCs w:val="24"/>
          <w:lang w:val="zh-CN"/>
        </w:rPr>
        <w:t>：</w:t>
      </w:r>
    </w:p>
    <w:p>
      <w:pPr>
        <w:numPr>
          <w:ilvl w:val="0"/>
          <w:numId w:val="61"/>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pPr>
        <w:pStyle w:val="49"/>
        <w:numPr>
          <w:ilvl w:val="1"/>
          <w:numId w:val="62"/>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企业法人（包括合伙企业）：</w:t>
      </w:r>
      <w:r>
        <w:rPr>
          <w:rFonts w:hint="eastAsia" w:asciiTheme="majorEastAsia" w:hAnsiTheme="majorEastAsia" w:eastAsiaTheme="majorEastAsia"/>
          <w:sz w:val="24"/>
          <w:szCs w:val="24"/>
        </w:rPr>
        <w:t>提供工商部门注册的有效“企业法人营业执照”或“营业执照”；</w:t>
      </w:r>
    </w:p>
    <w:p>
      <w:pPr>
        <w:pStyle w:val="49"/>
        <w:numPr>
          <w:ilvl w:val="1"/>
          <w:numId w:val="62"/>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事业单位法人：</w:t>
      </w:r>
      <w:r>
        <w:rPr>
          <w:rFonts w:hint="eastAsia" w:asciiTheme="majorEastAsia" w:hAnsiTheme="majorEastAsia" w:eastAsiaTheme="majorEastAsia"/>
          <w:sz w:val="24"/>
          <w:szCs w:val="24"/>
        </w:rPr>
        <w:t>提供有效的“事业单位法人证书”。</w:t>
      </w:r>
    </w:p>
    <w:p>
      <w:pPr>
        <w:numPr>
          <w:ilvl w:val="0"/>
          <w:numId w:val="61"/>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pPr>
        <w:pStyle w:val="49"/>
        <w:numPr>
          <w:ilvl w:val="0"/>
          <w:numId w:val="63"/>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非企业专业服务机构：</w:t>
      </w:r>
      <w:r>
        <w:rPr>
          <w:rFonts w:hint="eastAsia" w:asciiTheme="majorEastAsia" w:hAnsiTheme="majorEastAsia" w:eastAsiaTheme="majorEastAsia"/>
          <w:sz w:val="24"/>
          <w:szCs w:val="24"/>
        </w:rPr>
        <w:t>提供执业许可证等证明文件；</w:t>
      </w:r>
    </w:p>
    <w:p>
      <w:pPr>
        <w:pStyle w:val="49"/>
        <w:numPr>
          <w:ilvl w:val="0"/>
          <w:numId w:val="63"/>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个体工商户：</w:t>
      </w:r>
      <w:r>
        <w:rPr>
          <w:rFonts w:hint="eastAsia" w:asciiTheme="majorEastAsia" w:hAnsiTheme="majorEastAsia" w:eastAsiaTheme="majorEastAsia"/>
          <w:sz w:val="24"/>
          <w:szCs w:val="24"/>
        </w:rPr>
        <w:t>提供有效的“个体工商户营业执照”。</w:t>
      </w:r>
    </w:p>
    <w:p>
      <w:pPr>
        <w:numPr>
          <w:ilvl w:val="0"/>
          <w:numId w:val="61"/>
        </w:numPr>
        <w:spacing w:line="360" w:lineRule="auto"/>
        <w:ind w:left="1321" w:hanging="720"/>
        <w:rPr>
          <w:rFonts w:cs="Times New Roman" w:asciiTheme="minorEastAsia" w:hAnsiTheme="minorEastAsia"/>
          <w:sz w:val="24"/>
          <w:szCs w:val="20"/>
          <w:lang w:val="zh-CN"/>
        </w:rPr>
      </w:pPr>
      <w:r>
        <w:rPr>
          <w:rFonts w:hint="eastAsia" w:ascii="仿宋" w:hAnsi="仿宋" w:eastAsia="仿宋" w:cs="Times New Roman"/>
          <w:b/>
          <w:sz w:val="24"/>
          <w:szCs w:val="20"/>
          <w:lang w:val="zh-CN"/>
        </w:rPr>
        <w:t>自然人：</w:t>
      </w:r>
      <w:r>
        <w:rPr>
          <w:rFonts w:hint="eastAsia" w:cs="Times New Roman" w:asciiTheme="minorEastAsia" w:hAnsiTheme="minorEastAsia"/>
          <w:sz w:val="24"/>
          <w:szCs w:val="20"/>
          <w:lang w:val="zh-CN"/>
        </w:rPr>
        <w:t>提供有效的自然人身份证明。（仅限中国公民）</w:t>
      </w:r>
    </w:p>
    <w:p>
      <w:pPr>
        <w:pStyle w:val="49"/>
        <w:numPr>
          <w:ilvl w:val="0"/>
          <w:numId w:val="60"/>
        </w:numPr>
        <w:spacing w:line="360" w:lineRule="auto"/>
        <w:ind w:left="958" w:hanging="482" w:firstLineChars="0"/>
        <w:rPr>
          <w:rFonts w:asciiTheme="minorEastAsia" w:hAnsiTheme="minorEastAsia"/>
          <w:sz w:val="24"/>
          <w:szCs w:val="24"/>
        </w:rPr>
      </w:pPr>
      <w:r>
        <w:rPr>
          <w:rFonts w:hint="eastAsia" w:ascii="宋体" w:hAnsi="宋体" w:eastAsia="宋体" w:cs="Times New Roman"/>
          <w:sz w:val="24"/>
          <w:szCs w:val="24"/>
          <w:lang w:val="zh-CN" w:eastAsia="zh-CN"/>
        </w:rPr>
        <w:t>财务状况报告，依法缴纳税收和社会保障资金的相关材料</w:t>
      </w:r>
      <w:r>
        <w:rPr>
          <w:rFonts w:hint="eastAsia" w:ascii="宋体" w:hAnsi="宋体" w:eastAsia="宋体" w:cs="Times New Roman"/>
          <w:sz w:val="24"/>
          <w:szCs w:val="24"/>
          <w:lang w:val="zh-CN"/>
        </w:rPr>
        <w:t>：</w:t>
      </w:r>
    </w:p>
    <w:p>
      <w:pPr>
        <w:spacing w:line="360" w:lineRule="auto"/>
        <w:ind w:left="479" w:leftChars="228" w:firstLine="480" w:firstLineChars="200"/>
        <w:rPr>
          <w:rFonts w:asciiTheme="minorEastAsia" w:hAnsiTheme="minorEastAsia"/>
          <w:sz w:val="24"/>
          <w:szCs w:val="24"/>
        </w:rPr>
      </w:pPr>
      <w:r>
        <w:rPr>
          <w:rFonts w:hint="eastAsia" w:ascii="宋体" w:hAnsi="宋体" w:eastAsia="宋体" w:cs="Times New Roman"/>
          <w:sz w:val="24"/>
          <w:szCs w:val="20"/>
          <w:lang w:val="zh-CN"/>
        </w:rPr>
        <w:t>应严格按照附件格式提交“</w:t>
      </w:r>
      <w:r>
        <w:rPr>
          <w:rFonts w:hint="eastAsia" w:asciiTheme="minorEastAsia" w:hAnsiTheme="minorEastAsia"/>
          <w:sz w:val="24"/>
          <w:szCs w:val="24"/>
        </w:rPr>
        <w:t>财务状况报告，依法缴纳税收和社会保障资金的</w:t>
      </w:r>
      <w:r>
        <w:rPr>
          <w:rFonts w:hint="eastAsia" w:asciiTheme="minorEastAsia" w:hAnsiTheme="minorEastAsia"/>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p>
    <w:p>
      <w:pPr>
        <w:pStyle w:val="49"/>
        <w:numPr>
          <w:ilvl w:val="0"/>
          <w:numId w:val="60"/>
        </w:numPr>
        <w:spacing w:line="360" w:lineRule="auto"/>
        <w:ind w:left="958" w:hanging="482"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具备履行合同所必需的设备和专业技术能力的证明材料</w:t>
      </w:r>
      <w:r>
        <w:rPr>
          <w:rFonts w:hint="eastAsia" w:ascii="宋体" w:hAnsi="宋体" w:eastAsia="宋体" w:cs="Times New Roman"/>
          <w:sz w:val="24"/>
          <w:szCs w:val="24"/>
          <w:lang w:val="zh-CN"/>
        </w:rPr>
        <w:t>：</w:t>
      </w:r>
    </w:p>
    <w:p>
      <w:pPr>
        <w:numPr>
          <w:ilvl w:val="0"/>
          <w:numId w:val="64"/>
        </w:numPr>
        <w:spacing w:line="360" w:lineRule="auto"/>
        <w:ind w:left="1321" w:hanging="720"/>
        <w:rPr>
          <w:rFonts w:ascii="宋体" w:hAnsi="宋体" w:eastAsia="宋体" w:cs="Arial"/>
          <w:b/>
          <w:sz w:val="24"/>
          <w:szCs w:val="20"/>
          <w:lang w:val="zh-CN"/>
        </w:rPr>
      </w:pPr>
      <w:r>
        <w:rPr>
          <w:rFonts w:ascii="宋体" w:hAnsi="宋体" w:eastAsia="宋体" w:cs="Arial"/>
          <w:sz w:val="24"/>
          <w:szCs w:val="20"/>
          <w:lang w:val="zh-CN"/>
        </w:rPr>
        <w:t>提供具备足够数量的设施设备的证明材料；</w:t>
      </w:r>
    </w:p>
    <w:p>
      <w:pPr>
        <w:numPr>
          <w:ilvl w:val="0"/>
          <w:numId w:val="64"/>
        </w:numPr>
        <w:spacing w:line="360" w:lineRule="auto"/>
        <w:ind w:left="1321" w:hanging="720"/>
        <w:rPr>
          <w:rFonts w:ascii="宋体" w:hAnsi="宋体" w:eastAsia="宋体" w:cs="Arial"/>
          <w:sz w:val="24"/>
          <w:szCs w:val="20"/>
          <w:lang w:val="zh-CN"/>
        </w:rPr>
      </w:pPr>
      <w:r>
        <w:rPr>
          <w:rFonts w:ascii="宋体" w:hAnsi="宋体" w:eastAsia="宋体" w:cs="Arial"/>
          <w:sz w:val="24"/>
          <w:szCs w:val="20"/>
          <w:lang w:val="zh-CN"/>
        </w:rPr>
        <w:t>提供具备足够数量的技术人员的证明材料。</w:t>
      </w:r>
    </w:p>
    <w:p>
      <w:pPr>
        <w:pStyle w:val="49"/>
        <w:numPr>
          <w:ilvl w:val="0"/>
          <w:numId w:val="60"/>
        </w:numPr>
        <w:spacing w:line="360" w:lineRule="auto"/>
        <w:ind w:left="958" w:hanging="482"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参加政府采购活动前3年内在经营活动中没有重大违法记录的声明</w:t>
      </w:r>
      <w:r>
        <w:rPr>
          <w:rFonts w:hint="eastAsia" w:ascii="宋体" w:hAnsi="宋体" w:eastAsia="宋体" w:cs="Times New Roman"/>
          <w:sz w:val="24"/>
          <w:szCs w:val="24"/>
          <w:lang w:val="zh-CN"/>
        </w:rPr>
        <w:t>：</w:t>
      </w:r>
    </w:p>
    <w:p>
      <w:pPr>
        <w:numPr>
          <w:ilvl w:val="0"/>
          <w:numId w:val="65"/>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应严格按照附件格式提交“无重大违法记录的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numPr>
          <w:ilvl w:val="0"/>
          <w:numId w:val="65"/>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65"/>
        </w:numPr>
        <w:spacing w:line="360" w:lineRule="auto"/>
        <w:ind w:left="1321"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pStyle w:val="49"/>
        <w:numPr>
          <w:ilvl w:val="0"/>
          <w:numId w:val="60"/>
        </w:numPr>
        <w:spacing w:line="360" w:lineRule="auto"/>
        <w:ind w:left="958" w:hanging="482"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具备法律、行政法规规定的其他条件的证明材料</w:t>
      </w:r>
      <w:r>
        <w:rPr>
          <w:rFonts w:hint="eastAsia" w:ascii="宋体" w:hAnsi="宋体" w:eastAsia="宋体" w:cs="Times New Roman"/>
          <w:sz w:val="24"/>
          <w:szCs w:val="24"/>
          <w:lang w:val="zh-CN"/>
        </w:rPr>
        <w:t>：</w:t>
      </w:r>
    </w:p>
    <w:p>
      <w:pPr>
        <w:numPr>
          <w:ilvl w:val="0"/>
          <w:numId w:val="66"/>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rPr>
        <w:t>国家对生产和销售相关产品或提供相关服务有专门法律、行政法规规定的，则必须提供取得国家有关主管部门行政许可的证明材料。</w:t>
      </w:r>
    </w:p>
    <w:p>
      <w:pPr>
        <w:pStyle w:val="49"/>
        <w:numPr>
          <w:ilvl w:val="0"/>
          <w:numId w:val="59"/>
        </w:numPr>
        <w:spacing w:line="360" w:lineRule="auto"/>
        <w:ind w:firstLineChars="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单位负责人为同一人或者存在直接控股、管理关系的不同投标人，</w:t>
      </w:r>
      <w:r>
        <w:rPr>
          <w:rFonts w:hint="eastAsia" w:ascii="宋体" w:hAnsi="宋体" w:eastAsia="宋体" w:cs="Times New Roman"/>
          <w:b/>
          <w:sz w:val="24"/>
          <w:szCs w:val="24"/>
          <w:lang w:val="zh-CN"/>
        </w:rPr>
        <w:t>不得</w:t>
      </w:r>
      <w:r>
        <w:rPr>
          <w:rFonts w:hint="eastAsia" w:ascii="宋体" w:hAnsi="宋体" w:eastAsia="宋体" w:cs="Times New Roman"/>
          <w:b/>
          <w:sz w:val="24"/>
          <w:szCs w:val="24"/>
          <w:lang w:val="zh-CN" w:eastAsia="zh-CN"/>
        </w:rPr>
        <w:t>参加本项目同一合同项下的政府采购活动</w:t>
      </w:r>
      <w:r>
        <w:rPr>
          <w:rFonts w:hint="eastAsia" w:ascii="宋体" w:hAnsi="宋体" w:eastAsia="宋体" w:cs="Times New Roman"/>
          <w:b/>
          <w:sz w:val="24"/>
          <w:szCs w:val="24"/>
          <w:lang w:val="zh-CN"/>
        </w:rPr>
        <w:t>；</w:t>
      </w:r>
    </w:p>
    <w:p>
      <w:pPr>
        <w:pStyle w:val="49"/>
        <w:spacing w:line="360" w:lineRule="auto"/>
        <w:ind w:left="846" w:firstLine="0"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应严格按照附件格式提交“未与单位负责人为同一人或者存在直接控股、管理关系的其它投标人，参加同一合同项下的政府采购</w:t>
      </w:r>
      <w:r>
        <w:rPr>
          <w:rFonts w:hint="eastAsia" w:ascii="宋体" w:hAnsi="宋体" w:eastAsia="宋体" w:cs="Times New Roman"/>
          <w:sz w:val="24"/>
          <w:szCs w:val="24"/>
          <w:lang w:val="zh-CN"/>
        </w:rPr>
        <w:t>活动</w:t>
      </w:r>
      <w:r>
        <w:rPr>
          <w:rFonts w:hint="eastAsia" w:ascii="宋体" w:hAnsi="宋体" w:eastAsia="宋体" w:cs="Times New Roman"/>
          <w:b/>
          <w:sz w:val="24"/>
          <w:szCs w:val="24"/>
          <w:lang w:val="zh-CN" w:eastAsia="zh-CN"/>
        </w:rPr>
        <w:t>声明函</w:t>
      </w:r>
      <w:r>
        <w:rPr>
          <w:rFonts w:hint="eastAsia" w:ascii="宋体" w:hAnsi="宋体" w:eastAsia="宋体" w:cs="Times New Roman"/>
          <w:sz w:val="24"/>
          <w:szCs w:val="24"/>
          <w:lang w:val="zh-CN" w:eastAsia="zh-CN"/>
        </w:rPr>
        <w:t>”</w:t>
      </w:r>
    </w:p>
    <w:p>
      <w:pPr>
        <w:pStyle w:val="49"/>
        <w:numPr>
          <w:ilvl w:val="0"/>
          <w:numId w:val="59"/>
        </w:numPr>
        <w:spacing w:line="360" w:lineRule="auto"/>
        <w:ind w:firstLineChars="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为本采购项目提供整体设计、规范编制或者项目管理、监理、检测等服务的，</w:t>
      </w:r>
      <w:r>
        <w:rPr>
          <w:rFonts w:hint="eastAsia" w:ascii="宋体" w:hAnsi="宋体" w:eastAsia="宋体" w:cs="Times New Roman"/>
          <w:b/>
          <w:sz w:val="24"/>
          <w:szCs w:val="24"/>
          <w:lang w:val="zh-CN"/>
        </w:rPr>
        <w:t>不得再</w:t>
      </w:r>
      <w:r>
        <w:rPr>
          <w:rFonts w:hint="eastAsia" w:ascii="宋体" w:hAnsi="宋体" w:eastAsia="宋体" w:cs="Times New Roman"/>
          <w:b/>
          <w:sz w:val="24"/>
          <w:szCs w:val="24"/>
          <w:lang w:val="zh-CN" w:eastAsia="zh-CN"/>
        </w:rPr>
        <w:t>参加本项目的其他招标采购活动</w:t>
      </w:r>
      <w:r>
        <w:rPr>
          <w:rFonts w:hint="eastAsia" w:ascii="宋体" w:hAnsi="宋体" w:eastAsia="宋体" w:cs="Times New Roman"/>
          <w:b/>
          <w:sz w:val="24"/>
          <w:szCs w:val="24"/>
          <w:lang w:val="zh-CN"/>
        </w:rPr>
        <w:t>；</w:t>
      </w:r>
    </w:p>
    <w:p>
      <w:pPr>
        <w:pStyle w:val="49"/>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eastAsia="zh-CN"/>
        </w:rPr>
        <w:t>应严格按照附件格式提交“</w:t>
      </w:r>
      <w:r>
        <w:rPr>
          <w:rFonts w:hint="eastAsia" w:ascii="宋体" w:hAnsi="宋体" w:eastAsia="宋体" w:cs="Times New Roman"/>
          <w:sz w:val="24"/>
          <w:szCs w:val="24"/>
          <w:lang w:val="zh-CN"/>
        </w:rPr>
        <w:t>未</w:t>
      </w:r>
      <w:r>
        <w:rPr>
          <w:rFonts w:hint="eastAsia" w:ascii="宋体" w:hAnsi="宋体" w:eastAsia="宋体" w:cs="Times New Roman"/>
          <w:sz w:val="24"/>
          <w:szCs w:val="24"/>
          <w:lang w:val="zh-CN" w:eastAsia="zh-CN"/>
        </w:rPr>
        <w:t>为本采购项目提供整体设计、规范编制或者项目管理、监理、检测等服务的</w:t>
      </w:r>
      <w:r>
        <w:rPr>
          <w:rFonts w:hint="eastAsia" w:ascii="宋体" w:hAnsi="宋体" w:eastAsia="宋体" w:cs="Times New Roman"/>
          <w:b/>
          <w:sz w:val="24"/>
          <w:szCs w:val="24"/>
          <w:lang w:val="zh-CN" w:eastAsia="zh-CN"/>
        </w:rPr>
        <w:t>声明函</w:t>
      </w:r>
      <w:r>
        <w:rPr>
          <w:rFonts w:hint="eastAsia" w:ascii="宋体" w:hAnsi="宋体" w:eastAsia="宋体" w:cs="Times New Roman"/>
          <w:sz w:val="24"/>
          <w:szCs w:val="24"/>
          <w:lang w:val="zh-CN" w:eastAsia="zh-CN"/>
        </w:rPr>
        <w:t>”</w:t>
      </w:r>
    </w:p>
    <w:p>
      <w:pPr>
        <w:pStyle w:val="49"/>
        <w:numPr>
          <w:ilvl w:val="0"/>
          <w:numId w:val="59"/>
        </w:numPr>
        <w:spacing w:line="360" w:lineRule="auto"/>
        <w:ind w:left="840" w:hanging="364" w:firstLineChars="0"/>
        <w:rPr>
          <w:rFonts w:ascii="宋体" w:hAnsi="宋体" w:eastAsia="宋体" w:cs="Times New Roman"/>
          <w:sz w:val="24"/>
          <w:szCs w:val="24"/>
          <w:lang w:val="zh-CN" w:eastAsia="zh-CN"/>
        </w:rPr>
      </w:pPr>
      <w:r>
        <w:rPr>
          <w:rFonts w:hint="eastAsia" w:ascii="宋体" w:hAnsi="宋体" w:eastAsia="宋体" w:cs="Times New Roman"/>
          <w:b/>
          <w:sz w:val="24"/>
          <w:szCs w:val="24"/>
          <w:lang w:val="zh-CN" w:eastAsia="zh-CN"/>
        </w:rPr>
        <w:t>未被“信用中国”网站(www.creditchina.gov.cn)</w:t>
      </w:r>
      <w:r>
        <w:rPr>
          <w:rFonts w:hint="eastAsia" w:ascii="宋体" w:hAnsi="宋体" w:eastAsia="宋体" w:cs="Times New Roman"/>
          <w:sz w:val="24"/>
          <w:szCs w:val="24"/>
          <w:lang w:val="zh-CN" w:eastAsia="zh-CN"/>
        </w:rPr>
        <w:t xml:space="preserve"> </w:t>
      </w:r>
      <w:r>
        <w:rPr>
          <w:rFonts w:hint="eastAsia" w:ascii="宋体" w:hAnsi="宋体" w:eastAsia="宋体" w:cs="Times New Roman"/>
          <w:b/>
          <w:sz w:val="24"/>
          <w:szCs w:val="24"/>
          <w:lang w:val="zh-CN" w:eastAsia="zh-CN"/>
        </w:rPr>
        <w:t>、“中国政府采购网”(www.ccgp.gov.cn)列入失信被执行人、重大税收违法案件当事人名单、政府采购严重违法失信行为记录名单</w:t>
      </w:r>
      <w:r>
        <w:rPr>
          <w:rFonts w:hint="eastAsia" w:ascii="宋体" w:hAnsi="宋体" w:eastAsia="宋体" w:cs="Times New Roman"/>
          <w:b/>
          <w:sz w:val="24"/>
          <w:szCs w:val="24"/>
          <w:lang w:val="zh-CN"/>
        </w:rPr>
        <w:t>：</w:t>
      </w:r>
    </w:p>
    <w:p>
      <w:pPr>
        <w:pStyle w:val="49"/>
        <w:spacing w:line="360" w:lineRule="auto"/>
        <w:ind w:left="840" w:firstLine="0" w:firstLineChars="0"/>
        <w:rPr>
          <w:rFonts w:ascii="宋体" w:hAnsi="宋体" w:eastAsia="宋体" w:cs="Times New Roman"/>
          <w:sz w:val="24"/>
          <w:szCs w:val="24"/>
          <w:lang w:val="zh-CN" w:eastAsia="zh-CN"/>
        </w:rPr>
      </w:pPr>
      <w:r>
        <w:rPr>
          <w:rFonts w:hint="eastAsia" w:ascii="宋体" w:hAnsi="宋体" w:eastAsia="宋体" w:cs="Times New Roman"/>
          <w:sz w:val="24"/>
          <w:szCs w:val="20"/>
          <w:lang w:val="zh-CN"/>
        </w:rPr>
        <w:t>应严格按照附件格式提交“未被列入记录名单的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pStyle w:val="49"/>
        <w:numPr>
          <w:ilvl w:val="0"/>
          <w:numId w:val="59"/>
        </w:numPr>
        <w:spacing w:line="360" w:lineRule="auto"/>
        <w:ind w:left="840" w:hanging="364" w:firstLineChars="0"/>
        <w:rPr>
          <w:rFonts w:ascii="宋体" w:hAnsi="宋体" w:eastAsia="宋体" w:cs="Times New Roman"/>
          <w:b/>
          <w:sz w:val="24"/>
          <w:szCs w:val="24"/>
          <w:lang w:val="zh-CN" w:eastAsia="zh-CN"/>
        </w:rPr>
      </w:pPr>
      <w:r>
        <w:rPr>
          <w:rFonts w:hint="eastAsia" w:ascii="宋体" w:hAnsi="宋体" w:eastAsia="宋体" w:cs="Times New Roman"/>
          <w:b/>
          <w:sz w:val="24"/>
          <w:szCs w:val="24"/>
        </w:rPr>
        <w:t>落实政府采购政策应提供的资料；</w:t>
      </w:r>
    </w:p>
    <w:p>
      <w:pPr>
        <w:pStyle w:val="49"/>
        <w:numPr>
          <w:ilvl w:val="0"/>
          <w:numId w:val="59"/>
        </w:numPr>
        <w:spacing w:line="360" w:lineRule="auto"/>
        <w:ind w:left="840" w:hanging="364" w:firstLineChars="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招标文件第一章“投标人资格要求”中有特殊要求的，投标人应提供其符合特殊要求的证明材料或者情况说明；</w:t>
      </w:r>
    </w:p>
    <w:p>
      <w:pPr>
        <w:pStyle w:val="49"/>
        <w:numPr>
          <w:ilvl w:val="0"/>
          <w:numId w:val="59"/>
        </w:numPr>
        <w:spacing w:line="360" w:lineRule="auto"/>
        <w:ind w:left="964" w:hanging="488" w:firstLineChars="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投标人认为需提供的其它相关资格证明材料；</w:t>
      </w:r>
    </w:p>
    <w:p>
      <w:pPr>
        <w:pStyle w:val="49"/>
        <w:numPr>
          <w:ilvl w:val="0"/>
          <w:numId w:val="59"/>
        </w:numPr>
        <w:spacing w:line="360" w:lineRule="auto"/>
        <w:ind w:left="964" w:hanging="488" w:firstLineChars="0"/>
        <w:rPr>
          <w:rFonts w:ascii="宋体" w:hAnsi="宋体" w:eastAsia="宋体" w:cs="Times New Roman"/>
          <w:b/>
          <w:sz w:val="24"/>
          <w:szCs w:val="24"/>
          <w:lang w:val="zh-CN" w:eastAsia="zh-CN"/>
        </w:rPr>
      </w:pPr>
      <w:r>
        <w:rPr>
          <w:rFonts w:hint="eastAsia" w:ascii="宋体" w:hAnsi="宋体" w:eastAsia="宋体" w:cs="Times New Roman"/>
          <w:b/>
          <w:sz w:val="24"/>
          <w:szCs w:val="24"/>
          <w:lang w:val="zh-CN" w:eastAsia="zh-CN"/>
        </w:rPr>
        <w:t>资格证明文件应为清晰影印件且加盖单位公章。</w:t>
      </w:r>
    </w:p>
    <w:p>
      <w:pPr>
        <w:numPr>
          <w:ilvl w:val="0"/>
          <w:numId w:val="58"/>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49"/>
        <w:numPr>
          <w:ilvl w:val="0"/>
          <w:numId w:val="67"/>
        </w:numPr>
        <w:spacing w:line="360" w:lineRule="auto"/>
        <w:ind w:left="840" w:hanging="364"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资格审查小组按照本章“资格审查方法及标准”，对各投标人资格证明文件进行审查。资格审查小组依据对各投标人资格证明文件的审查结果，确定资格审查合格的投标人，并形成资格审查报告。</w:t>
      </w:r>
    </w:p>
    <w:p>
      <w:pPr>
        <w:pStyle w:val="49"/>
        <w:numPr>
          <w:ilvl w:val="0"/>
          <w:numId w:val="67"/>
        </w:numPr>
        <w:spacing w:line="360" w:lineRule="auto"/>
        <w:ind w:left="840" w:hanging="364"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资格审查合格投标人不足3家的，不进行评标。</w:t>
      </w:r>
    </w:p>
    <w:p>
      <w:pPr>
        <w:pStyle w:val="49"/>
        <w:numPr>
          <w:ilvl w:val="0"/>
          <w:numId w:val="67"/>
        </w:numPr>
        <w:spacing w:line="360" w:lineRule="auto"/>
        <w:ind w:left="840" w:hanging="364" w:firstLineChars="0"/>
        <w:rPr>
          <w:rFonts w:ascii="宋体" w:hAnsi="宋体" w:eastAsia="宋体" w:cs="Times New Roman"/>
          <w:sz w:val="24"/>
          <w:szCs w:val="24"/>
          <w:lang w:val="zh-CN" w:eastAsia="zh-CN"/>
        </w:rPr>
      </w:pPr>
      <w:r>
        <w:rPr>
          <w:rFonts w:hint="eastAsia" w:ascii="宋体" w:hAnsi="宋体" w:eastAsia="宋体" w:cs="Times New Roman"/>
          <w:sz w:val="24"/>
          <w:szCs w:val="24"/>
          <w:lang w:val="zh-CN" w:eastAsia="zh-CN"/>
        </w:rPr>
        <w:t>资格审查未通过的投标人可在结果公告质疑有效期内按公告中的联系方式获知</w:t>
      </w:r>
      <w:r>
        <w:rPr>
          <w:rFonts w:ascii="宋体" w:hAnsi="宋体" w:eastAsia="宋体" w:cs="Times New Roman"/>
          <w:sz w:val="24"/>
          <w:szCs w:val="24"/>
          <w:lang w:val="zh-CN" w:eastAsia="zh-CN"/>
        </w:rPr>
        <w:t>本</w:t>
      </w:r>
      <w:r>
        <w:rPr>
          <w:rFonts w:hint="eastAsia" w:ascii="宋体" w:hAnsi="宋体" w:eastAsia="宋体" w:cs="Times New Roman"/>
          <w:sz w:val="24"/>
          <w:szCs w:val="24"/>
          <w:lang w:val="zh-CN" w:eastAsia="zh-CN"/>
        </w:rPr>
        <w:t>单位</w:t>
      </w:r>
      <w:r>
        <w:rPr>
          <w:rFonts w:ascii="宋体" w:hAnsi="宋体" w:eastAsia="宋体" w:cs="Times New Roman"/>
          <w:sz w:val="24"/>
          <w:szCs w:val="24"/>
          <w:lang w:val="zh-CN" w:eastAsia="zh-CN"/>
        </w:rPr>
        <w:t>的</w:t>
      </w:r>
      <w:r>
        <w:rPr>
          <w:rFonts w:hint="eastAsia" w:ascii="宋体" w:hAnsi="宋体" w:eastAsia="宋体" w:cs="Times New Roman"/>
          <w:sz w:val="24"/>
          <w:szCs w:val="24"/>
          <w:lang w:val="zh-CN" w:eastAsia="zh-CN"/>
        </w:rPr>
        <w:t>资格审查情况。</w:t>
      </w:r>
    </w:p>
    <w:p>
      <w:pPr>
        <w:pStyle w:val="49"/>
        <w:numPr>
          <w:ilvl w:val="0"/>
          <w:numId w:val="67"/>
        </w:numPr>
        <w:spacing w:line="360" w:lineRule="auto"/>
        <w:ind w:left="840" w:hanging="364" w:firstLineChars="0"/>
        <w:rPr>
          <w:rFonts w:ascii="宋体" w:hAnsi="宋体" w:eastAsia="宋体" w:cs="Times New Roman"/>
          <w:b/>
          <w:sz w:val="24"/>
          <w:szCs w:val="24"/>
          <w:lang w:val="zh-CN" w:eastAsia="zh-CN"/>
        </w:rPr>
      </w:pPr>
      <w:r>
        <w:rPr>
          <w:rFonts w:hint="eastAsia" w:ascii="宋体" w:hAnsi="宋体" w:eastAsia="宋体" w:cs="Times New Roman"/>
          <w:sz w:val="24"/>
          <w:szCs w:val="24"/>
          <w:lang w:val="zh-CN" w:eastAsia="zh-CN"/>
        </w:rPr>
        <w:t>采购人已进行资格预审的，不再进行资格审查。未通过资格预审的投标人集中采购机构</w:t>
      </w:r>
      <w:r>
        <w:rPr>
          <w:rFonts w:hint="eastAsia" w:ascii="宋体" w:hAnsi="宋体" w:eastAsia="宋体" w:cs="Times New Roman"/>
          <w:b/>
          <w:sz w:val="24"/>
          <w:szCs w:val="24"/>
          <w:lang w:val="zh-CN" w:eastAsia="zh-CN"/>
        </w:rPr>
        <w:t>拒绝</w:t>
      </w:r>
      <w:r>
        <w:rPr>
          <w:rFonts w:hint="eastAsia" w:ascii="宋体" w:hAnsi="宋体" w:eastAsia="宋体" w:cs="Times New Roman"/>
          <w:sz w:val="24"/>
          <w:szCs w:val="24"/>
          <w:lang w:val="zh-CN" w:eastAsia="zh-CN"/>
        </w:rPr>
        <w:t>其投标。</w:t>
      </w:r>
    </w:p>
    <w:p>
      <w:pPr>
        <w:spacing w:line="360" w:lineRule="auto"/>
        <w:ind w:left="826" w:hanging="826" w:hangingChars="343"/>
        <w:rPr>
          <w:rFonts w:ascii="宋体" w:hAnsi="宋体" w:eastAsia="宋体" w:cs="Times New Roman"/>
          <w:b/>
          <w:sz w:val="24"/>
          <w:szCs w:val="24"/>
          <w:lang w:val="zh-CN" w:eastAsia="zh-CN"/>
        </w:rPr>
      </w:pPr>
      <w:r>
        <w:rPr>
          <w:rFonts w:ascii="宋体" w:hAnsi="宋体" w:eastAsia="宋体" w:cs="Times New Roman"/>
          <w:b/>
          <w:sz w:val="24"/>
          <w:szCs w:val="24"/>
          <w:lang w:val="zh-CN" w:eastAsia="zh-CN"/>
        </w:rPr>
        <w:br w:type="page"/>
      </w:r>
    </w:p>
    <w:p>
      <w:pPr>
        <w:pStyle w:val="49"/>
        <w:numPr>
          <w:ilvl w:val="0"/>
          <w:numId w:val="67"/>
        </w:numPr>
        <w:spacing w:line="360" w:lineRule="auto"/>
        <w:ind w:left="840" w:hanging="364" w:firstLineChars="0"/>
        <w:rPr>
          <w:rFonts w:ascii="宋体" w:hAnsi="宋体" w:eastAsia="宋体" w:cs="Times New Roman"/>
          <w:b/>
          <w:sz w:val="24"/>
          <w:szCs w:val="24"/>
          <w:lang w:val="zh-CN" w:eastAsia="zh-CN"/>
        </w:rPr>
        <w:sectPr>
          <w:pgSz w:w="11906" w:h="16838"/>
          <w:pgMar w:top="1134" w:right="1191" w:bottom="1134" w:left="1191" w:header="851" w:footer="992" w:gutter="0"/>
          <w:pgNumType w:fmt="decimal"/>
          <w:cols w:space="425" w:num="1"/>
          <w:docGrid w:type="lines" w:linePitch="312" w:charSpace="0"/>
        </w:sectPr>
      </w:pPr>
    </w:p>
    <w:p>
      <w:pPr>
        <w:pStyle w:val="3"/>
        <w:numPr>
          <w:ilvl w:val="0"/>
          <w:numId w:val="2"/>
        </w:numPr>
        <w:spacing w:before="240" w:after="120"/>
        <w:ind w:left="883" w:hanging="880" w:hangingChars="200"/>
        <w:jc w:val="center"/>
        <w:rPr>
          <w:rFonts w:ascii="黑体" w:hAnsi="黑体" w:eastAsia="黑体"/>
        </w:rPr>
      </w:pPr>
      <w:bookmarkStart w:id="271" w:name="_Toc21964"/>
      <w:bookmarkStart w:id="272" w:name="_Toc511894516"/>
      <w:r>
        <w:rPr>
          <w:rFonts w:hint="eastAsia" w:ascii="黑体" w:hAnsi="黑体" w:eastAsia="黑体"/>
        </w:rPr>
        <w:t>评标方法、程序及标准</w:t>
      </w:r>
      <w:bookmarkEnd w:id="271"/>
      <w:bookmarkEnd w:id="272"/>
    </w:p>
    <w:p>
      <w:pPr>
        <w:spacing w:line="360" w:lineRule="auto"/>
        <w:ind w:firstLine="480" w:firstLineChars="200"/>
        <w:rPr>
          <w:rFonts w:hint="eastAsia" w:ascii="宋体" w:hAnsi="宋体" w:eastAsia="宋体" w:cs="Times New Roman"/>
          <w:bCs/>
          <w:sz w:val="24"/>
          <w:szCs w:val="20"/>
          <w:lang w:val="zh-CN" w:eastAsia="zh-CN"/>
        </w:rPr>
      </w:pPr>
      <w:r>
        <w:rPr>
          <w:rFonts w:hint="eastAsia" w:ascii="宋体" w:hAnsi="宋体" w:eastAsia="宋体" w:cs="Times New Roman"/>
          <w:bCs/>
          <w:sz w:val="24"/>
          <w:szCs w:val="20"/>
          <w:lang w:val="zh-CN" w:eastAsia="zh-CN"/>
        </w:rPr>
        <w:t>根据《政府采购法》、《政府采购法实施条例》、《政府采购货物和服务招标投标管理办法》等相关</w:t>
      </w:r>
      <w:r>
        <w:rPr>
          <w:rFonts w:hint="eastAsia" w:ascii="宋体" w:hAnsi="宋体" w:eastAsia="宋体" w:cs="Times New Roman"/>
          <w:bCs/>
          <w:sz w:val="24"/>
          <w:szCs w:val="20"/>
          <w:lang w:val="zh-CN"/>
        </w:rPr>
        <w:t>法律法规</w:t>
      </w:r>
      <w:r>
        <w:rPr>
          <w:rFonts w:hint="eastAsia" w:ascii="宋体" w:hAnsi="宋体" w:eastAsia="宋体" w:cs="Times New Roman"/>
          <w:bCs/>
          <w:sz w:val="24"/>
          <w:szCs w:val="20"/>
          <w:lang w:val="zh-CN" w:eastAsia="zh-CN"/>
        </w:rPr>
        <w:t>确定以下评标办法、程序及标准。</w:t>
      </w:r>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根据《政府采购法》、《政府采购法实施条例》、《政府采购货物和服务招标投标管理办法》等相关法律法规确定以下评标办法、程序及标准。</w:t>
      </w:r>
    </w:p>
    <w:p>
      <w:pPr>
        <w:pStyle w:val="4"/>
        <w:numPr>
          <w:ilvl w:val="0"/>
          <w:numId w:val="68"/>
        </w:numPr>
        <w:spacing w:before="0" w:after="0" w:line="360" w:lineRule="auto"/>
        <w:ind w:left="616" w:hanging="616"/>
        <w:jc w:val="left"/>
        <w:rPr>
          <w:rFonts w:ascii="宋体" w:hAnsi="宋体" w:cs="Times New Roman"/>
          <w:bCs w:val="0"/>
          <w:sz w:val="30"/>
          <w:szCs w:val="30"/>
        </w:rPr>
      </w:pPr>
      <w:bookmarkStart w:id="273" w:name="_Toc278891605"/>
      <w:bookmarkStart w:id="274" w:name="_Toc272247708"/>
      <w:bookmarkStart w:id="275" w:name="_Toc511894517"/>
      <w:bookmarkStart w:id="276" w:name="_Toc494561961"/>
      <w:bookmarkStart w:id="277" w:name="_Toc15913012"/>
      <w:bookmarkStart w:id="278" w:name="_Toc21322"/>
      <w:r>
        <w:rPr>
          <w:rFonts w:hint="eastAsia" w:ascii="宋体" w:hAnsi="宋体" w:cs="Times New Roman"/>
          <w:bCs w:val="0"/>
          <w:sz w:val="30"/>
          <w:szCs w:val="30"/>
        </w:rPr>
        <w:t>评标</w:t>
      </w:r>
      <w:bookmarkEnd w:id="273"/>
      <w:bookmarkEnd w:id="274"/>
      <w:r>
        <w:rPr>
          <w:rFonts w:hint="eastAsia" w:ascii="宋体" w:hAnsi="宋体" w:cs="Times New Roman"/>
          <w:bCs w:val="0"/>
          <w:sz w:val="30"/>
          <w:szCs w:val="30"/>
        </w:rPr>
        <w:t>方法</w:t>
      </w:r>
      <w:bookmarkEnd w:id="275"/>
      <w:bookmarkEnd w:id="276"/>
      <w:bookmarkEnd w:id="277"/>
      <w:bookmarkEnd w:id="278"/>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本项目评标采用</w:t>
      </w:r>
      <w:r>
        <w:rPr>
          <w:rFonts w:hint="eastAsia" w:ascii="宋体" w:hAnsi="宋体" w:eastAsia="宋体" w:cs="Times New Roman"/>
          <w:b/>
          <w:bCs/>
          <w:sz w:val="24"/>
          <w:szCs w:val="20"/>
        </w:rPr>
        <w:t>综合评分法</w:t>
      </w:r>
      <w:r>
        <w:rPr>
          <w:rFonts w:hint="eastAsia" w:ascii="宋体" w:hAnsi="宋体" w:eastAsia="宋体" w:cs="Times New Roman"/>
          <w:bCs/>
          <w:sz w:val="24"/>
          <w:szCs w:val="20"/>
        </w:rPr>
        <w:t>。</w:t>
      </w:r>
      <w:r>
        <w:rPr>
          <w:rFonts w:ascii="宋体" w:hAnsi="宋体" w:eastAsia="宋体" w:cs="Times New Roman"/>
          <w:bCs/>
          <w:sz w:val="24"/>
          <w:szCs w:val="20"/>
        </w:rPr>
        <w:t>是指投标文件满足招标文件全部实质性要求，且按照评审因素的量化指标评审得分最高的投标人为中标候选人的评标方法。</w:t>
      </w:r>
    </w:p>
    <w:p>
      <w:pPr>
        <w:pStyle w:val="4"/>
        <w:numPr>
          <w:ilvl w:val="0"/>
          <w:numId w:val="68"/>
        </w:numPr>
        <w:spacing w:before="0" w:after="0" w:line="360" w:lineRule="auto"/>
        <w:ind w:left="616" w:hanging="616"/>
        <w:jc w:val="left"/>
        <w:rPr>
          <w:rFonts w:ascii="宋体" w:hAnsi="宋体" w:cs="Times New Roman"/>
          <w:bCs w:val="0"/>
          <w:sz w:val="30"/>
          <w:szCs w:val="30"/>
        </w:rPr>
      </w:pPr>
      <w:bookmarkStart w:id="279" w:name="_Toc278891606"/>
      <w:bookmarkStart w:id="280" w:name="_Toc272247709"/>
      <w:bookmarkStart w:id="281" w:name="_Toc24901"/>
      <w:bookmarkStart w:id="282" w:name="_Toc494561962"/>
      <w:bookmarkStart w:id="283" w:name="_Toc511894518"/>
      <w:bookmarkStart w:id="284" w:name="_Toc15913013"/>
      <w:r>
        <w:rPr>
          <w:rFonts w:hint="eastAsia" w:ascii="宋体" w:hAnsi="宋体" w:cs="Times New Roman"/>
          <w:bCs w:val="0"/>
          <w:sz w:val="30"/>
          <w:szCs w:val="30"/>
        </w:rPr>
        <w:t>评标程序</w:t>
      </w:r>
      <w:bookmarkEnd w:id="279"/>
      <w:bookmarkEnd w:id="280"/>
      <w:r>
        <w:rPr>
          <w:rFonts w:hint="eastAsia" w:ascii="宋体" w:hAnsi="宋体" w:cs="Times New Roman"/>
          <w:bCs w:val="0"/>
          <w:sz w:val="30"/>
          <w:szCs w:val="30"/>
        </w:rPr>
        <w:t>及标准</w:t>
      </w:r>
      <w:bookmarkEnd w:id="281"/>
      <w:bookmarkEnd w:id="282"/>
      <w:bookmarkEnd w:id="283"/>
      <w:bookmarkEnd w:id="284"/>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评标委员会按以下工作程序进行评标：</w:t>
      </w:r>
      <w:r>
        <w:rPr>
          <w:rFonts w:hint="eastAsia" w:ascii="宋体" w:hAnsi="宋体" w:eastAsia="宋体" w:cs="Times New Roman"/>
          <w:sz w:val="24"/>
          <w:szCs w:val="20"/>
        </w:rPr>
        <w:t>符合性审查、澄清有关问题、综合比较和评价、确定中标候选人名单。</w:t>
      </w:r>
    </w:p>
    <w:p>
      <w:pPr>
        <w:numPr>
          <w:ilvl w:val="0"/>
          <w:numId w:val="69"/>
        </w:numPr>
        <w:ind w:left="1311" w:leftChars="154" w:hanging="988" w:hangingChars="353"/>
        <w:rPr>
          <w:rFonts w:ascii="宋体" w:hAnsi="宋体" w:eastAsia="宋体" w:cs="Times New Roman"/>
          <w:strike/>
          <w:sz w:val="28"/>
          <w:szCs w:val="28"/>
        </w:rPr>
      </w:pPr>
      <w:r>
        <w:rPr>
          <w:rFonts w:hint="eastAsia" w:ascii="宋体" w:hAnsi="宋体" w:eastAsia="宋体" w:cs="Times New Roman"/>
          <w:b/>
          <w:sz w:val="28"/>
          <w:szCs w:val="28"/>
        </w:rPr>
        <w:t>符合性审查</w:t>
      </w:r>
    </w:p>
    <w:p>
      <w:pPr>
        <w:spacing w:line="360" w:lineRule="auto"/>
        <w:ind w:firstLine="470" w:firstLineChars="196"/>
      </w:pPr>
      <w:r>
        <w:rPr>
          <w:rFonts w:ascii="Helvetica" w:hAnsi="Helvetica" w:eastAsia="宋体" w:cs="Helvetica"/>
          <w:kern w:val="0"/>
          <w:sz w:val="24"/>
          <w:szCs w:val="24"/>
        </w:rPr>
        <w:t>评标委员会应当对符合资格的投标人的投标文件进行符合性审查，以确定其是否满足招标文件的实质性要求。</w:t>
      </w:r>
      <w:r>
        <w:rPr>
          <w:rFonts w:hint="eastAsia" w:ascii="宋体" w:hAnsi="宋体" w:eastAsia="宋体" w:cs="Times New Roman"/>
          <w:bCs/>
          <w:sz w:val="24"/>
          <w:szCs w:val="20"/>
        </w:rPr>
        <w:t>符合性审查出现下列情形之一的投标按照</w:t>
      </w:r>
      <w:r>
        <w:rPr>
          <w:rFonts w:hint="eastAsia" w:ascii="宋体" w:hAnsi="宋体" w:eastAsia="宋体" w:cs="Times New Roman"/>
          <w:b/>
          <w:bCs/>
          <w:sz w:val="24"/>
          <w:szCs w:val="20"/>
        </w:rPr>
        <w:t>无效投标处理</w:t>
      </w:r>
      <w:r>
        <w:rPr>
          <w:rFonts w:hint="eastAsia" w:ascii="宋体" w:hAnsi="宋体" w:eastAsia="宋体" w:cs="Times New Roman"/>
          <w:bCs/>
          <w:sz w:val="24"/>
          <w:szCs w:val="20"/>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b/>
                <w:bCs/>
                <w:sz w:val="24"/>
                <w:szCs w:val="20"/>
              </w:rPr>
            </w:pPr>
            <w:r>
              <w:rPr>
                <w:rFonts w:hint="eastAsia" w:ascii="宋体" w:hAnsi="宋体"/>
                <w:b/>
                <w:bCs/>
                <w:sz w:val="24"/>
                <w:szCs w:val="20"/>
              </w:rPr>
              <w:t>序号</w:t>
            </w:r>
          </w:p>
        </w:tc>
        <w:tc>
          <w:tcPr>
            <w:tcW w:w="8781" w:type="dxa"/>
          </w:tcPr>
          <w:p>
            <w:pPr>
              <w:spacing w:line="360" w:lineRule="auto"/>
              <w:jc w:val="center"/>
              <w:rPr>
                <w:rFonts w:ascii="宋体" w:hAnsi="宋体"/>
                <w:b/>
                <w:bCs/>
                <w:sz w:val="24"/>
                <w:szCs w:val="20"/>
              </w:rPr>
            </w:pPr>
            <w:r>
              <w:rPr>
                <w:rFonts w:hint="eastAsia" w:ascii="宋体" w:hAnsi="宋体"/>
                <w:b/>
                <w:bCs/>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投标总报价超过项目（分包）预算金额或最高限价的；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《投标书》、《法定代表人授权书》、《开标一览表（含明细）》未提供或不符合招标文件要求的；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工期（服务期限）、质保期不符合招标文件要求的；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出现两个或两个以上不同报价的；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出现两个或两个以上投标方案的（招标文件中要求提供备选方案的除外）；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投标报价存在缺项、漏项的；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无法定代表人签字（签章）或签字人无法定代表人有效授权的；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未按要求提供加盖公章及签字（签章）的；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asciiTheme="minorEastAsia" w:hAnsiTheme="minorEastAsia"/>
                <w:sz w:val="24"/>
                <w:szCs w:val="24"/>
              </w:rPr>
              <w:t>符合招标文件第二章“投标人须知”中39条中规定情形，以分公司形式参与投标的，法定代表人授权书未由总公司法定代表人签字（签章）并加盖公章的；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ascii="宋体" w:hAnsi="宋体" w:cs="宋体"/>
                <w:kern w:val="0"/>
                <w:sz w:val="24"/>
                <w:szCs w:val="24"/>
              </w:rPr>
              <w:t>依据财库[2019]9号文的规定，</w:t>
            </w:r>
            <w:r>
              <w:rPr>
                <w:rFonts w:hint="eastAsia" w:hAnsi="宋体"/>
                <w:sz w:val="24"/>
                <w:szCs w:val="24"/>
              </w:rPr>
              <w:t>招标文件采购清单中为“节能产品”的货物，</w:t>
            </w:r>
            <w:r>
              <w:rPr>
                <w:rFonts w:hint="eastAsia" w:ascii="宋体" w:hAnsi="宋体" w:cs="宋体"/>
                <w:kern w:val="0"/>
                <w:sz w:val="24"/>
                <w:szCs w:val="24"/>
              </w:rPr>
              <w:t>未提供国家确定的认证机构出具的节能产品认证证书的；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所投货物是通过中国海关报关验放进入中国境内且产自关境外的（招标文件中注明已办理进口产品审核的除外）；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未提供所投货物（工程或服务）的具体参数值或功能表述，或原文复制招标文件的技术规格相关部分内容作为其投标文件的一部分的；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不满足招标文件第三章“项目技术、服务和商务要求”中“★”号条款要求的；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Ansi="宋体"/>
                <w:sz w:val="24"/>
                <w:szCs w:val="24"/>
              </w:rPr>
              <w:t>含有采购人不能接受的附加条件的</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未按要求提供《符合性审查对照表》、《商务要求响应、偏离说明表》、《商务要求“★”号条款响应、偏离说明表》、《商务评议对照表》和《技术、服务要求响应、偏离说明表》、《技术、服务要求“★”号条款响应、偏离说明表》、《技术、服务评议对照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不同投标人使用同一电脑（机器特征值一致：如MAC地址等）或使用同一电子密钥，编制或上传电子投标文件；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7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Ansi="宋体"/>
                <w:sz w:val="24"/>
                <w:szCs w:val="24"/>
              </w:rPr>
              <w:t>法律、法规</w:t>
            </w:r>
            <w:r>
              <w:rPr>
                <w:rFonts w:hint="eastAsia" w:hAnsi="宋体"/>
                <w:sz w:val="24"/>
                <w:szCs w:val="24"/>
              </w:rPr>
              <w:t>和招标文件</w:t>
            </w:r>
            <w:r>
              <w:rPr>
                <w:rFonts w:hAnsi="宋体"/>
                <w:sz w:val="24"/>
                <w:szCs w:val="24"/>
              </w:rPr>
              <w:t>规定的其他</w:t>
            </w:r>
            <w:r>
              <w:rPr>
                <w:rFonts w:hint="eastAsia" w:hAnsi="宋体"/>
                <w:sz w:val="24"/>
                <w:szCs w:val="24"/>
              </w:rPr>
              <w:t>无效投标</w:t>
            </w:r>
            <w:r>
              <w:rPr>
                <w:rFonts w:hAnsi="宋体"/>
                <w:sz w:val="24"/>
                <w:szCs w:val="24"/>
              </w:rPr>
              <w:t>情形。</w:t>
            </w:r>
          </w:p>
        </w:tc>
      </w:tr>
    </w:tbl>
    <w:p>
      <w:pPr>
        <w:numPr>
          <w:ilvl w:val="0"/>
          <w:numId w:val="69"/>
        </w:numPr>
        <w:ind w:left="1311" w:leftChars="154" w:hanging="988" w:hangingChars="353"/>
        <w:rPr>
          <w:rFonts w:ascii="宋体" w:hAnsi="宋体" w:eastAsia="宋体" w:cs="Times New Roman"/>
          <w:b/>
          <w:sz w:val="28"/>
          <w:szCs w:val="28"/>
        </w:rPr>
      </w:pPr>
      <w:r>
        <w:rPr>
          <w:rFonts w:hint="eastAsia" w:ascii="宋体" w:hAnsi="宋体" w:eastAsia="宋体" w:cs="Times New Roman"/>
          <w:b/>
          <w:sz w:val="28"/>
          <w:szCs w:val="28"/>
        </w:rPr>
        <w:t>澄清有关问题</w:t>
      </w:r>
    </w:p>
    <w:p>
      <w:pPr>
        <w:numPr>
          <w:ilvl w:val="0"/>
          <w:numId w:val="71"/>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评标期间，</w:t>
      </w:r>
      <w:r>
        <w:rPr>
          <w:rFonts w:ascii="Helvetica" w:hAnsi="Helvetica" w:eastAsia="宋体" w:cs="Helvetica"/>
          <w:kern w:val="0"/>
          <w:sz w:val="24"/>
          <w:szCs w:val="24"/>
        </w:rPr>
        <w:t>对于投标文件中含义不明确、同类问题表述不一致或者有明显文字和计算错误的内容，评标委员会应当以书面形式要求投标人作出必要的澄清、说明或者补正。</w:t>
      </w:r>
    </w:p>
    <w:p>
      <w:pPr>
        <w:numPr>
          <w:ilvl w:val="0"/>
          <w:numId w:val="71"/>
        </w:numPr>
        <w:tabs>
          <w:tab w:val="left" w:pos="616"/>
        </w:tabs>
        <w:spacing w:line="360" w:lineRule="auto"/>
        <w:ind w:left="10" w:leftChars="5" w:firstLine="237" w:firstLineChars="99"/>
        <w:rPr>
          <w:rFonts w:ascii="宋体" w:hAnsi="宋体" w:eastAsia="宋体" w:cs="Times New Roman"/>
          <w:bCs/>
          <w:strike/>
          <w:sz w:val="24"/>
          <w:szCs w:val="20"/>
        </w:rPr>
      </w:pPr>
      <w:r>
        <w:rPr>
          <w:rFonts w:hint="eastAsia" w:ascii="宋体" w:hAnsi="宋体" w:eastAsia="宋体" w:cs="Times New Roman"/>
          <w:bCs/>
          <w:sz w:val="24"/>
          <w:szCs w:val="20"/>
        </w:rPr>
        <w:t>投标人应按照评标委员会要求的澄清内容在规定时间内做出澄清。</w:t>
      </w:r>
      <w:r>
        <w:rPr>
          <w:rFonts w:ascii="宋体" w:hAnsi="宋体" w:eastAsia="宋体" w:cs="Times New Roman"/>
          <w:sz w:val="24"/>
          <w:szCs w:val="20"/>
        </w:rPr>
        <w:t>投标文件报价出现前后不一致的</w:t>
      </w:r>
      <w:r>
        <w:rPr>
          <w:rFonts w:hint="eastAsia" w:ascii="宋体" w:hAnsi="宋体" w:eastAsia="宋体" w:cs="Times New Roman"/>
          <w:sz w:val="24"/>
          <w:szCs w:val="20"/>
        </w:rPr>
        <w:t>，按照本节第3</w:t>
      </w:r>
      <w:r>
        <w:rPr>
          <w:rFonts w:hint="eastAsia" w:ascii="宋体" w:hAnsi="宋体" w:eastAsia="宋体" w:cs="Times New Roman"/>
          <w:bCs/>
          <w:sz w:val="24"/>
          <w:szCs w:val="20"/>
        </w:rPr>
        <w:t>条规定进行修正，</w:t>
      </w:r>
      <w:r>
        <w:rPr>
          <w:rFonts w:ascii="Helvetica" w:hAnsi="Helvetica" w:eastAsia="宋体" w:cs="Helvetica"/>
          <w:kern w:val="0"/>
          <w:sz w:val="24"/>
          <w:szCs w:val="24"/>
        </w:rPr>
        <w:t>投标人的澄清、说明或者补正不得超出投标文件的范围或者改变投标文件的实质性内容。</w:t>
      </w:r>
    </w:p>
    <w:p>
      <w:pPr>
        <w:numPr>
          <w:ilvl w:val="0"/>
          <w:numId w:val="71"/>
        </w:numPr>
        <w:tabs>
          <w:tab w:val="left" w:pos="616"/>
        </w:tabs>
        <w:spacing w:line="360" w:lineRule="auto"/>
        <w:ind w:left="10" w:leftChars="5" w:firstLine="237" w:firstLineChars="99"/>
        <w:rPr>
          <w:rFonts w:ascii="宋体" w:hAnsi="宋体" w:eastAsia="宋体" w:cs="Times New Roman"/>
          <w:bCs/>
          <w:sz w:val="24"/>
          <w:szCs w:val="20"/>
        </w:rPr>
      </w:pPr>
      <w:r>
        <w:rPr>
          <w:rFonts w:ascii="宋体" w:hAnsi="宋体" w:eastAsia="宋体" w:cs="Times New Roman"/>
          <w:bCs/>
          <w:sz w:val="24"/>
          <w:szCs w:val="20"/>
        </w:rPr>
        <w:t>投标文件报价出现前后不一致的，按照下列规定修正：</w:t>
      </w:r>
    </w:p>
    <w:p>
      <w:pPr>
        <w:numPr>
          <w:ilvl w:val="0"/>
          <w:numId w:val="7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投标文件中开标一览表内容与投标文件中相应内容不一致的，以开标一览表为准</w:t>
      </w:r>
      <w:r>
        <w:rPr>
          <w:rFonts w:hint="eastAsia" w:ascii="宋体" w:hAnsi="宋体" w:eastAsia="宋体" w:cs="Times New Roman"/>
          <w:color w:val="0D0D0D"/>
          <w:sz w:val="24"/>
          <w:szCs w:val="24"/>
        </w:rPr>
        <w:t>。</w:t>
      </w:r>
    </w:p>
    <w:p>
      <w:pPr>
        <w:numPr>
          <w:ilvl w:val="0"/>
          <w:numId w:val="7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大写金额和小写金额不一致的，以大写金额为准</w:t>
      </w:r>
      <w:r>
        <w:rPr>
          <w:rFonts w:hint="eastAsia" w:ascii="宋体" w:hAnsi="宋体" w:eastAsia="宋体" w:cs="Times New Roman"/>
          <w:color w:val="0D0D0D"/>
          <w:sz w:val="24"/>
          <w:szCs w:val="24"/>
        </w:rPr>
        <w:t>。</w:t>
      </w:r>
    </w:p>
    <w:p>
      <w:pPr>
        <w:numPr>
          <w:ilvl w:val="0"/>
          <w:numId w:val="7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单价金额小数点或者百分比有明显错位的，以开标一览表的总价为准，并修改单价</w:t>
      </w:r>
      <w:r>
        <w:rPr>
          <w:rFonts w:hint="eastAsia" w:ascii="宋体" w:hAnsi="宋体" w:eastAsia="宋体" w:cs="Times New Roman"/>
          <w:color w:val="0D0D0D"/>
          <w:sz w:val="24"/>
          <w:szCs w:val="24"/>
        </w:rPr>
        <w:t>。</w:t>
      </w:r>
    </w:p>
    <w:p>
      <w:pPr>
        <w:numPr>
          <w:ilvl w:val="0"/>
          <w:numId w:val="7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总价金额与按单价汇总金额不一致的，以单价金额计算结果为准</w:t>
      </w:r>
      <w:r>
        <w:rPr>
          <w:rFonts w:hint="eastAsia" w:ascii="宋体" w:hAnsi="宋体" w:eastAsia="宋体" w:cs="Times New Roman"/>
          <w:color w:val="0D0D0D"/>
          <w:sz w:val="24"/>
          <w:szCs w:val="24"/>
        </w:rPr>
        <w:t>。</w:t>
      </w:r>
    </w:p>
    <w:p>
      <w:pPr>
        <w:numPr>
          <w:ilvl w:val="0"/>
          <w:numId w:val="7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同时出现两种以上不一致的，按照前款规定的顺序修正</w:t>
      </w:r>
      <w:r>
        <w:rPr>
          <w:rFonts w:hint="eastAsia" w:ascii="宋体" w:hAnsi="宋体" w:eastAsia="宋体" w:cs="Times New Roman"/>
          <w:color w:val="0D0D0D"/>
          <w:sz w:val="24"/>
          <w:szCs w:val="24"/>
        </w:rPr>
        <w:t>。</w:t>
      </w:r>
    </w:p>
    <w:p>
      <w:pPr>
        <w:numPr>
          <w:ilvl w:val="0"/>
          <w:numId w:val="7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修正后的报价按照</w:t>
      </w:r>
      <w:r>
        <w:rPr>
          <w:rFonts w:hint="eastAsia" w:ascii="宋体" w:hAnsi="宋体" w:eastAsia="宋体" w:cs="Times New Roman"/>
          <w:color w:val="0D0D0D"/>
          <w:sz w:val="24"/>
          <w:szCs w:val="24"/>
        </w:rPr>
        <w:t>本节第4条规定</w:t>
      </w:r>
      <w:r>
        <w:rPr>
          <w:rFonts w:ascii="宋体" w:hAnsi="宋体" w:eastAsia="宋体" w:cs="Times New Roman"/>
          <w:color w:val="0D0D0D"/>
          <w:sz w:val="24"/>
          <w:szCs w:val="24"/>
        </w:rPr>
        <w:t>经投标人确认后产生约束力，投标人不确认的，</w:t>
      </w:r>
      <w:r>
        <w:rPr>
          <w:rFonts w:hint="eastAsia" w:ascii="宋体" w:hAnsi="宋体" w:eastAsia="宋体" w:cs="Times New Roman"/>
          <w:color w:val="0D0D0D"/>
          <w:sz w:val="24"/>
          <w:szCs w:val="24"/>
        </w:rPr>
        <w:t>按照</w:t>
      </w:r>
      <w:r>
        <w:rPr>
          <w:rFonts w:ascii="宋体" w:hAnsi="宋体" w:eastAsia="宋体" w:cs="Times New Roman"/>
          <w:b/>
          <w:color w:val="0D0D0D"/>
          <w:sz w:val="24"/>
          <w:szCs w:val="24"/>
        </w:rPr>
        <w:t>无效</w:t>
      </w:r>
      <w:r>
        <w:rPr>
          <w:rFonts w:hint="eastAsia" w:ascii="宋体" w:hAnsi="宋体" w:eastAsia="宋体" w:cs="Times New Roman"/>
          <w:b/>
          <w:color w:val="0D0D0D"/>
          <w:sz w:val="24"/>
          <w:szCs w:val="24"/>
        </w:rPr>
        <w:t>投标处理</w:t>
      </w:r>
      <w:r>
        <w:rPr>
          <w:rFonts w:ascii="宋体" w:hAnsi="宋体" w:eastAsia="宋体" w:cs="Times New Roman"/>
          <w:color w:val="0D0D0D"/>
          <w:sz w:val="24"/>
          <w:szCs w:val="24"/>
        </w:rPr>
        <w:t>。</w:t>
      </w:r>
    </w:p>
    <w:p>
      <w:pPr>
        <w:numPr>
          <w:ilvl w:val="0"/>
          <w:numId w:val="71"/>
        </w:numPr>
        <w:tabs>
          <w:tab w:val="left" w:pos="616"/>
        </w:tabs>
        <w:spacing w:line="360" w:lineRule="auto"/>
        <w:ind w:left="10" w:leftChars="5" w:firstLine="237" w:firstLineChars="99"/>
        <w:rPr>
          <w:rFonts w:ascii="宋体" w:hAnsi="宋体" w:eastAsia="宋体" w:cs="Times New Roman"/>
          <w:sz w:val="24"/>
          <w:szCs w:val="20"/>
        </w:rPr>
      </w:pPr>
      <w:r>
        <w:rPr>
          <w:rFonts w:hint="eastAsia" w:ascii="宋体" w:hAnsi="宋体" w:eastAsia="宋体" w:cs="Times New Roman"/>
          <w:sz w:val="24"/>
          <w:szCs w:val="20"/>
        </w:rPr>
        <w:t>投标人的</w:t>
      </w:r>
      <w:r>
        <w:rPr>
          <w:rFonts w:ascii="Helvetica" w:hAnsi="Helvetica" w:eastAsia="宋体" w:cs="Helvetica"/>
          <w:kern w:val="0"/>
          <w:sz w:val="24"/>
          <w:szCs w:val="24"/>
        </w:rPr>
        <w:t>澄清、说明或者补正</w:t>
      </w:r>
      <w:r>
        <w:rPr>
          <w:rFonts w:hint="eastAsia" w:ascii="宋体" w:hAnsi="宋体" w:eastAsia="宋体" w:cs="Times New Roman"/>
          <w:sz w:val="24"/>
          <w:szCs w:val="20"/>
        </w:rPr>
        <w:t>是其投标文件的有效组成部分。</w:t>
      </w:r>
      <w:r>
        <w:rPr>
          <w:rFonts w:ascii="Helvetica" w:hAnsi="Helvetica" w:eastAsia="宋体" w:cs="Helvetica"/>
          <w:kern w:val="0"/>
          <w:sz w:val="24"/>
          <w:szCs w:val="24"/>
        </w:rPr>
        <w:t>投标人的澄清、说明或者补正应当采用书面形式，并加盖公章，或者由法定代表人或其授权的代表签字。</w:t>
      </w:r>
    </w:p>
    <w:p>
      <w:pPr>
        <w:numPr>
          <w:ilvl w:val="0"/>
          <w:numId w:val="69"/>
        </w:numPr>
        <w:ind w:left="1311" w:leftChars="154" w:hanging="988" w:hangingChars="353"/>
        <w:rPr>
          <w:rFonts w:ascii="宋体" w:hAnsi="宋体" w:eastAsia="宋体" w:cs="Times New Roman"/>
          <w:b/>
          <w:sz w:val="28"/>
          <w:szCs w:val="28"/>
        </w:rPr>
      </w:pPr>
      <w:r>
        <w:rPr>
          <w:rFonts w:hint="eastAsia" w:ascii="宋体" w:hAnsi="宋体" w:eastAsia="宋体" w:cs="Times New Roman"/>
          <w:b/>
          <w:sz w:val="28"/>
          <w:szCs w:val="28"/>
        </w:rPr>
        <w:t>综合比较与评价</w:t>
      </w:r>
    </w:p>
    <w:p>
      <w:pPr>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t>评标委员会应当按照</w:t>
      </w:r>
      <w:r>
        <w:rPr>
          <w:rFonts w:hint="eastAsia" w:ascii="宋体" w:hAnsi="宋体" w:eastAsia="宋体" w:cs="Times New Roman"/>
          <w:bCs/>
          <w:sz w:val="24"/>
          <w:szCs w:val="20"/>
        </w:rPr>
        <w:t>本章</w:t>
      </w:r>
      <w:r>
        <w:rPr>
          <w:rFonts w:ascii="宋体" w:hAnsi="宋体" w:eastAsia="宋体" w:cs="Times New Roman"/>
          <w:bCs/>
          <w:sz w:val="24"/>
          <w:szCs w:val="20"/>
        </w:rPr>
        <w:t>中规定的</w:t>
      </w:r>
      <w:r>
        <w:rPr>
          <w:rFonts w:hint="eastAsia" w:ascii="宋体" w:hAnsi="宋体" w:eastAsia="宋体" w:cs="Times New Roman"/>
          <w:bCs/>
          <w:sz w:val="24"/>
          <w:szCs w:val="20"/>
        </w:rPr>
        <w:t>评标方法和标准</w:t>
      </w:r>
      <w:r>
        <w:rPr>
          <w:rFonts w:ascii="宋体" w:hAnsi="宋体" w:eastAsia="宋体" w:cs="Times New Roman"/>
          <w:bCs/>
          <w:sz w:val="24"/>
          <w:szCs w:val="20"/>
        </w:rPr>
        <w:t>，对符合性审查合格的投标文件进行商务和技术</w:t>
      </w:r>
      <w:r>
        <w:rPr>
          <w:rFonts w:hint="eastAsia" w:ascii="宋体" w:hAnsi="宋体" w:eastAsia="宋体" w:cs="Times New Roman"/>
          <w:bCs/>
          <w:sz w:val="24"/>
          <w:szCs w:val="20"/>
        </w:rPr>
        <w:t>、服务</w:t>
      </w:r>
      <w:r>
        <w:rPr>
          <w:rFonts w:ascii="宋体" w:hAnsi="宋体" w:eastAsia="宋体" w:cs="Times New Roman"/>
          <w:bCs/>
          <w:sz w:val="24"/>
          <w:szCs w:val="20"/>
        </w:rPr>
        <w:t>评估，综合比较与评价。</w:t>
      </w:r>
    </w:p>
    <w:p>
      <w:pPr>
        <w:numPr>
          <w:ilvl w:val="0"/>
          <w:numId w:val="73"/>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商务评议</w:t>
      </w:r>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评标委员会对符合性审查合格的投标文件进行评议，并依据本章“评审因素及评分标准”中的商务评议进行综合比较和评分。</w:t>
      </w:r>
    </w:p>
    <w:p>
      <w:pPr>
        <w:numPr>
          <w:ilvl w:val="0"/>
          <w:numId w:val="73"/>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技术、服务评议</w:t>
      </w:r>
    </w:p>
    <w:p>
      <w:pPr>
        <w:spacing w:line="360" w:lineRule="auto"/>
        <w:ind w:firstLine="480" w:firstLineChars="200"/>
        <w:rPr>
          <w:rFonts w:ascii="宋体" w:hAnsi="宋体" w:eastAsia="宋体" w:cs="Times New Roman"/>
          <w:kern w:val="0"/>
          <w:sz w:val="24"/>
          <w:szCs w:val="20"/>
        </w:rPr>
      </w:pPr>
      <w:r>
        <w:rPr>
          <w:rFonts w:hint="eastAsia" w:ascii="宋体" w:hAnsi="宋体" w:eastAsia="宋体" w:cs="Times New Roman"/>
          <w:bCs/>
          <w:sz w:val="24"/>
          <w:szCs w:val="20"/>
        </w:rPr>
        <w:t>评标委员会对符合性审查合格的投标文件进行评议，并依据本章“评审因素及评分标准”中的技术、服务评议进行综合比较和评分。</w:t>
      </w:r>
    </w:p>
    <w:p>
      <w:pPr>
        <w:numPr>
          <w:ilvl w:val="0"/>
          <w:numId w:val="73"/>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w:t>
      </w:r>
      <w:r>
        <w:rPr>
          <w:rFonts w:hint="eastAsia" w:ascii="仿宋" w:hAnsi="仿宋" w:eastAsia="仿宋" w:cs="Times New Roman"/>
          <w:bCs/>
          <w:sz w:val="24"/>
          <w:szCs w:val="24"/>
        </w:rPr>
        <w:t>（落实政府采购政策进行价格调整的，以调整后的价格计算）</w:t>
      </w:r>
      <w:r>
        <w:rPr>
          <w:rFonts w:hint="eastAsia" w:ascii="宋体" w:hAnsi="宋体" w:eastAsia="宋体" w:cs="Times New Roman"/>
          <w:bCs/>
          <w:sz w:val="24"/>
          <w:szCs w:val="24"/>
        </w:rPr>
        <w:t>最低的投标报价为评标基准价，其价格分为满分。其他投标人的价格分计算详见本章“评审因素及评分标准”中的具体计算公式。</w:t>
      </w:r>
    </w:p>
    <w:p>
      <w:pPr>
        <w:numPr>
          <w:ilvl w:val="0"/>
          <w:numId w:val="74"/>
        </w:numPr>
        <w:adjustRightInd w:val="0"/>
        <w:spacing w:line="360" w:lineRule="auto"/>
        <w:ind w:left="742" w:hanging="493"/>
        <w:rPr>
          <w:rFonts w:ascii="宋体" w:hAnsi="宋体" w:eastAsia="宋体" w:cs="Times New Roman"/>
          <w:bCs/>
          <w:sz w:val="24"/>
          <w:szCs w:val="21"/>
        </w:rPr>
      </w:pPr>
      <w:r>
        <w:rPr>
          <w:rFonts w:hint="eastAsia" w:ascii="宋体" w:hAnsi="宋体" w:eastAsia="宋体" w:cs="Times New Roman"/>
          <w:b/>
          <w:sz w:val="24"/>
          <w:szCs w:val="24"/>
        </w:rPr>
        <w:t>报价合理性说明：</w:t>
      </w:r>
      <w:r>
        <w:rPr>
          <w:rFonts w:ascii="宋体" w:hAnsi="宋体" w:eastAsia="宋体" w:cs="Helvetic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rPr>
        <w:t>应当将其作为</w:t>
      </w:r>
      <w:r>
        <w:rPr>
          <w:rFonts w:ascii="宋体" w:hAnsi="宋体" w:eastAsia="宋体" w:cs="Helvetica"/>
          <w:b/>
          <w:kern w:val="0"/>
          <w:sz w:val="24"/>
          <w:szCs w:val="24"/>
        </w:rPr>
        <w:t>无效投标处理</w:t>
      </w:r>
      <w:r>
        <w:rPr>
          <w:rFonts w:ascii="宋体" w:hAnsi="宋体" w:eastAsia="宋体" w:cs="Helvetica"/>
          <w:kern w:val="0"/>
          <w:sz w:val="24"/>
          <w:szCs w:val="24"/>
        </w:rPr>
        <w:t>。</w:t>
      </w:r>
    </w:p>
    <w:p>
      <w:pPr>
        <w:numPr>
          <w:ilvl w:val="0"/>
          <w:numId w:val="74"/>
        </w:numPr>
        <w:adjustRightInd w:val="0"/>
        <w:spacing w:line="360" w:lineRule="auto"/>
        <w:ind w:left="742" w:hanging="493"/>
        <w:rPr>
          <w:rFonts w:ascii="宋体" w:hAnsi="宋体" w:eastAsia="宋体" w:cs="Times New Roman"/>
          <w:b/>
          <w:sz w:val="24"/>
          <w:szCs w:val="24"/>
        </w:rPr>
      </w:pPr>
      <w:r>
        <w:rPr>
          <w:rFonts w:hint="eastAsia" w:ascii="宋体" w:hAnsi="宋体" w:eastAsia="宋体" w:cs="Times New Roman"/>
          <w:b/>
          <w:sz w:val="24"/>
          <w:szCs w:val="24"/>
        </w:rPr>
        <w:t>小型和微型企业、监狱企业、残疾人福利性单位价格扣除：</w:t>
      </w:r>
    </w:p>
    <w:p>
      <w:pPr>
        <w:snapToGrid w:val="0"/>
        <w:spacing w:line="500" w:lineRule="exact"/>
        <w:ind w:firstLine="240" w:firstLineChars="100"/>
        <w:rPr>
          <w:rFonts w:hint="eastAsia" w:ascii="宋体" w:hAnsi="宋体"/>
          <w:sz w:val="24"/>
          <w:szCs w:val="28"/>
          <w:lang w:val="zh-CN"/>
        </w:rPr>
      </w:pPr>
      <w:r>
        <w:rPr>
          <w:rFonts w:hint="eastAsia" w:ascii="宋体" w:hAnsi="宋体"/>
          <w:sz w:val="24"/>
          <w:szCs w:val="28"/>
          <w:lang w:val="en-US" w:eastAsia="zh-CN"/>
        </w:rPr>
        <w:t>3.2.1、</w:t>
      </w:r>
      <w:r>
        <w:rPr>
          <w:rFonts w:hint="eastAsia" w:ascii="宋体" w:hAnsi="宋体"/>
          <w:sz w:val="24"/>
          <w:szCs w:val="28"/>
          <w:lang w:val="zh-CN" w:eastAsia="zh-CN"/>
        </w:rPr>
        <w:t>非专门面向中小企业</w:t>
      </w:r>
      <w:r>
        <w:rPr>
          <w:rFonts w:hint="eastAsia" w:ascii="宋体" w:hAnsi="宋体"/>
          <w:sz w:val="24"/>
          <w:szCs w:val="28"/>
          <w:lang w:val="zh-CN"/>
        </w:rPr>
        <w:t>的采购项目或采购包，对符合规定的小微企业报价</w:t>
      </w:r>
      <w:r>
        <w:rPr>
          <w:rFonts w:hint="eastAsia" w:ascii="宋体" w:hAnsi="宋体"/>
          <w:sz w:val="24"/>
          <w:szCs w:val="28"/>
          <w:lang w:val="zh-CN" w:eastAsia="zh-CN"/>
        </w:rPr>
        <w:t>给予</w:t>
      </w:r>
      <w:r>
        <w:rPr>
          <w:rFonts w:hint="eastAsia" w:ascii="宋体" w:hAnsi="宋体"/>
          <w:sz w:val="24"/>
          <w:szCs w:val="28"/>
          <w:lang w:val="zh-CN"/>
        </w:rPr>
        <w:t>1</w:t>
      </w:r>
      <w:r>
        <w:rPr>
          <w:rFonts w:hint="eastAsia" w:ascii="宋体" w:hAnsi="宋体"/>
          <w:sz w:val="24"/>
          <w:szCs w:val="28"/>
          <w:lang w:val="en-US" w:eastAsia="zh-CN"/>
        </w:rPr>
        <w:t>5</w:t>
      </w:r>
      <w:r>
        <w:rPr>
          <w:rFonts w:hint="eastAsia" w:ascii="宋体" w:hAnsi="宋体"/>
          <w:sz w:val="24"/>
          <w:szCs w:val="28"/>
          <w:lang w:val="zh-CN"/>
        </w:rPr>
        <w:t>%</w:t>
      </w:r>
      <w:r>
        <w:rPr>
          <w:rFonts w:hint="eastAsia" w:ascii="宋体" w:hAnsi="宋体"/>
          <w:sz w:val="24"/>
          <w:szCs w:val="28"/>
          <w:lang w:val="zh-CN" w:eastAsia="zh-CN"/>
        </w:rPr>
        <w:t>的扣除</w:t>
      </w:r>
      <w:r>
        <w:rPr>
          <w:rFonts w:hint="eastAsia" w:ascii="宋体" w:hAnsi="宋体"/>
          <w:sz w:val="24"/>
          <w:szCs w:val="28"/>
          <w:lang w:val="zh-CN"/>
        </w:rPr>
        <w:t>，其中对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w:t>
      </w:r>
    </w:p>
    <w:p>
      <w:pPr>
        <w:snapToGrid w:val="0"/>
        <w:spacing w:line="500" w:lineRule="exact"/>
        <w:ind w:firstLine="240" w:firstLineChars="100"/>
        <w:rPr>
          <w:rFonts w:hint="eastAsia" w:ascii="宋体" w:hAnsi="宋体"/>
          <w:sz w:val="24"/>
          <w:szCs w:val="28"/>
          <w:lang w:val="zh-CN" w:eastAsia="zh-CN"/>
        </w:rPr>
      </w:pPr>
      <w:r>
        <w:rPr>
          <w:rFonts w:hint="eastAsia" w:ascii="宋体" w:hAnsi="宋体"/>
          <w:sz w:val="24"/>
          <w:szCs w:val="28"/>
          <w:lang w:val="en-US" w:eastAsia="zh-CN"/>
        </w:rPr>
        <w:t>3.2.2、</w:t>
      </w:r>
      <w:r>
        <w:rPr>
          <w:rFonts w:hint="eastAsia" w:ascii="宋体" w:hAnsi="宋体"/>
          <w:sz w:val="24"/>
          <w:szCs w:val="28"/>
          <w:lang w:val="zh-CN"/>
        </w:rPr>
        <w:t>接受</w:t>
      </w:r>
      <w:r>
        <w:rPr>
          <w:rFonts w:hint="eastAsia" w:ascii="宋体" w:hAnsi="宋体"/>
          <w:sz w:val="24"/>
          <w:szCs w:val="28"/>
          <w:lang w:val="zh-CN" w:eastAsia="zh-CN"/>
        </w:rPr>
        <w:t>大中型</w:t>
      </w:r>
      <w:r>
        <w:rPr>
          <w:rFonts w:hint="eastAsia" w:ascii="宋体" w:hAnsi="宋体"/>
          <w:sz w:val="24"/>
          <w:szCs w:val="28"/>
          <w:lang w:val="zh-CN"/>
        </w:rPr>
        <w:t>企业与小微企业组成联合体或者允许大中型企业向一家或者多家小微企业分包的采购</w:t>
      </w:r>
      <w:r>
        <w:rPr>
          <w:rFonts w:hint="eastAsia" w:ascii="宋体" w:hAnsi="宋体"/>
          <w:sz w:val="24"/>
          <w:szCs w:val="28"/>
          <w:lang w:val="zh-CN" w:eastAsia="zh-CN"/>
        </w:rPr>
        <w:t>项目，对于联合</w:t>
      </w:r>
      <w:r>
        <w:rPr>
          <w:rFonts w:hint="eastAsia" w:ascii="宋体" w:hAnsi="宋体"/>
          <w:sz w:val="24"/>
          <w:szCs w:val="28"/>
          <w:lang w:val="zh-CN"/>
        </w:rPr>
        <w:t>投标</w:t>
      </w:r>
      <w:r>
        <w:rPr>
          <w:rFonts w:hint="eastAsia" w:ascii="宋体" w:hAnsi="宋体"/>
          <w:sz w:val="24"/>
          <w:szCs w:val="28"/>
          <w:lang w:val="zh-CN" w:eastAsia="zh-CN"/>
        </w:rPr>
        <w:t>协议或者分包意向协议约定小微企业的合同份额占到合同总金额30%以上的，对联合体或者大中型企业的报价给予</w:t>
      </w:r>
      <w:r>
        <w:rPr>
          <w:rFonts w:hint="eastAsia" w:ascii="宋体" w:hAnsi="宋体"/>
          <w:sz w:val="24"/>
          <w:szCs w:val="28"/>
          <w:lang w:val="en-US" w:eastAsia="zh-CN"/>
        </w:rPr>
        <w:t>5</w:t>
      </w:r>
      <w:r>
        <w:rPr>
          <w:rFonts w:hint="eastAsia" w:ascii="宋体" w:hAnsi="宋体"/>
          <w:sz w:val="24"/>
          <w:szCs w:val="28"/>
          <w:lang w:val="zh-CN" w:eastAsia="zh-CN"/>
        </w:rPr>
        <w:t>%的扣除</w:t>
      </w:r>
      <w:r>
        <w:rPr>
          <w:rFonts w:hint="eastAsia" w:ascii="宋体" w:hAnsi="宋体"/>
          <w:sz w:val="24"/>
          <w:szCs w:val="28"/>
          <w:lang w:val="zh-CN"/>
        </w:rPr>
        <w:t>，用扣除后的价格参加评审。</w:t>
      </w:r>
    </w:p>
    <w:p>
      <w:pPr>
        <w:snapToGrid w:val="0"/>
        <w:spacing w:line="500" w:lineRule="exact"/>
        <w:ind w:firstLine="240" w:firstLineChars="100"/>
        <w:rPr>
          <w:rFonts w:hint="eastAsia" w:ascii="宋体" w:hAnsi="宋体"/>
          <w:sz w:val="24"/>
          <w:szCs w:val="28"/>
          <w:lang w:val="zh-CN"/>
        </w:rPr>
      </w:pPr>
      <w:r>
        <w:rPr>
          <w:rFonts w:hint="eastAsia" w:ascii="宋体" w:hAnsi="宋体"/>
          <w:sz w:val="24"/>
          <w:szCs w:val="28"/>
          <w:lang w:val="en-US" w:eastAsia="zh-CN"/>
        </w:rPr>
        <w:t>3.2.3、</w:t>
      </w:r>
      <w:r>
        <w:rPr>
          <w:rFonts w:hint="eastAsia" w:ascii="宋体" w:hAnsi="宋体"/>
          <w:sz w:val="24"/>
          <w:szCs w:val="28"/>
          <w:lang w:val="zh-CN"/>
        </w:rPr>
        <w:t>参加政府采购活动的</w:t>
      </w:r>
      <w:r>
        <w:rPr>
          <w:rFonts w:hint="eastAsia" w:ascii="宋体" w:hAnsi="宋体"/>
          <w:sz w:val="24"/>
          <w:szCs w:val="28"/>
          <w:lang w:val="zh-CN" w:eastAsia="zh-CN"/>
        </w:rPr>
        <w:t>小微企业</w:t>
      </w:r>
      <w:r>
        <w:rPr>
          <w:rFonts w:hint="eastAsia" w:ascii="宋体" w:hAnsi="宋体"/>
          <w:sz w:val="24"/>
          <w:szCs w:val="28"/>
          <w:lang w:val="zh-CN"/>
        </w:rPr>
        <w:t>（监狱企业、残疾人福利性单位、</w:t>
      </w:r>
      <w:r>
        <w:rPr>
          <w:rFonts w:hint="eastAsia" w:ascii="宋体" w:hAnsi="宋体"/>
          <w:sz w:val="24"/>
          <w:szCs w:val="28"/>
          <w:lang w:val="zh-CN" w:eastAsia="zh-CN"/>
        </w:rPr>
        <w:t>联合体各方均为小微企业的联合体</w:t>
      </w:r>
      <w:r>
        <w:rPr>
          <w:rFonts w:hint="eastAsia" w:ascii="宋体" w:hAnsi="宋体"/>
          <w:sz w:val="24"/>
          <w:szCs w:val="28"/>
          <w:lang w:val="zh-CN"/>
        </w:rPr>
        <w:t>、符合小微企业划分标准的个体工商户</w:t>
      </w:r>
      <w:r>
        <w:rPr>
          <w:rFonts w:hint="eastAsia" w:ascii="宋体" w:hAnsi="宋体"/>
          <w:sz w:val="24"/>
          <w:szCs w:val="28"/>
          <w:lang w:val="zh-CN" w:eastAsia="zh-CN"/>
        </w:rPr>
        <w:t>视同小微企业）</w:t>
      </w:r>
      <w:r>
        <w:rPr>
          <w:rFonts w:hint="eastAsia" w:ascii="宋体" w:hAnsi="宋体"/>
          <w:sz w:val="24"/>
          <w:szCs w:val="28"/>
          <w:lang w:val="zh-CN"/>
        </w:rPr>
        <w:t>未提供“中小企业</w:t>
      </w:r>
      <w:r>
        <w:rPr>
          <w:rFonts w:hint="eastAsia" w:ascii="宋体" w:hAnsi="宋体"/>
          <w:sz w:val="24"/>
          <w:szCs w:val="28"/>
          <w:lang w:val="zh-CN" w:eastAsia="zh-CN"/>
        </w:rPr>
        <w:t>声明函</w:t>
      </w:r>
      <w:r>
        <w:rPr>
          <w:rFonts w:hint="eastAsia" w:ascii="宋体" w:hAnsi="宋体"/>
          <w:sz w:val="24"/>
          <w:szCs w:val="28"/>
          <w:lang w:val="zh-CN"/>
        </w:rPr>
        <w:t>”的，其中</w:t>
      </w:r>
      <w:r>
        <w:rPr>
          <w:rFonts w:hint="eastAsia" w:ascii="宋体" w:hAnsi="宋体"/>
          <w:sz w:val="24"/>
          <w:szCs w:val="28"/>
          <w:lang w:val="zh-CN" w:eastAsia="zh-CN"/>
        </w:rPr>
        <w:t>监狱企业</w:t>
      </w:r>
      <w:r>
        <w:rPr>
          <w:rFonts w:hint="eastAsia" w:ascii="宋体" w:hAnsi="宋体"/>
          <w:sz w:val="24"/>
          <w:szCs w:val="28"/>
          <w:lang w:val="zh-CN"/>
        </w:rPr>
        <w:t>未</w:t>
      </w:r>
      <w:r>
        <w:rPr>
          <w:rFonts w:hint="eastAsia" w:ascii="宋体" w:hAnsi="宋体"/>
          <w:sz w:val="24"/>
          <w:szCs w:val="28"/>
          <w:lang w:val="zh-CN" w:eastAsia="zh-CN"/>
        </w:rPr>
        <w:t>提供由省级</w:t>
      </w:r>
      <w:r>
        <w:rPr>
          <w:rFonts w:hint="eastAsia" w:ascii="宋体" w:hAnsi="宋体"/>
          <w:sz w:val="24"/>
          <w:szCs w:val="28"/>
          <w:lang w:val="zh-CN"/>
        </w:rPr>
        <w:t>监狱管理</w:t>
      </w:r>
      <w:r>
        <w:rPr>
          <w:rFonts w:hint="eastAsia" w:ascii="宋体" w:hAnsi="宋体"/>
          <w:sz w:val="24"/>
          <w:szCs w:val="28"/>
          <w:lang w:val="zh-CN" w:eastAsia="zh-CN"/>
        </w:rPr>
        <w:t>局</w:t>
      </w:r>
      <w:r>
        <w:rPr>
          <w:rFonts w:hint="eastAsia" w:ascii="宋体" w:hAnsi="宋体"/>
          <w:sz w:val="24"/>
          <w:szCs w:val="28"/>
          <w:lang w:val="zh-CN"/>
        </w:rPr>
        <w:t>或</w:t>
      </w:r>
      <w:r>
        <w:rPr>
          <w:rFonts w:hint="eastAsia" w:ascii="宋体" w:hAnsi="宋体"/>
          <w:sz w:val="24"/>
          <w:szCs w:val="28"/>
          <w:lang w:val="zh-CN" w:eastAsia="zh-CN"/>
        </w:rPr>
        <w:t>戒毒局（含新疆生产建设兵团）出具的监狱企业的证明文件</w:t>
      </w:r>
      <w:r>
        <w:rPr>
          <w:rFonts w:hint="eastAsia" w:ascii="宋体" w:hAnsi="宋体"/>
          <w:sz w:val="24"/>
          <w:szCs w:val="28"/>
          <w:lang w:val="zh-CN"/>
        </w:rPr>
        <w:t>的，</w:t>
      </w:r>
      <w:r>
        <w:rPr>
          <w:rFonts w:hint="eastAsia" w:ascii="宋体" w:hAnsi="宋体"/>
          <w:sz w:val="24"/>
          <w:szCs w:val="28"/>
          <w:lang w:val="zh-CN" w:eastAsia="zh-CN"/>
        </w:rPr>
        <w:t>残疾人福利性单位</w:t>
      </w:r>
      <w:r>
        <w:rPr>
          <w:rFonts w:hint="eastAsia" w:ascii="宋体" w:hAnsi="宋体"/>
          <w:sz w:val="24"/>
          <w:szCs w:val="28"/>
          <w:lang w:val="zh-CN"/>
        </w:rPr>
        <w:t>未提供“</w:t>
      </w:r>
      <w:r>
        <w:rPr>
          <w:rFonts w:hint="eastAsia" w:ascii="宋体" w:hAnsi="宋体"/>
          <w:sz w:val="24"/>
          <w:szCs w:val="28"/>
          <w:lang w:val="zh-CN" w:eastAsia="zh-CN"/>
        </w:rPr>
        <w:t>残疾人福利性单位声明函</w:t>
      </w:r>
      <w:r>
        <w:rPr>
          <w:rFonts w:hint="eastAsia" w:ascii="宋体" w:hAnsi="宋体"/>
          <w:sz w:val="24"/>
          <w:szCs w:val="28"/>
          <w:lang w:val="zh-CN"/>
        </w:rPr>
        <w:t>”的；组成联合体或者接受分包的小微企业与联合体内其他企业、分包企业之间存在直接控股、管理关系的，不得享受价格扣除优惠政策。</w:t>
      </w:r>
    </w:p>
    <w:p>
      <w:pPr>
        <w:snapToGrid w:val="0"/>
        <w:spacing w:line="500" w:lineRule="exact"/>
        <w:ind w:firstLine="240" w:firstLineChars="100"/>
        <w:rPr>
          <w:rFonts w:hint="eastAsia" w:ascii="宋体" w:hAnsi="宋体"/>
          <w:sz w:val="24"/>
          <w:szCs w:val="28"/>
          <w:lang w:val="zh-CN"/>
        </w:rPr>
      </w:pPr>
      <w:r>
        <w:rPr>
          <w:rFonts w:hint="eastAsia" w:ascii="宋体" w:hAnsi="宋体"/>
          <w:sz w:val="24"/>
          <w:szCs w:val="28"/>
          <w:lang w:val="en-US" w:eastAsia="zh-CN"/>
        </w:rPr>
        <w:t>3.2.4、</w:t>
      </w:r>
      <w:r>
        <w:rPr>
          <w:rFonts w:hint="eastAsia" w:ascii="宋体" w:hAnsi="宋体"/>
          <w:sz w:val="24"/>
          <w:szCs w:val="28"/>
          <w:lang w:val="zh-CN"/>
        </w:rPr>
        <w:t>专门面向</w:t>
      </w:r>
      <w:r>
        <w:rPr>
          <w:rFonts w:hint="eastAsia" w:ascii="宋体" w:hAnsi="宋体"/>
          <w:sz w:val="24"/>
          <w:szCs w:val="28"/>
          <w:lang w:val="zh-CN" w:eastAsia="zh-CN"/>
        </w:rPr>
        <w:t>中小企业、</w:t>
      </w:r>
      <w:r>
        <w:rPr>
          <w:rFonts w:hint="eastAsia" w:ascii="宋体" w:hAnsi="宋体"/>
          <w:sz w:val="24"/>
          <w:szCs w:val="28"/>
          <w:lang w:val="zh-CN"/>
        </w:rPr>
        <w:t>预留部分采购份额面向中小企业采购的项目或采购包</w:t>
      </w:r>
      <w:r>
        <w:rPr>
          <w:rFonts w:hint="eastAsia" w:ascii="宋体" w:hAnsi="宋体"/>
          <w:sz w:val="24"/>
          <w:szCs w:val="28"/>
          <w:lang w:val="zh-CN" w:eastAsia="zh-CN"/>
        </w:rPr>
        <w:t>，评审时不再进行价格扣除。</w:t>
      </w:r>
    </w:p>
    <w:p>
      <w:pPr>
        <w:numPr>
          <w:ilvl w:val="0"/>
          <w:numId w:val="0"/>
        </w:numPr>
        <w:spacing w:line="360" w:lineRule="auto"/>
        <w:ind w:firstLine="240" w:firstLineChars="100"/>
        <w:rPr>
          <w:rFonts w:ascii="宋体" w:hAnsi="宋体" w:eastAsia="宋体" w:cs="Times New Roman"/>
          <w:bCs/>
          <w:sz w:val="24"/>
          <w:szCs w:val="20"/>
        </w:rPr>
      </w:pPr>
      <w:r>
        <w:rPr>
          <w:rFonts w:hint="eastAsia" w:ascii="宋体" w:hAnsi="宋体" w:eastAsia="宋体" w:cs="Times New Roman"/>
          <w:bCs/>
          <w:sz w:val="24"/>
          <w:szCs w:val="20"/>
          <w:lang w:val="en-US" w:eastAsia="zh-CN"/>
        </w:rPr>
        <w:t>3.2.5</w:t>
      </w:r>
      <w:r>
        <w:rPr>
          <w:rFonts w:ascii="宋体" w:hAnsi="宋体" w:eastAsia="宋体" w:cs="Times New Roman"/>
          <w:bCs/>
          <w:sz w:val="24"/>
          <w:szCs w:val="20"/>
        </w:rPr>
        <w:t>监狱企业</w:t>
      </w:r>
      <w:r>
        <w:rPr>
          <w:rFonts w:hint="eastAsia" w:ascii="宋体" w:hAnsi="宋体" w:eastAsia="宋体" w:cs="Times New Roman"/>
          <w:bCs/>
          <w:sz w:val="24"/>
          <w:szCs w:val="20"/>
        </w:rPr>
        <w:t>、残疾人福利性单位</w:t>
      </w:r>
      <w:r>
        <w:rPr>
          <w:rFonts w:ascii="宋体" w:hAnsi="宋体" w:eastAsia="宋体" w:cs="Times New Roman"/>
          <w:bCs/>
          <w:sz w:val="24"/>
          <w:szCs w:val="20"/>
        </w:rPr>
        <w:t>视同小型、微型企业，享受预留份额、评审中价格扣除等政府采购促进中小企业发展的政府采购政策</w:t>
      </w:r>
      <w:r>
        <w:rPr>
          <w:rFonts w:hint="eastAsia" w:ascii="宋体" w:hAnsi="宋体" w:eastAsia="宋体" w:cs="Times New Roman"/>
          <w:bCs/>
          <w:sz w:val="24"/>
          <w:szCs w:val="20"/>
        </w:rPr>
        <w:t>，残疾人福利性单位属于小型、微型企业的，不重复享受政策。</w:t>
      </w:r>
    </w:p>
    <w:p>
      <w:pPr>
        <w:numPr>
          <w:ilvl w:val="0"/>
          <w:numId w:val="0"/>
        </w:numPr>
        <w:spacing w:line="360" w:lineRule="auto"/>
        <w:ind w:firstLine="240" w:firstLineChars="100"/>
        <w:rPr>
          <w:rFonts w:ascii="宋体" w:hAnsi="宋体" w:eastAsia="宋体" w:cs="Times New Roman"/>
          <w:bCs/>
          <w:sz w:val="24"/>
          <w:szCs w:val="20"/>
        </w:rPr>
      </w:pPr>
      <w:r>
        <w:rPr>
          <w:rFonts w:hint="eastAsia" w:ascii="宋体" w:hAnsi="宋体" w:eastAsia="宋体" w:cs="Times New Roman"/>
          <w:bCs/>
          <w:sz w:val="24"/>
          <w:szCs w:val="20"/>
          <w:lang w:val="en-US" w:eastAsia="zh-CN"/>
        </w:rPr>
        <w:t>3.2.6</w:t>
      </w:r>
      <w:r>
        <w:rPr>
          <w:rFonts w:hint="eastAsia" w:ascii="宋体" w:hAnsi="宋体" w:eastAsia="宋体" w:cs="Times New Roman"/>
          <w:bCs/>
          <w:sz w:val="24"/>
          <w:szCs w:val="20"/>
        </w:rPr>
        <w:t>小型和微型企业应出具《声明函》</w:t>
      </w:r>
      <w:r>
        <w:rPr>
          <w:rFonts w:hint="eastAsia" w:ascii="仿宋" w:hAnsi="仿宋" w:eastAsia="仿宋" w:cs="Times New Roman"/>
          <w:b/>
          <w:bCs/>
          <w:sz w:val="24"/>
          <w:szCs w:val="20"/>
        </w:rPr>
        <w:t>（附件二、三）</w:t>
      </w:r>
      <w:r>
        <w:rPr>
          <w:rFonts w:hint="eastAsia" w:ascii="宋体" w:hAnsi="宋体" w:eastAsia="宋体" w:cs="Times New Roman"/>
          <w:bCs/>
          <w:sz w:val="24"/>
          <w:szCs w:val="20"/>
        </w:rPr>
        <w:t>；监狱企业应提供由省级监狱局、戒毒局（含新疆生产建设兵团）出具的监狱企业的证明文件；残疾人福利性单位提供《声明函》</w:t>
      </w:r>
      <w:r>
        <w:rPr>
          <w:rFonts w:hint="eastAsia" w:ascii="仿宋" w:hAnsi="仿宋" w:eastAsia="仿宋" w:cs="Times New Roman"/>
          <w:b/>
          <w:bCs/>
          <w:sz w:val="24"/>
          <w:szCs w:val="20"/>
        </w:rPr>
        <w:t>（附件五、六）</w:t>
      </w:r>
      <w:r>
        <w:rPr>
          <w:rFonts w:hint="eastAsia" w:ascii="宋体" w:hAnsi="宋体" w:eastAsia="宋体" w:cs="Times New Roman"/>
          <w:bCs/>
          <w:sz w:val="24"/>
          <w:szCs w:val="20"/>
        </w:rPr>
        <w:t>。</w:t>
      </w:r>
    </w:p>
    <w:p>
      <w:pPr>
        <w:numPr>
          <w:ilvl w:val="0"/>
          <w:numId w:val="73"/>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相同品牌处理原则</w:t>
      </w:r>
    </w:p>
    <w:p>
      <w:pPr>
        <w:numPr>
          <w:ilvl w:val="0"/>
          <w:numId w:val="75"/>
        </w:numPr>
        <w:adjustRightInd w:val="0"/>
        <w:spacing w:line="360" w:lineRule="auto"/>
        <w:ind w:left="754" w:hanging="505"/>
        <w:rPr>
          <w:rFonts w:ascii="Helvetica" w:hAnsi="Helvetica" w:eastAsia="宋体" w:cs="Helvetica"/>
          <w:color w:val="0D0D0D"/>
          <w:kern w:val="0"/>
          <w:sz w:val="24"/>
          <w:szCs w:val="24"/>
        </w:rPr>
      </w:pPr>
      <w:r>
        <w:rPr>
          <w:rFonts w:ascii="Helvetica" w:hAnsi="Helvetica" w:eastAsia="宋体" w:cs="Helvetica"/>
          <w:color w:val="0D0D0D"/>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rPr>
        <w:t>确定</w:t>
      </w:r>
      <w:r>
        <w:rPr>
          <w:rFonts w:ascii="Helvetica" w:hAnsi="Helvetica" w:eastAsia="宋体" w:cs="Helvetica"/>
          <w:color w:val="0D0D0D"/>
          <w:kern w:val="0"/>
          <w:sz w:val="24"/>
          <w:szCs w:val="24"/>
        </w:rPr>
        <w:t>或者采购人委托评标委员会</w:t>
      </w:r>
      <w:r>
        <w:rPr>
          <w:rFonts w:hint="eastAsia" w:ascii="Helvetica" w:hAnsi="Helvetica" w:eastAsia="宋体" w:cs="Helvetica"/>
          <w:color w:val="0D0D0D"/>
          <w:kern w:val="0"/>
          <w:sz w:val="24"/>
          <w:szCs w:val="24"/>
        </w:rPr>
        <w:t>以投票方式</w:t>
      </w:r>
      <w:r>
        <w:rPr>
          <w:rFonts w:ascii="Helvetica" w:hAnsi="Helvetica" w:eastAsia="宋体" w:cs="Helvetica"/>
          <w:color w:val="0D0D0D"/>
          <w:kern w:val="0"/>
          <w:sz w:val="24"/>
          <w:szCs w:val="24"/>
        </w:rPr>
        <w:t>确定一个投标人获得中标人推荐资格，其他同品牌投标人不作为中标候选人。</w:t>
      </w:r>
    </w:p>
    <w:p>
      <w:pPr>
        <w:numPr>
          <w:ilvl w:val="0"/>
          <w:numId w:val="75"/>
        </w:numPr>
        <w:adjustRightInd w:val="0"/>
        <w:spacing w:line="360" w:lineRule="auto"/>
        <w:ind w:left="756" w:hanging="507"/>
        <w:rPr>
          <w:rFonts w:ascii="Helvetica" w:hAnsi="Helvetica" w:eastAsia="宋体" w:cs="Helvetica"/>
          <w:color w:val="0D0D0D"/>
          <w:kern w:val="0"/>
          <w:sz w:val="24"/>
          <w:szCs w:val="24"/>
        </w:rPr>
      </w:pPr>
      <w:r>
        <w:rPr>
          <w:rFonts w:ascii="Helvetica" w:hAnsi="Helvetica" w:eastAsia="宋体" w:cs="Helvetica"/>
          <w:color w:val="0D0D0D"/>
          <w:kern w:val="0"/>
          <w:sz w:val="24"/>
          <w:szCs w:val="24"/>
        </w:rPr>
        <w:t>非单一产品采购项目，采购人</w:t>
      </w:r>
      <w:r>
        <w:rPr>
          <w:rFonts w:ascii="Helvetica" w:hAnsi="Helvetica" w:eastAsia="宋体" w:cs="Helvetica"/>
          <w:kern w:val="0"/>
          <w:sz w:val="24"/>
          <w:szCs w:val="24"/>
        </w:rPr>
        <w:t>应当根据采购项目技术构成、产品价格比重等合理确定</w:t>
      </w:r>
      <w:r>
        <w:rPr>
          <w:rFonts w:hint="eastAsia" w:ascii="Helvetica" w:hAnsi="Helvetica" w:eastAsia="宋体" w:cs="Helvetica"/>
          <w:b/>
          <w:kern w:val="0"/>
          <w:sz w:val="24"/>
          <w:szCs w:val="24"/>
        </w:rPr>
        <w:t>一个</w:t>
      </w:r>
      <w:r>
        <w:rPr>
          <w:rFonts w:ascii="Helvetica" w:hAnsi="Helvetica" w:eastAsia="宋体" w:cs="Helvetica"/>
          <w:b/>
          <w:kern w:val="0"/>
          <w:sz w:val="24"/>
          <w:szCs w:val="24"/>
        </w:rPr>
        <w:t>核心产品</w:t>
      </w:r>
      <w:r>
        <w:rPr>
          <w:rFonts w:hint="eastAsia" w:ascii="仿宋" w:hAnsi="仿宋" w:eastAsia="仿宋" w:cs="Helvetica"/>
          <w:b/>
          <w:kern w:val="0"/>
          <w:sz w:val="24"/>
          <w:szCs w:val="24"/>
        </w:rPr>
        <w:t>（</w:t>
      </w:r>
      <w:r>
        <w:rPr>
          <w:rFonts w:hint="eastAsia" w:ascii="仿宋" w:hAnsi="仿宋" w:eastAsia="仿宋" w:cs="Helvetica"/>
          <w:b/>
          <w:color w:val="0D0D0D"/>
          <w:kern w:val="0"/>
          <w:sz w:val="24"/>
          <w:szCs w:val="24"/>
        </w:rPr>
        <w:t>采购清单中作“相同〈或同一〉品牌”实质性要求的产品，视为一个核心产品</w:t>
      </w:r>
      <w:r>
        <w:rPr>
          <w:rFonts w:hint="eastAsia" w:ascii="仿宋" w:hAnsi="仿宋" w:eastAsia="仿宋" w:cs="Helvetica"/>
          <w:b/>
          <w:kern w:val="0"/>
          <w:sz w:val="24"/>
          <w:szCs w:val="24"/>
        </w:rPr>
        <w:t>）</w:t>
      </w:r>
      <w:r>
        <w:rPr>
          <w:rFonts w:hint="eastAsia" w:ascii="Helvetica" w:hAnsi="Helvetica" w:eastAsia="宋体" w:cs="Helvetica"/>
          <w:color w:val="0D0D0D"/>
          <w:kern w:val="0"/>
          <w:sz w:val="24"/>
          <w:szCs w:val="24"/>
        </w:rPr>
        <w:t>，</w:t>
      </w:r>
      <w:r>
        <w:rPr>
          <w:rFonts w:ascii="Helvetica" w:hAnsi="Helvetica" w:eastAsia="宋体" w:cs="Helvetica"/>
          <w:kern w:val="0"/>
          <w:sz w:val="24"/>
          <w:szCs w:val="24"/>
        </w:rPr>
        <w:t>并</w:t>
      </w:r>
      <w:r>
        <w:rPr>
          <w:rFonts w:hint="eastAsia" w:ascii="Helvetica" w:hAnsi="Helvetica" w:eastAsia="宋体" w:cs="Helvetica"/>
          <w:kern w:val="0"/>
          <w:sz w:val="24"/>
          <w:szCs w:val="24"/>
        </w:rPr>
        <w:t>以</w:t>
      </w:r>
      <w:r>
        <w:rPr>
          <w:rFonts w:hint="eastAsia" w:ascii="Helvetica" w:hAnsi="Helvetica" w:eastAsia="宋体" w:cs="Helvetica"/>
          <w:b/>
          <w:kern w:val="0"/>
          <w:sz w:val="24"/>
          <w:szCs w:val="24"/>
        </w:rPr>
        <w:t>“</w:t>
      </w:r>
      <w:r>
        <w:rPr>
          <w:rFonts w:hint="eastAsia" w:ascii="MS Gothic" w:hAnsi="MS Gothic" w:eastAsia="宋体" w:cs="MS Gothic"/>
          <w:b/>
          <w:kern w:val="0"/>
          <w:sz w:val="24"/>
          <w:szCs w:val="24"/>
        </w:rPr>
        <w:t>核心产品</w:t>
      </w:r>
      <w:r>
        <w:rPr>
          <w:rFonts w:hint="eastAsia" w:ascii="Helvetica" w:hAnsi="Helvetica" w:eastAsia="宋体" w:cs="Helvetica"/>
          <w:b/>
          <w:kern w:val="0"/>
          <w:sz w:val="24"/>
          <w:szCs w:val="24"/>
        </w:rPr>
        <w:t>”</w:t>
      </w:r>
      <w:r>
        <w:rPr>
          <w:rFonts w:ascii="Helvetica" w:hAnsi="Helvetica" w:eastAsia="宋体" w:cs="Helvetica"/>
          <w:kern w:val="0"/>
          <w:sz w:val="24"/>
          <w:szCs w:val="24"/>
        </w:rPr>
        <w:t>在</w:t>
      </w:r>
      <w:r>
        <w:rPr>
          <w:rFonts w:ascii="Helvetica" w:hAnsi="Helvetica" w:eastAsia="宋体" w:cs="Helvetica"/>
          <w:color w:val="0D0D0D"/>
          <w:kern w:val="0"/>
          <w:sz w:val="24"/>
          <w:szCs w:val="24"/>
        </w:rPr>
        <w:t>招标文件中</w:t>
      </w:r>
      <w:r>
        <w:rPr>
          <w:rFonts w:hint="eastAsia" w:ascii="Helvetica" w:hAnsi="Helvetica" w:eastAsia="宋体" w:cs="Helvetica"/>
          <w:color w:val="0D0D0D"/>
          <w:kern w:val="0"/>
          <w:sz w:val="24"/>
          <w:szCs w:val="24"/>
        </w:rPr>
        <w:t>标注</w:t>
      </w:r>
      <w:r>
        <w:rPr>
          <w:rFonts w:ascii="Helvetica" w:hAnsi="Helvetica" w:eastAsia="宋体" w:cs="Helvetica"/>
          <w:color w:val="0D0D0D"/>
          <w:kern w:val="0"/>
          <w:sz w:val="24"/>
          <w:szCs w:val="24"/>
        </w:rPr>
        <w:t>。</w:t>
      </w:r>
    </w:p>
    <w:p>
      <w:pPr>
        <w:numPr>
          <w:ilvl w:val="0"/>
          <w:numId w:val="73"/>
        </w:numPr>
        <w:tabs>
          <w:tab w:val="left" w:pos="616"/>
        </w:tabs>
        <w:spacing w:line="360" w:lineRule="auto"/>
        <w:ind w:left="10" w:leftChars="5" w:firstLine="237" w:firstLineChars="99"/>
        <w:rPr>
          <w:rFonts w:ascii="宋体" w:hAnsi="宋体" w:eastAsia="宋体" w:cs="Times New Roman"/>
          <w:b/>
          <w:bCs/>
          <w:sz w:val="24"/>
          <w:szCs w:val="20"/>
        </w:rPr>
      </w:pPr>
      <w:r>
        <w:rPr>
          <w:rFonts w:hint="eastAsia" w:ascii="宋体" w:hAnsi="宋体" w:eastAsia="宋体" w:cs="Times New Roman"/>
          <w:b/>
          <w:bCs/>
          <w:sz w:val="24"/>
          <w:szCs w:val="20"/>
        </w:rPr>
        <w:t>计分办法</w:t>
      </w:r>
    </w:p>
    <w:p>
      <w:pPr>
        <w:numPr>
          <w:ilvl w:val="0"/>
          <w:numId w:val="76"/>
        </w:numPr>
        <w:adjustRightInd w:val="0"/>
        <w:spacing w:line="360" w:lineRule="auto"/>
        <w:ind w:left="756" w:hanging="507"/>
        <w:rPr>
          <w:rFonts w:ascii="Helvetica" w:hAnsi="Helvetica" w:eastAsia="宋体" w:cs="Helvetica"/>
          <w:kern w:val="0"/>
          <w:sz w:val="24"/>
          <w:szCs w:val="24"/>
        </w:rPr>
      </w:pPr>
      <w:r>
        <w:rPr>
          <w:rFonts w:hint="eastAsia" w:ascii="Helvetica" w:hAnsi="Helvetica" w:eastAsia="宋体" w:cs="Helvetica"/>
          <w:kern w:val="0"/>
          <w:sz w:val="24"/>
          <w:szCs w:val="24"/>
        </w:rPr>
        <w:t>集中采购机构对各评委的总分进行复核。各项统计结果均精确到小数点后两位。</w:t>
      </w:r>
    </w:p>
    <w:p>
      <w:pPr>
        <w:numPr>
          <w:ilvl w:val="0"/>
          <w:numId w:val="76"/>
        </w:numPr>
        <w:adjustRightInd w:val="0"/>
        <w:spacing w:line="360" w:lineRule="auto"/>
        <w:ind w:left="756" w:hanging="507"/>
        <w:rPr>
          <w:rFonts w:ascii="Helvetica" w:hAnsi="Helvetica" w:eastAsia="宋体" w:cs="Helvetica"/>
          <w:kern w:val="0"/>
          <w:sz w:val="24"/>
          <w:szCs w:val="24"/>
        </w:rPr>
      </w:pPr>
      <w:r>
        <w:rPr>
          <w:rFonts w:hint="eastAsia" w:ascii="Helvetica" w:hAnsi="Helvetica" w:eastAsia="宋体" w:cs="Helvetica"/>
          <w:kern w:val="0"/>
          <w:sz w:val="24"/>
          <w:szCs w:val="24"/>
        </w:rPr>
        <w:t>各投标人的最终得分为评委所评定分数的算术平均值。</w:t>
      </w:r>
    </w:p>
    <w:p>
      <w:pPr>
        <w:numPr>
          <w:ilvl w:val="0"/>
          <w:numId w:val="69"/>
        </w:numPr>
        <w:ind w:left="1311" w:leftChars="154" w:hanging="988" w:hangingChars="353"/>
        <w:rPr>
          <w:rFonts w:ascii="宋体" w:hAnsi="宋体" w:eastAsia="宋体" w:cs="Times New Roman"/>
          <w:b/>
          <w:sz w:val="28"/>
          <w:szCs w:val="28"/>
        </w:rPr>
      </w:pPr>
      <w:r>
        <w:rPr>
          <w:rFonts w:hint="eastAsia" w:ascii="宋体" w:hAnsi="宋体" w:eastAsia="宋体" w:cs="Times New Roman"/>
          <w:b/>
          <w:sz w:val="28"/>
          <w:szCs w:val="28"/>
        </w:rPr>
        <w:t>推荐中标候选人名单或确定中标人</w:t>
      </w:r>
    </w:p>
    <w:p>
      <w:pPr>
        <w:numPr>
          <w:ilvl w:val="0"/>
          <w:numId w:val="7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评标委员会按照招标文件确定的评标方法、程序及标准，对投标文件进行评审。</w:t>
      </w:r>
      <w:r>
        <w:rPr>
          <w:rFonts w:ascii="Helvetica" w:hAnsi="Helvetica" w:eastAsia="宋体" w:cs="Helvetica"/>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7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评标委员会依据评标结果，按各投标人的评审后得分由高到低的顺序向采购人推荐得分前三名的进入中标候选人名单，并形成书面的评标报告。</w:t>
      </w:r>
    </w:p>
    <w:p>
      <w:pPr>
        <w:numPr>
          <w:ilvl w:val="0"/>
          <w:numId w:val="7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中标候选人并列的，</w:t>
      </w:r>
      <w:r>
        <w:rPr>
          <w:rFonts w:ascii="Helvetica" w:hAnsi="Helvetica" w:eastAsia="宋体" w:cs="Helvetica"/>
          <w:kern w:val="0"/>
          <w:sz w:val="24"/>
          <w:szCs w:val="24"/>
        </w:rPr>
        <w:t>由采购人</w:t>
      </w:r>
      <w:r>
        <w:rPr>
          <w:rFonts w:hint="eastAsia" w:ascii="Helvetica" w:hAnsi="Helvetica" w:eastAsia="宋体" w:cs="Helvetica"/>
          <w:kern w:val="0"/>
          <w:sz w:val="24"/>
          <w:szCs w:val="24"/>
        </w:rPr>
        <w:t>确定</w:t>
      </w:r>
      <w:r>
        <w:rPr>
          <w:rFonts w:ascii="Helvetica" w:hAnsi="Helvetica" w:eastAsia="宋体" w:cs="Helvetica"/>
          <w:kern w:val="0"/>
          <w:sz w:val="24"/>
          <w:szCs w:val="24"/>
        </w:rPr>
        <w:t>或者采购人委托评标委员会</w:t>
      </w:r>
      <w:r>
        <w:rPr>
          <w:rFonts w:hint="eastAsia" w:ascii="Helvetica" w:hAnsi="Helvetica" w:eastAsia="宋体" w:cs="Helvetica"/>
          <w:kern w:val="0"/>
          <w:sz w:val="24"/>
          <w:szCs w:val="24"/>
        </w:rPr>
        <w:t>以投票方式</w:t>
      </w:r>
      <w:r>
        <w:rPr>
          <w:rFonts w:ascii="Helvetica" w:hAnsi="Helvetica" w:eastAsia="宋体" w:cs="Helvetica"/>
          <w:kern w:val="0"/>
          <w:sz w:val="24"/>
          <w:szCs w:val="24"/>
        </w:rPr>
        <w:t>确定中标人。</w:t>
      </w:r>
    </w:p>
    <w:p>
      <w:pPr>
        <w:numPr>
          <w:ilvl w:val="0"/>
          <w:numId w:val="7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评标委员会应当在评标报告上签字，对自己的评审意见承担法律责任。对评标报告有异议的，应当在评标报告上签署不同意见，并说明理由，否则视为同意评标报告。</w:t>
      </w:r>
    </w:p>
    <w:p>
      <w:pPr>
        <w:pStyle w:val="4"/>
        <w:numPr>
          <w:ilvl w:val="0"/>
          <w:numId w:val="68"/>
        </w:numPr>
        <w:spacing w:before="0" w:after="0" w:line="360" w:lineRule="auto"/>
        <w:ind w:left="616" w:hanging="616"/>
        <w:jc w:val="left"/>
        <w:rPr>
          <w:rFonts w:ascii="宋体" w:hAnsi="宋体" w:cs="Times New Roman"/>
          <w:bCs w:val="0"/>
          <w:sz w:val="30"/>
          <w:szCs w:val="30"/>
        </w:rPr>
      </w:pPr>
      <w:bookmarkStart w:id="285" w:name="_Toc511894519"/>
      <w:bookmarkStart w:id="286" w:name="_Toc9637"/>
      <w:bookmarkStart w:id="287" w:name="_Toc15913014"/>
      <w:bookmarkStart w:id="288" w:name="_Toc494561963"/>
      <w:r>
        <w:rPr>
          <w:rFonts w:hint="eastAsia" w:ascii="宋体" w:hAnsi="宋体" w:cs="Times New Roman"/>
          <w:bCs w:val="0"/>
          <w:sz w:val="30"/>
          <w:szCs w:val="30"/>
        </w:rPr>
        <w:t>评审因素及评分标准</w:t>
      </w:r>
      <w:bookmarkEnd w:id="285"/>
      <w:bookmarkEnd w:id="286"/>
      <w:bookmarkEnd w:id="287"/>
      <w:bookmarkEnd w:id="288"/>
    </w:p>
    <w:p>
      <w:pPr>
        <w:spacing w:line="360" w:lineRule="auto"/>
        <w:ind w:left="728" w:hanging="724" w:hangingChars="302"/>
        <w:rPr>
          <w:rFonts w:ascii="宋体" w:hAnsi="宋体" w:eastAsia="宋体" w:cs="Times New Roman"/>
          <w:sz w:val="24"/>
          <w:szCs w:val="24"/>
        </w:rPr>
      </w:pPr>
      <w:r>
        <w:rPr>
          <w:rFonts w:hint="eastAsia" w:ascii="宋体" w:hAnsi="宋体" w:eastAsia="宋体" w:cs="Times New Roman"/>
          <w:b/>
          <w:sz w:val="24"/>
          <w:szCs w:val="24"/>
        </w:rPr>
        <w:t>说明：1）</w:t>
      </w:r>
      <w:r>
        <w:rPr>
          <w:rFonts w:hint="eastAsia" w:ascii="宋体" w:hAnsi="宋体" w:eastAsia="宋体" w:cs="Times New Roman"/>
          <w:sz w:val="24"/>
          <w:szCs w:val="24"/>
        </w:rPr>
        <w:t>投标人应在投标文件的“第二部分 商务文件”、“第三部分 技术、服务文件”中提供“1.商务评议”、“2.技术、服务评议”所有评分标准中要求提供的相关证明材料，</w:t>
      </w:r>
      <w:r>
        <w:rPr>
          <w:rFonts w:hint="eastAsia" w:ascii="宋体" w:hAnsi="宋体" w:eastAsia="宋体" w:cs="Times New Roman"/>
          <w:b/>
          <w:sz w:val="24"/>
          <w:szCs w:val="24"/>
        </w:rPr>
        <w:t>否则，将会导致对应的评审因素不得分</w:t>
      </w:r>
      <w:r>
        <w:rPr>
          <w:rFonts w:hint="eastAsia" w:ascii="宋体" w:hAnsi="宋体" w:eastAsia="宋体" w:cs="Times New Roman"/>
          <w:sz w:val="24"/>
          <w:szCs w:val="24"/>
        </w:rPr>
        <w:t>；</w:t>
      </w:r>
    </w:p>
    <w:p>
      <w:pPr>
        <w:spacing w:line="360" w:lineRule="auto"/>
        <w:ind w:left="726" w:leftChars="346"/>
        <w:rPr>
          <w:rFonts w:eastAsia="黑体"/>
          <w:b/>
          <w:iCs/>
          <w:color w:val="000000"/>
          <w:kern w:val="0"/>
          <w:sz w:val="28"/>
        </w:rPr>
      </w:pPr>
      <w:r>
        <w:rPr>
          <w:rFonts w:hint="eastAsia" w:ascii="宋体" w:hAnsi="宋体" w:eastAsia="宋体" w:cs="Times New Roman"/>
          <w:b/>
          <w:sz w:val="24"/>
          <w:szCs w:val="24"/>
        </w:rPr>
        <w:t>2）</w:t>
      </w:r>
      <w:r>
        <w:rPr>
          <w:rFonts w:hint="eastAsia" w:ascii="宋体" w:hAnsi="宋体" w:eastAsia="宋体" w:cs="Times New Roman"/>
          <w:sz w:val="24"/>
          <w:szCs w:val="24"/>
        </w:rPr>
        <w:t>下表评分</w:t>
      </w:r>
      <w:r>
        <w:rPr>
          <w:rFonts w:hint="eastAsia" w:ascii="仿宋" w:hAnsi="仿宋" w:eastAsia="仿宋" w:cs="Times New Roman"/>
          <w:b/>
          <w:sz w:val="24"/>
          <w:szCs w:val="24"/>
        </w:rPr>
        <w:t>“因素来源”</w:t>
      </w:r>
      <w:r>
        <w:rPr>
          <w:rFonts w:hint="eastAsia" w:ascii="宋体" w:hAnsi="宋体" w:eastAsia="宋体" w:cs="Times New Roman"/>
          <w:sz w:val="24"/>
          <w:szCs w:val="24"/>
        </w:rPr>
        <w:t xml:space="preserve">中的序号均源之于第三章 </w:t>
      </w:r>
      <w:r>
        <w:rPr>
          <w:rFonts w:hint="eastAsia" w:ascii="宋体" w:hAnsi="宋体" w:eastAsia="宋体" w:cs="Times New Roman"/>
          <w:bCs/>
          <w:sz w:val="24"/>
          <w:szCs w:val="24"/>
        </w:rPr>
        <w:t>技术及商务要求中的</w:t>
      </w:r>
      <w:r>
        <w:rPr>
          <w:rFonts w:hint="eastAsia" w:ascii="宋体" w:hAnsi="宋体" w:eastAsia="宋体" w:cs="Times New Roman"/>
          <w:b/>
          <w:sz w:val="24"/>
          <w:szCs w:val="24"/>
        </w:rPr>
        <w:t>“</w:t>
      </w:r>
      <w:r>
        <w:rPr>
          <w:rFonts w:hint="eastAsia" w:ascii="仿宋" w:hAnsi="仿宋" w:eastAsia="仿宋" w:cs="Times New Roman"/>
          <w:b/>
          <w:bCs/>
          <w:sz w:val="24"/>
          <w:szCs w:val="24"/>
        </w:rPr>
        <w:t>四、技术、服务要求和五、商务要求</w:t>
      </w:r>
      <w:r>
        <w:rPr>
          <w:rFonts w:hint="eastAsia" w:ascii="宋体" w:hAnsi="宋体" w:eastAsia="宋体" w:cs="Times New Roman"/>
          <w:sz w:val="24"/>
          <w:szCs w:val="24"/>
        </w:rPr>
        <w:t>”中的相关条款内容。</w:t>
      </w:r>
    </w:p>
    <w:p>
      <w:pPr>
        <w:numPr>
          <w:ilvl w:val="0"/>
          <w:numId w:val="78"/>
        </w:numPr>
        <w:spacing w:before="60" w:after="60" w:line="360" w:lineRule="exact"/>
        <w:ind w:left="711" w:leftChars="138" w:hanging="422" w:hangingChars="151"/>
        <w:rPr>
          <w:rFonts w:ascii="宋体" w:hAnsi="宋体" w:eastAsia="宋体" w:cs="Times New Roman"/>
          <w:b/>
          <w:bCs/>
          <w:sz w:val="28"/>
          <w:szCs w:val="28"/>
        </w:rPr>
      </w:pPr>
      <w:r>
        <w:rPr>
          <w:rFonts w:hint="eastAsia" w:ascii="宋体" w:hAnsi="宋体" w:eastAsia="宋体" w:cs="Times New Roman"/>
          <w:b/>
          <w:bCs/>
          <w:sz w:val="28"/>
          <w:szCs w:val="28"/>
        </w:rPr>
        <w:t>商务评议（</w:t>
      </w:r>
      <w:r>
        <w:rPr>
          <w:rFonts w:hint="eastAsia" w:ascii="宋体" w:hAnsi="宋体" w:eastAsia="宋体" w:cs="Courier New"/>
          <w:b/>
          <w:bCs/>
          <w:sz w:val="28"/>
          <w:szCs w:val="28"/>
        </w:rPr>
        <w:t>30分</w:t>
      </w:r>
      <w:r>
        <w:rPr>
          <w:rFonts w:hint="eastAsia" w:ascii="宋体" w:hAnsi="宋体" w:eastAsia="宋体" w:cs="Times New Roman"/>
          <w:b/>
          <w:bCs/>
          <w:sz w:val="28"/>
          <w:szCs w:val="28"/>
        </w:rPr>
        <w:t>）</w:t>
      </w:r>
    </w:p>
    <w:tbl>
      <w:tblPr>
        <w:tblStyle w:val="24"/>
        <w:tblW w:w="9557"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11"/>
        <w:gridCol w:w="1288"/>
        <w:gridCol w:w="578"/>
        <w:gridCol w:w="6425"/>
        <w:gridCol w:w="65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11" w:type="dxa"/>
            <w:tcBorders>
              <w:top w:val="single" w:color="auto" w:sz="8" w:space="0"/>
              <w:bottom w:val="single" w:color="auto" w:sz="2" w:space="0"/>
            </w:tcBorders>
            <w:shd w:val="pct5" w:color="auto" w:fill="auto"/>
            <w:vAlign w:val="center"/>
          </w:tcPr>
          <w:p>
            <w:pPr>
              <w:ind w:left="-77"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288" w:type="dxa"/>
            <w:tcBorders>
              <w:top w:val="single" w:color="auto" w:sz="8" w:space="0"/>
              <w:bottom w:val="single" w:color="auto" w:sz="2" w:space="0"/>
            </w:tcBorders>
            <w:shd w:val="pct5"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578" w:type="dxa"/>
            <w:tcBorders>
              <w:top w:val="single" w:color="auto" w:sz="8" w:space="0"/>
              <w:bottom w:val="single" w:color="auto" w:sz="2" w:space="0"/>
            </w:tcBorders>
            <w:shd w:val="pct5" w:color="auto" w:fill="auto"/>
            <w:vAlign w:val="center"/>
          </w:tcPr>
          <w:p>
            <w:pPr>
              <w:ind w:left="-73" w:leftChars="-35" w:right="-79"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6425" w:type="dxa"/>
            <w:tcBorders>
              <w:top w:val="single" w:color="auto" w:sz="8" w:space="0"/>
              <w:bottom w:val="single" w:color="auto" w:sz="2" w:space="0"/>
            </w:tcBorders>
            <w:shd w:val="pct5"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评分标准</w:t>
            </w:r>
          </w:p>
        </w:tc>
        <w:tc>
          <w:tcPr>
            <w:tcW w:w="655" w:type="dxa"/>
            <w:tcBorders>
              <w:top w:val="single" w:color="auto" w:sz="8" w:space="0"/>
              <w:bottom w:val="single" w:color="auto" w:sz="2" w:space="0"/>
            </w:tcBorders>
            <w:shd w:val="pct5" w:color="auto" w:fill="auto"/>
            <w:vAlign w:val="center"/>
          </w:tcPr>
          <w:p>
            <w:pPr>
              <w:spacing w:line="280" w:lineRule="exact"/>
              <w:ind w:left="-52" w:leftChars="-25" w:right="-52" w:rightChars="-25"/>
              <w:jc w:val="center"/>
              <w:rPr>
                <w:rFonts w:ascii="宋体" w:hAnsi="宋体" w:eastAsia="宋体" w:cs="Times New Roman"/>
                <w:b/>
                <w:sz w:val="24"/>
                <w:szCs w:val="24"/>
              </w:rPr>
            </w:pPr>
            <w:r>
              <w:rPr>
                <w:rFonts w:hint="eastAsia" w:ascii="宋体" w:hAnsi="宋体" w:eastAsia="宋体" w:cs="Times New Roman"/>
                <w:b/>
                <w:sz w:val="24"/>
                <w:szCs w:val="24"/>
              </w:rPr>
              <w:t>因素来源</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611" w:type="dxa"/>
            <w:tcBorders>
              <w:top w:val="single" w:color="auto" w:sz="2" w:space="0"/>
            </w:tcBorders>
            <w:vAlign w:val="center"/>
          </w:tcPr>
          <w:p>
            <w:pPr>
              <w:numPr>
                <w:ilvl w:val="0"/>
                <w:numId w:val="79"/>
              </w:numPr>
              <w:tabs>
                <w:tab w:val="left" w:pos="447"/>
              </w:tabs>
              <w:spacing w:line="320" w:lineRule="exact"/>
              <w:ind w:left="-42" w:right="-42" w:rightChars="-20" w:firstLine="0"/>
              <w:jc w:val="right"/>
              <w:rPr>
                <w:rFonts w:ascii="宋体" w:hAnsi="宋体" w:eastAsia="宋体" w:cs="Times New Roman"/>
                <w:b/>
                <w:sz w:val="24"/>
              </w:rPr>
            </w:pPr>
          </w:p>
        </w:tc>
        <w:tc>
          <w:tcPr>
            <w:tcW w:w="1288" w:type="dxa"/>
            <w:tcBorders>
              <w:top w:val="single" w:color="auto" w:sz="2" w:space="0"/>
            </w:tcBorders>
            <w:vAlign w:val="center"/>
          </w:tcPr>
          <w:p>
            <w:pPr>
              <w:spacing w:line="300" w:lineRule="exact"/>
              <w:contextualSpacing/>
              <w:rPr>
                <w:rFonts w:ascii="宋体" w:hAnsi="宋体" w:cs="宋体"/>
                <w:sz w:val="24"/>
                <w:lang w:val="zh-CN"/>
              </w:rPr>
            </w:pPr>
            <w:r>
              <w:rPr>
                <w:rFonts w:ascii="宋体" w:hAnsi="宋体" w:cs="宋体"/>
                <w:sz w:val="24"/>
                <w:lang w:val="zh-CN"/>
              </w:rPr>
              <w:t>投标文件规范性</w:t>
            </w:r>
          </w:p>
        </w:tc>
        <w:tc>
          <w:tcPr>
            <w:tcW w:w="578" w:type="dxa"/>
            <w:tcBorders>
              <w:top w:val="single" w:color="auto" w:sz="2" w:space="0"/>
            </w:tcBorders>
            <w:vAlign w:val="center"/>
          </w:tcPr>
          <w:p>
            <w:pPr>
              <w:contextualSpacing/>
              <w:jc w:val="center"/>
              <w:rPr>
                <w:rFonts w:hint="eastAsia" w:ascii="宋体" w:hAnsi="宋体" w:eastAsiaTheme="minorEastAsia"/>
                <w:b/>
                <w:sz w:val="24"/>
                <w:lang w:eastAsia="zh-CN"/>
              </w:rPr>
            </w:pPr>
            <w:r>
              <w:rPr>
                <w:rFonts w:hint="eastAsia" w:ascii="宋体" w:hAnsi="宋体"/>
                <w:b/>
                <w:sz w:val="24"/>
                <w:lang w:val="en-US" w:eastAsia="zh-CN"/>
              </w:rPr>
              <w:t>3</w:t>
            </w:r>
          </w:p>
        </w:tc>
        <w:tc>
          <w:tcPr>
            <w:tcW w:w="6425" w:type="dxa"/>
            <w:tcBorders>
              <w:top w:val="single" w:color="auto" w:sz="2" w:space="0"/>
            </w:tcBorders>
            <w:vAlign w:val="center"/>
          </w:tcPr>
          <w:p>
            <w:pPr>
              <w:spacing w:line="300" w:lineRule="exact"/>
              <w:contextualSpacing/>
              <w:rPr>
                <w:rFonts w:hint="eastAsia" w:ascii="宋体" w:hAnsi="宋体" w:cs="宋体"/>
                <w:sz w:val="24"/>
              </w:rPr>
            </w:pPr>
            <w:r>
              <w:rPr>
                <w:rFonts w:hint="eastAsia" w:ascii="宋体" w:hAnsi="宋体" w:cs="宋体"/>
                <w:sz w:val="24"/>
              </w:rPr>
              <w:t>评审要素：①目录清晰准确且与页码内容对应强；②内页有连续页码；</w:t>
            </w:r>
          </w:p>
          <w:p>
            <w:pPr>
              <w:spacing w:line="300" w:lineRule="exact"/>
              <w:contextualSpacing/>
              <w:rPr>
                <w:rFonts w:ascii="宋体" w:hAnsi="宋体" w:cs="宋体"/>
                <w:sz w:val="24"/>
                <w:lang w:val="zh-CN"/>
              </w:rPr>
            </w:pPr>
            <w:r>
              <w:rPr>
                <w:rFonts w:hint="eastAsia" w:ascii="宋体" w:hAnsi="宋体" w:cs="宋体"/>
                <w:b/>
                <w:bCs/>
                <w:sz w:val="24"/>
              </w:rPr>
              <w:t>上述三个要素每有一项不满足的扣1</w:t>
            </w:r>
            <w:r>
              <w:rPr>
                <w:rFonts w:hint="eastAsia" w:ascii="宋体" w:hAnsi="宋体" w:cs="宋体"/>
                <w:b/>
                <w:bCs/>
                <w:sz w:val="24"/>
                <w:lang w:val="en-US" w:eastAsia="zh-CN"/>
              </w:rPr>
              <w:t>.5</w:t>
            </w:r>
            <w:r>
              <w:rPr>
                <w:rFonts w:hint="eastAsia" w:ascii="宋体" w:hAnsi="宋体" w:cs="宋体"/>
                <w:b/>
                <w:bCs/>
                <w:sz w:val="24"/>
              </w:rPr>
              <w:t>分，直到本项扣完为止。</w:t>
            </w:r>
          </w:p>
        </w:tc>
        <w:tc>
          <w:tcPr>
            <w:tcW w:w="655" w:type="dxa"/>
            <w:tcBorders>
              <w:top w:val="single" w:color="auto" w:sz="2" w:space="0"/>
            </w:tcBorders>
            <w:vAlign w:val="center"/>
          </w:tcPr>
          <w:p>
            <w:pPr>
              <w:spacing w:line="280" w:lineRule="exact"/>
              <w:ind w:left="-50" w:leftChars="-24" w:right="-50" w:rightChars="-24"/>
              <w:jc w:val="center"/>
              <w:rPr>
                <w:rFonts w:ascii="宋体" w:hAnsi="宋体"/>
                <w:b/>
                <w:strike/>
                <w:szCs w:val="21"/>
              </w:rPr>
            </w:pPr>
            <w:r>
              <w:rPr>
                <w:rFonts w:hint="eastAsia" w:ascii="宋体" w:hAnsi="宋体" w:eastAsia="宋体" w:cs="Times New Roman"/>
                <w:b/>
                <w:szCs w:val="21"/>
              </w:rPr>
              <w:t>通用标准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79"/>
              </w:numPr>
              <w:tabs>
                <w:tab w:val="left" w:pos="447"/>
              </w:tabs>
              <w:spacing w:line="320" w:lineRule="exact"/>
              <w:ind w:left="-42" w:right="-42" w:rightChars="-20" w:firstLine="0"/>
              <w:jc w:val="right"/>
              <w:rPr>
                <w:rFonts w:ascii="宋体" w:hAnsi="宋体" w:eastAsia="宋体" w:cs="Times New Roman"/>
                <w:b/>
                <w:sz w:val="24"/>
              </w:rPr>
            </w:pPr>
          </w:p>
        </w:tc>
        <w:tc>
          <w:tcPr>
            <w:tcW w:w="1288" w:type="dxa"/>
            <w:vAlign w:val="center"/>
          </w:tcPr>
          <w:p>
            <w:pPr>
              <w:spacing w:line="300" w:lineRule="exact"/>
              <w:contextualSpacing/>
              <w:rPr>
                <w:rFonts w:hint="eastAsia" w:ascii="宋体" w:hAnsi="宋体" w:cs="宋体" w:eastAsiaTheme="minorEastAsia"/>
                <w:sz w:val="24"/>
                <w:lang w:val="zh-CN" w:eastAsia="zh-CN"/>
              </w:rPr>
            </w:pPr>
            <w:r>
              <w:rPr>
                <w:rFonts w:hint="eastAsia" w:ascii="宋体" w:hAnsi="宋体" w:cs="宋体"/>
                <w:sz w:val="24"/>
                <w:lang w:eastAsia="zh-CN"/>
              </w:rPr>
              <w:t>项目经理业绩</w:t>
            </w:r>
          </w:p>
        </w:tc>
        <w:tc>
          <w:tcPr>
            <w:tcW w:w="578" w:type="dxa"/>
            <w:vAlign w:val="center"/>
          </w:tcPr>
          <w:p>
            <w:pPr>
              <w:contextualSpacing/>
              <w:jc w:val="center"/>
              <w:rPr>
                <w:rFonts w:ascii="宋体" w:hAnsi="宋体"/>
                <w:b/>
                <w:sz w:val="24"/>
              </w:rPr>
            </w:pPr>
            <w:r>
              <w:rPr>
                <w:rFonts w:hint="eastAsia" w:ascii="宋体" w:hAnsi="宋体"/>
                <w:b/>
                <w:sz w:val="24"/>
              </w:rPr>
              <w:t>3</w:t>
            </w:r>
          </w:p>
        </w:tc>
        <w:tc>
          <w:tcPr>
            <w:tcW w:w="6425" w:type="dxa"/>
            <w:vAlign w:val="center"/>
          </w:tcPr>
          <w:p>
            <w:pPr>
              <w:spacing w:line="300" w:lineRule="exact"/>
              <w:contextualSpacing/>
              <w:rPr>
                <w:rFonts w:ascii="宋体" w:hAnsi="宋体" w:cs="宋体"/>
                <w:sz w:val="24"/>
                <w:lang w:val="zh-CN"/>
              </w:rPr>
            </w:pPr>
            <w:r>
              <w:rPr>
                <w:rFonts w:hint="eastAsia" w:ascii="宋体" w:hAnsi="宋体" w:cs="宋体"/>
                <w:sz w:val="24"/>
              </w:rPr>
              <w:t>拟派项目经理</w:t>
            </w:r>
            <w:r>
              <w:rPr>
                <w:rFonts w:hint="eastAsia" w:ascii="宋体" w:hAnsi="宋体" w:cs="宋体"/>
                <w:sz w:val="24"/>
                <w:lang w:val="en-US" w:eastAsia="zh-CN"/>
              </w:rPr>
              <w:t>45</w:t>
            </w:r>
            <w:r>
              <w:rPr>
                <w:rFonts w:hint="eastAsia" w:ascii="宋体" w:hAnsi="宋体" w:cs="宋体"/>
                <w:sz w:val="24"/>
              </w:rPr>
              <w:t>周岁以下，有二年及以上保洁服务工作经验，未提供不得分（以投标人提供拟派该人员的劳务合同及在相关业绩中负责管理的业绩证明彩色影印件并加盖公章的材料为据）。</w:t>
            </w:r>
          </w:p>
        </w:tc>
        <w:tc>
          <w:tcPr>
            <w:tcW w:w="655" w:type="dxa"/>
            <w:vAlign w:val="center"/>
          </w:tcPr>
          <w:p>
            <w:pPr>
              <w:spacing w:line="320" w:lineRule="exact"/>
              <w:ind w:left="-65" w:leftChars="-31" w:right="-35" w:rightChars="-17"/>
              <w:jc w:val="center"/>
              <w:rPr>
                <w:rFonts w:hint="default" w:ascii="宋体" w:hAnsi="宋体" w:eastAsiaTheme="minorEastAsia"/>
                <w:b/>
                <w:szCs w:val="21"/>
                <w:lang w:val="en-US" w:eastAsia="zh-CN"/>
              </w:rPr>
            </w:pPr>
            <w:r>
              <w:rPr>
                <w:rFonts w:hint="eastAsia" w:ascii="宋体" w:hAnsi="宋体"/>
                <w:b/>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79"/>
              </w:numPr>
              <w:tabs>
                <w:tab w:val="left" w:pos="447"/>
              </w:tabs>
              <w:spacing w:line="320" w:lineRule="exact"/>
              <w:ind w:left="-42" w:right="-42" w:rightChars="-20" w:firstLine="0"/>
              <w:jc w:val="right"/>
              <w:rPr>
                <w:rFonts w:ascii="宋体" w:hAnsi="宋体" w:eastAsia="宋体" w:cs="Times New Roman"/>
                <w:b/>
                <w:sz w:val="24"/>
              </w:rPr>
            </w:pPr>
          </w:p>
        </w:tc>
        <w:tc>
          <w:tcPr>
            <w:tcW w:w="1288" w:type="dxa"/>
            <w:vMerge w:val="restart"/>
            <w:vAlign w:val="center"/>
          </w:tcPr>
          <w:p>
            <w:pPr>
              <w:spacing w:line="300" w:lineRule="exact"/>
              <w:contextualSpacing/>
              <w:rPr>
                <w:rFonts w:ascii="宋体" w:hAnsi="宋体" w:cs="宋体"/>
                <w:sz w:val="24"/>
              </w:rPr>
            </w:pPr>
            <w:r>
              <w:rPr>
                <w:rFonts w:hint="eastAsia" w:ascii="宋体" w:hAnsi="宋体" w:cs="宋体"/>
                <w:sz w:val="24"/>
                <w:lang w:val="zh-CN"/>
              </w:rPr>
              <w:t>企业业绩</w:t>
            </w:r>
          </w:p>
        </w:tc>
        <w:tc>
          <w:tcPr>
            <w:tcW w:w="578" w:type="dxa"/>
            <w:vAlign w:val="center"/>
          </w:tcPr>
          <w:p>
            <w:pPr>
              <w:contextualSpacing/>
              <w:jc w:val="center"/>
              <w:rPr>
                <w:rFonts w:hint="default" w:ascii="宋体" w:hAnsi="宋体" w:eastAsiaTheme="minorEastAsia"/>
                <w:b/>
                <w:sz w:val="24"/>
                <w:lang w:val="en-US" w:eastAsia="zh-CN"/>
              </w:rPr>
            </w:pPr>
            <w:r>
              <w:rPr>
                <w:rFonts w:hint="eastAsia" w:ascii="宋体" w:hAnsi="宋体"/>
                <w:b/>
                <w:sz w:val="24"/>
                <w:lang w:val="en-US" w:eastAsia="zh-CN"/>
              </w:rPr>
              <w:t>12</w:t>
            </w:r>
          </w:p>
        </w:tc>
        <w:tc>
          <w:tcPr>
            <w:tcW w:w="6425" w:type="dxa"/>
            <w:vAlign w:val="center"/>
          </w:tcPr>
          <w:p>
            <w:pPr>
              <w:spacing w:line="300" w:lineRule="exact"/>
              <w:contextualSpacing/>
              <w:rPr>
                <w:rFonts w:ascii="宋体" w:hAnsi="宋体" w:cs="宋体"/>
                <w:sz w:val="24"/>
                <w:lang w:val="zh-CN"/>
              </w:rPr>
            </w:pPr>
            <w:r>
              <w:rPr>
                <w:rFonts w:hint="eastAsia" w:ascii="宋体" w:hAnsi="宋体" w:cs="宋体"/>
                <w:sz w:val="24"/>
              </w:rPr>
              <w:t>近三年有二级医院或二级以上医院保洁服务类似业绩，提供一份合同或中标通知书彩色影印并加盖公章的得</w:t>
            </w:r>
            <w:r>
              <w:rPr>
                <w:rFonts w:hint="eastAsia" w:ascii="宋体" w:hAnsi="宋体" w:cs="宋体"/>
                <w:sz w:val="24"/>
                <w:lang w:val="en-US" w:eastAsia="zh-CN"/>
              </w:rPr>
              <w:t>4</w:t>
            </w:r>
            <w:r>
              <w:rPr>
                <w:rFonts w:hint="eastAsia" w:ascii="宋体" w:hAnsi="宋体" w:cs="宋体"/>
                <w:sz w:val="24"/>
              </w:rPr>
              <w:t>分，最多得</w:t>
            </w:r>
            <w:r>
              <w:rPr>
                <w:rFonts w:hint="eastAsia" w:ascii="宋体" w:hAnsi="宋体" w:cs="宋体"/>
                <w:sz w:val="24"/>
                <w:lang w:val="en-US" w:eastAsia="zh-CN"/>
              </w:rPr>
              <w:t>12</w:t>
            </w:r>
            <w:r>
              <w:rPr>
                <w:rFonts w:hint="eastAsia" w:ascii="宋体" w:hAnsi="宋体" w:cs="宋体"/>
                <w:sz w:val="24"/>
              </w:rPr>
              <w:t>分。</w:t>
            </w:r>
          </w:p>
        </w:tc>
        <w:tc>
          <w:tcPr>
            <w:tcW w:w="655" w:type="dxa"/>
            <w:vAlign w:val="center"/>
          </w:tcPr>
          <w:p>
            <w:pPr>
              <w:spacing w:line="320" w:lineRule="exact"/>
              <w:ind w:left="-65" w:leftChars="-31" w:right="-35" w:rightChars="-17"/>
              <w:jc w:val="center"/>
              <w:rPr>
                <w:rFonts w:hint="default" w:ascii="宋体" w:hAnsi="宋体" w:eastAsiaTheme="minorEastAsia"/>
                <w:b/>
                <w:szCs w:val="21"/>
                <w:lang w:val="en-US" w:eastAsia="zh-CN"/>
              </w:rPr>
            </w:pPr>
            <w:r>
              <w:rPr>
                <w:rFonts w:hint="eastAsia" w:ascii="宋体" w:hAnsi="宋体"/>
                <w:b/>
                <w:szCs w:val="21"/>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79"/>
              </w:numPr>
              <w:tabs>
                <w:tab w:val="left" w:pos="447"/>
              </w:tabs>
              <w:spacing w:line="320" w:lineRule="exact"/>
              <w:ind w:left="-42" w:right="-42" w:rightChars="-20" w:firstLine="0"/>
              <w:jc w:val="right"/>
              <w:rPr>
                <w:rFonts w:ascii="宋体" w:hAnsi="宋体" w:eastAsia="宋体" w:cs="Times New Roman"/>
                <w:b/>
                <w:sz w:val="24"/>
              </w:rPr>
            </w:pPr>
          </w:p>
        </w:tc>
        <w:tc>
          <w:tcPr>
            <w:tcW w:w="1288" w:type="dxa"/>
            <w:vMerge w:val="continue"/>
            <w:vAlign w:val="center"/>
          </w:tcPr>
          <w:p>
            <w:pPr>
              <w:spacing w:line="300" w:lineRule="exact"/>
              <w:contextualSpacing/>
              <w:rPr>
                <w:rFonts w:ascii="宋体" w:hAnsi="宋体" w:cs="宋体"/>
                <w:sz w:val="24"/>
              </w:rPr>
            </w:pPr>
          </w:p>
        </w:tc>
        <w:tc>
          <w:tcPr>
            <w:tcW w:w="578" w:type="dxa"/>
            <w:vAlign w:val="center"/>
          </w:tcPr>
          <w:p>
            <w:pPr>
              <w:contextualSpacing/>
              <w:jc w:val="center"/>
              <w:rPr>
                <w:rFonts w:ascii="宋体" w:hAnsi="宋体"/>
                <w:b/>
                <w:sz w:val="24"/>
              </w:rPr>
            </w:pPr>
            <w:r>
              <w:rPr>
                <w:rFonts w:hint="eastAsia" w:ascii="宋体" w:hAnsi="宋体"/>
                <w:b/>
                <w:sz w:val="24"/>
              </w:rPr>
              <w:t>6</w:t>
            </w:r>
          </w:p>
        </w:tc>
        <w:tc>
          <w:tcPr>
            <w:tcW w:w="6425" w:type="dxa"/>
            <w:vAlign w:val="center"/>
          </w:tcPr>
          <w:p>
            <w:pPr>
              <w:spacing w:line="300" w:lineRule="exact"/>
              <w:contextualSpacing/>
              <w:rPr>
                <w:rFonts w:ascii="宋体" w:hAnsi="宋体" w:cs="宋体"/>
                <w:sz w:val="24"/>
              </w:rPr>
            </w:pPr>
            <w:r>
              <w:rPr>
                <w:rFonts w:hint="eastAsia" w:ascii="宋体" w:hAnsi="宋体" w:cs="宋体"/>
                <w:sz w:val="24"/>
              </w:rPr>
              <w:t>近三年有医院洗涤服务类似业绩，提供一份合同或中标通知书</w:t>
            </w:r>
            <w:r>
              <w:rPr>
                <w:rFonts w:hint="eastAsia" w:ascii="宋体" w:hAnsi="宋体" w:cs="宋体"/>
                <w:sz w:val="24"/>
                <w:lang w:eastAsia="zh-CN"/>
              </w:rPr>
              <w:t>的彩色影印并加盖公章的</w:t>
            </w:r>
            <w:r>
              <w:rPr>
                <w:rFonts w:hint="eastAsia" w:ascii="宋体" w:hAnsi="宋体" w:cs="宋体"/>
                <w:sz w:val="24"/>
              </w:rPr>
              <w:t>得3分，最多得6分。</w:t>
            </w:r>
          </w:p>
        </w:tc>
        <w:tc>
          <w:tcPr>
            <w:tcW w:w="655" w:type="dxa"/>
            <w:vAlign w:val="center"/>
          </w:tcPr>
          <w:p>
            <w:pPr>
              <w:spacing w:line="320" w:lineRule="exact"/>
              <w:ind w:left="-65" w:leftChars="-31" w:right="-35" w:rightChars="-17"/>
              <w:jc w:val="center"/>
              <w:rPr>
                <w:rFonts w:hint="default" w:ascii="宋体" w:hAnsi="宋体" w:eastAsiaTheme="minorEastAsia"/>
                <w:b/>
                <w:szCs w:val="21"/>
                <w:lang w:val="en-US" w:eastAsia="zh-CN"/>
              </w:rPr>
            </w:pPr>
            <w:r>
              <w:rPr>
                <w:rFonts w:hint="eastAsia" w:ascii="宋体" w:hAnsi="宋体"/>
                <w:b/>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79"/>
              </w:numPr>
              <w:tabs>
                <w:tab w:val="left" w:pos="448"/>
              </w:tabs>
              <w:spacing w:line="320" w:lineRule="exact"/>
              <w:ind w:left="-42" w:right="-42" w:rightChars="-20" w:firstLine="0"/>
              <w:jc w:val="right"/>
              <w:rPr>
                <w:rFonts w:ascii="宋体" w:hAnsi="宋体" w:eastAsia="宋体" w:cs="Times New Roman"/>
                <w:b/>
                <w:sz w:val="24"/>
              </w:rPr>
            </w:pPr>
          </w:p>
        </w:tc>
        <w:tc>
          <w:tcPr>
            <w:tcW w:w="1288" w:type="dxa"/>
            <w:vMerge w:val="restart"/>
            <w:vAlign w:val="center"/>
          </w:tcPr>
          <w:p>
            <w:pPr>
              <w:spacing w:line="300" w:lineRule="exact"/>
              <w:contextualSpacing/>
              <w:rPr>
                <w:rFonts w:ascii="宋体" w:hAnsi="宋体" w:cs="宋体"/>
                <w:sz w:val="24"/>
                <w:lang w:val="zh-CN"/>
              </w:rPr>
            </w:pPr>
            <w:r>
              <w:rPr>
                <w:rFonts w:hint="eastAsia" w:ascii="宋体" w:hAnsi="宋体" w:cs="宋体"/>
                <w:sz w:val="24"/>
                <w:lang w:val="zh-CN"/>
              </w:rPr>
              <w:t>相关类似经验及评价</w:t>
            </w:r>
          </w:p>
        </w:tc>
        <w:tc>
          <w:tcPr>
            <w:tcW w:w="578" w:type="dxa"/>
            <w:vAlign w:val="center"/>
          </w:tcPr>
          <w:p>
            <w:pPr>
              <w:contextualSpacing/>
              <w:jc w:val="center"/>
              <w:rPr>
                <w:rFonts w:hint="eastAsia" w:ascii="宋体" w:hAnsi="宋体" w:eastAsiaTheme="minorEastAsia"/>
                <w:b/>
                <w:sz w:val="24"/>
                <w:lang w:eastAsia="zh-CN"/>
              </w:rPr>
            </w:pPr>
            <w:r>
              <w:rPr>
                <w:rFonts w:hint="eastAsia" w:ascii="宋体" w:hAnsi="宋体"/>
                <w:b/>
                <w:sz w:val="24"/>
                <w:lang w:val="en-US" w:eastAsia="zh-CN"/>
              </w:rPr>
              <w:t>3</w:t>
            </w:r>
          </w:p>
        </w:tc>
        <w:tc>
          <w:tcPr>
            <w:tcW w:w="6425" w:type="dxa"/>
            <w:vAlign w:val="center"/>
          </w:tcPr>
          <w:p>
            <w:pPr>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投标人近两年服务过的类似项目，单个服务项目获得过服务单位评价的评审标准如下：</w:t>
            </w:r>
          </w:p>
          <w:p>
            <w:pPr>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①好评次数在≥3次的得3分； </w:t>
            </w:r>
          </w:p>
          <w:p>
            <w:pPr>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②好评次数在2次的得2分；</w:t>
            </w:r>
          </w:p>
          <w:p>
            <w:pPr>
              <w:contextualSpacing/>
              <w:rPr>
                <w:rFonts w:ascii="宋体" w:hAnsi="宋体" w:cs="宋体"/>
                <w:sz w:val="24"/>
              </w:rPr>
            </w:pPr>
            <w:r>
              <w:rPr>
                <w:rFonts w:hint="eastAsia" w:ascii="宋体" w:hAnsi="宋体" w:cs="宋体"/>
                <w:color w:val="000000" w:themeColor="text1"/>
                <w:sz w:val="24"/>
                <w14:textFill>
                  <w14:solidFill>
                    <w14:schemeClr w14:val="tx1"/>
                  </w14:solidFill>
                </w14:textFill>
              </w:rPr>
              <w:t>③好评1次的得1分。</w:t>
            </w:r>
          </w:p>
        </w:tc>
        <w:tc>
          <w:tcPr>
            <w:tcW w:w="655" w:type="dxa"/>
            <w:vAlign w:val="center"/>
          </w:tcPr>
          <w:p>
            <w:pPr>
              <w:spacing w:line="320" w:lineRule="exact"/>
              <w:ind w:left="-65" w:leftChars="-31" w:right="-35" w:rightChars="-17"/>
              <w:jc w:val="center"/>
              <w:rPr>
                <w:rFonts w:hint="default" w:ascii="宋体" w:hAnsi="宋体" w:eastAsiaTheme="minorEastAsia"/>
                <w:b/>
                <w:strike/>
                <w:szCs w:val="21"/>
                <w:lang w:val="en-US" w:eastAsia="zh-CN"/>
              </w:rPr>
            </w:pPr>
            <w:r>
              <w:rPr>
                <w:rFonts w:hint="eastAsia" w:ascii="宋体" w:hAnsi="宋体"/>
                <w:b/>
                <w:strike/>
                <w:szCs w:val="21"/>
                <w:lang w:val="en-US" w:eastAsia="zh-CN"/>
              </w:rPr>
              <w:t>21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11" w:type="dxa"/>
            <w:vAlign w:val="center"/>
          </w:tcPr>
          <w:p>
            <w:pPr>
              <w:numPr>
                <w:ilvl w:val="0"/>
                <w:numId w:val="79"/>
              </w:numPr>
              <w:tabs>
                <w:tab w:val="left" w:pos="448"/>
              </w:tabs>
              <w:spacing w:line="320" w:lineRule="exact"/>
              <w:ind w:left="-42" w:right="-42" w:rightChars="-20" w:firstLine="0"/>
              <w:jc w:val="right"/>
              <w:rPr>
                <w:rFonts w:ascii="宋体" w:hAnsi="宋体" w:eastAsia="宋体" w:cs="Times New Roman"/>
                <w:b/>
                <w:sz w:val="24"/>
              </w:rPr>
            </w:pPr>
          </w:p>
        </w:tc>
        <w:tc>
          <w:tcPr>
            <w:tcW w:w="1288" w:type="dxa"/>
            <w:vMerge w:val="continue"/>
            <w:vAlign w:val="center"/>
          </w:tcPr>
          <w:p>
            <w:pPr>
              <w:spacing w:line="300" w:lineRule="exact"/>
              <w:contextualSpacing/>
              <w:rPr>
                <w:rFonts w:ascii="宋体" w:hAnsi="宋体" w:cs="宋体"/>
                <w:sz w:val="24"/>
                <w:lang w:val="zh-CN"/>
              </w:rPr>
            </w:pPr>
          </w:p>
        </w:tc>
        <w:tc>
          <w:tcPr>
            <w:tcW w:w="578" w:type="dxa"/>
            <w:vAlign w:val="center"/>
          </w:tcPr>
          <w:p>
            <w:pPr>
              <w:contextualSpacing/>
              <w:jc w:val="center"/>
              <w:rPr>
                <w:rFonts w:hint="eastAsia" w:ascii="宋体" w:hAnsi="宋体" w:eastAsiaTheme="minorEastAsia"/>
                <w:b/>
                <w:sz w:val="24"/>
                <w:lang w:eastAsia="zh-CN"/>
              </w:rPr>
            </w:pPr>
            <w:r>
              <w:rPr>
                <w:rFonts w:hint="eastAsia" w:ascii="宋体" w:hAnsi="宋体"/>
                <w:b/>
                <w:sz w:val="24"/>
                <w:lang w:val="en-US" w:eastAsia="zh-CN"/>
              </w:rPr>
              <w:t>3</w:t>
            </w:r>
          </w:p>
        </w:tc>
        <w:tc>
          <w:tcPr>
            <w:tcW w:w="6425" w:type="dxa"/>
            <w:vAlign w:val="center"/>
          </w:tcPr>
          <w:p>
            <w:pPr>
              <w:contextualSpacing/>
              <w:rPr>
                <w:rFonts w:ascii="宋体" w:hAnsi="宋体" w:cs="宋体"/>
                <w:sz w:val="24"/>
              </w:rPr>
            </w:pPr>
            <w:r>
              <w:rPr>
                <w:rFonts w:ascii="宋体" w:hAnsi="宋体" w:cs="宋体"/>
                <w:sz w:val="24"/>
              </w:rPr>
              <w:t>公司</w:t>
            </w:r>
            <w:r>
              <w:rPr>
                <w:rFonts w:hint="eastAsia" w:ascii="宋体" w:hAnsi="宋体" w:cs="宋体"/>
                <w:sz w:val="24"/>
              </w:rPr>
              <w:t>或公司员工在</w:t>
            </w:r>
            <w:r>
              <w:rPr>
                <w:rFonts w:hint="eastAsia" w:ascii="宋体" w:hAnsi="宋体"/>
                <w:color w:val="000000" w:themeColor="text1"/>
                <w:sz w:val="24"/>
                <w14:textFill>
                  <w14:solidFill>
                    <w14:schemeClr w14:val="tx1"/>
                  </w14:solidFill>
                </w14:textFill>
              </w:rPr>
              <w:t>以往服务中受到行业或客户单位表彰</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提供证书</w:t>
            </w:r>
            <w:r>
              <w:rPr>
                <w:rFonts w:hint="eastAsia" w:ascii="宋体" w:hAnsi="宋体"/>
                <w:color w:val="000000" w:themeColor="text1"/>
                <w:sz w:val="24"/>
                <w:lang w:eastAsia="zh-CN"/>
                <w14:textFill>
                  <w14:solidFill>
                    <w14:schemeClr w14:val="tx1"/>
                  </w14:solidFill>
                </w14:textFill>
              </w:rPr>
              <w:t>复印件</w:t>
            </w:r>
            <w:r>
              <w:rPr>
                <w:rFonts w:hint="eastAsia" w:ascii="宋体" w:hAnsi="宋体"/>
                <w:color w:val="000000" w:themeColor="text1"/>
                <w:sz w:val="24"/>
                <w14:textFill>
                  <w14:solidFill>
                    <w14:schemeClr w14:val="tx1"/>
                  </w14:solidFill>
                </w14:textFill>
              </w:rPr>
              <w:t>）。</w:t>
            </w:r>
            <w:bookmarkStart w:id="431" w:name="_GoBack"/>
            <w:bookmarkEnd w:id="431"/>
          </w:p>
        </w:tc>
        <w:tc>
          <w:tcPr>
            <w:tcW w:w="655" w:type="dxa"/>
            <w:vAlign w:val="center"/>
          </w:tcPr>
          <w:p>
            <w:pPr>
              <w:spacing w:line="320" w:lineRule="exact"/>
              <w:ind w:left="-65" w:leftChars="-31" w:right="-35" w:rightChars="-17"/>
              <w:jc w:val="center"/>
              <w:rPr>
                <w:rFonts w:hint="default" w:ascii="宋体" w:hAnsi="宋体" w:eastAsiaTheme="minorEastAsia"/>
                <w:b/>
                <w:strike/>
                <w:szCs w:val="21"/>
                <w:lang w:val="en-US" w:eastAsia="zh-CN"/>
              </w:rPr>
            </w:pPr>
            <w:r>
              <w:rPr>
                <w:rFonts w:hint="eastAsia" w:ascii="宋体" w:hAnsi="宋体"/>
                <w:b/>
                <w:strike/>
                <w:szCs w:val="21"/>
                <w:lang w:val="en-US" w:eastAsia="zh-CN"/>
              </w:rPr>
              <w:t>22</w:t>
            </w:r>
          </w:p>
        </w:tc>
      </w:tr>
    </w:tbl>
    <w:p>
      <w:pPr>
        <w:numPr>
          <w:ilvl w:val="0"/>
          <w:numId w:val="78"/>
        </w:numPr>
        <w:spacing w:before="60" w:after="60" w:line="360" w:lineRule="exact"/>
        <w:ind w:left="711" w:leftChars="138" w:hanging="422" w:hangingChars="151"/>
        <w:rPr>
          <w:rFonts w:ascii="宋体" w:hAnsi="宋体" w:eastAsia="宋体" w:cs="Times New Roman"/>
          <w:b/>
          <w:bCs/>
          <w:sz w:val="28"/>
          <w:szCs w:val="28"/>
        </w:rPr>
      </w:pPr>
      <w:r>
        <w:rPr>
          <w:rFonts w:hint="eastAsia" w:ascii="宋体" w:hAnsi="宋体" w:eastAsia="宋体" w:cs="Times New Roman"/>
          <w:b/>
          <w:bCs/>
          <w:sz w:val="28"/>
          <w:szCs w:val="28"/>
        </w:rPr>
        <w:t>技术、服务评议（60分）</w:t>
      </w:r>
    </w:p>
    <w:tbl>
      <w:tblPr>
        <w:tblStyle w:val="24"/>
        <w:tblW w:w="959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03"/>
        <w:gridCol w:w="1707"/>
        <w:gridCol w:w="466"/>
        <w:gridCol w:w="6209"/>
        <w:gridCol w:w="61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603" w:type="dxa"/>
            <w:shd w:val="pct10" w:color="auto" w:fill="auto"/>
            <w:vAlign w:val="center"/>
          </w:tcPr>
          <w:p>
            <w:pPr>
              <w:spacing w:line="280" w:lineRule="exact"/>
              <w:ind w:left="-50" w:leftChars="-24" w:right="-50" w:rightChars="-24"/>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707" w:type="dxa"/>
            <w:shd w:val="pct10" w:color="auto" w:fill="auto"/>
            <w:vAlign w:val="center"/>
          </w:tcPr>
          <w:p>
            <w:pPr>
              <w:spacing w:line="280" w:lineRule="exact"/>
              <w:ind w:left="-50" w:leftChars="-24" w:right="-50" w:rightChars="-24"/>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466" w:type="dxa"/>
            <w:shd w:val="pct10" w:color="auto" w:fill="auto"/>
            <w:vAlign w:val="center"/>
          </w:tcPr>
          <w:p>
            <w:pPr>
              <w:spacing w:line="280" w:lineRule="exact"/>
              <w:ind w:left="-50" w:leftChars="-24" w:right="-50" w:rightChars="-24"/>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6209" w:type="dxa"/>
            <w:shd w:val="pct10" w:color="auto" w:fill="auto"/>
            <w:vAlign w:val="center"/>
          </w:tcPr>
          <w:p>
            <w:pPr>
              <w:spacing w:line="280" w:lineRule="exact"/>
              <w:ind w:left="-50" w:leftChars="-24" w:right="-50" w:rightChars="-24"/>
              <w:jc w:val="center"/>
              <w:rPr>
                <w:rFonts w:ascii="宋体" w:hAnsi="宋体" w:eastAsia="宋体" w:cs="Times New Roman"/>
                <w:b/>
                <w:sz w:val="24"/>
                <w:szCs w:val="24"/>
              </w:rPr>
            </w:pPr>
            <w:r>
              <w:rPr>
                <w:rFonts w:hint="eastAsia" w:ascii="宋体" w:hAnsi="宋体" w:eastAsia="宋体" w:cs="Times New Roman"/>
                <w:b/>
                <w:sz w:val="24"/>
                <w:szCs w:val="24"/>
              </w:rPr>
              <w:t>评分标准</w:t>
            </w:r>
          </w:p>
        </w:tc>
        <w:tc>
          <w:tcPr>
            <w:tcW w:w="614" w:type="dxa"/>
            <w:shd w:val="pct10" w:color="auto" w:fill="auto"/>
            <w:vAlign w:val="center"/>
          </w:tcPr>
          <w:p>
            <w:pPr>
              <w:spacing w:line="280" w:lineRule="exact"/>
              <w:ind w:left="-50" w:leftChars="-24" w:right="-50" w:rightChars="-24"/>
              <w:jc w:val="center"/>
              <w:rPr>
                <w:rFonts w:ascii="宋体" w:hAnsi="宋体" w:eastAsia="宋体" w:cs="Times New Roman"/>
                <w:b/>
                <w:sz w:val="24"/>
                <w:szCs w:val="24"/>
              </w:rPr>
            </w:pPr>
            <w:r>
              <w:rPr>
                <w:rFonts w:hint="eastAsia" w:ascii="宋体" w:hAnsi="宋体" w:eastAsia="宋体" w:cs="Times New Roman"/>
                <w:b/>
                <w:sz w:val="24"/>
                <w:szCs w:val="24"/>
              </w:rPr>
              <w:t>因素来源</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03" w:type="dxa"/>
            <w:vAlign w:val="center"/>
          </w:tcPr>
          <w:p>
            <w:pPr>
              <w:numPr>
                <w:ilvl w:val="0"/>
                <w:numId w:val="80"/>
              </w:numPr>
              <w:tabs>
                <w:tab w:val="left" w:pos="321"/>
              </w:tabs>
              <w:spacing w:line="320" w:lineRule="exact"/>
              <w:ind w:left="-42" w:right="-42" w:rightChars="-20" w:firstLine="0"/>
              <w:jc w:val="right"/>
              <w:rPr>
                <w:rFonts w:ascii="宋体" w:hAnsi="宋体" w:eastAsia="宋体" w:cs="Times New Roman"/>
                <w:b/>
                <w:sz w:val="24"/>
              </w:rPr>
            </w:pPr>
          </w:p>
        </w:tc>
        <w:tc>
          <w:tcPr>
            <w:tcW w:w="1707"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总体计划</w:t>
            </w:r>
          </w:p>
        </w:tc>
        <w:tc>
          <w:tcPr>
            <w:tcW w:w="466" w:type="dxa"/>
            <w:vAlign w:val="center"/>
          </w:tcPr>
          <w:p>
            <w:pPr>
              <w:contextualSpacing/>
              <w:jc w:val="center"/>
              <w:rPr>
                <w:rFonts w:hint="default" w:ascii="宋体" w:hAnsi="宋体" w:eastAsiaTheme="minorEastAsia"/>
                <w:b/>
                <w:sz w:val="24"/>
                <w:lang w:val="en-US" w:eastAsia="zh-CN"/>
              </w:rPr>
            </w:pPr>
            <w:r>
              <w:rPr>
                <w:rFonts w:hint="eastAsia" w:ascii="宋体" w:hAnsi="宋体"/>
                <w:b/>
                <w:sz w:val="24"/>
                <w:lang w:val="en-US" w:eastAsia="zh-CN"/>
              </w:rPr>
              <w:t>10</w:t>
            </w:r>
          </w:p>
        </w:tc>
        <w:tc>
          <w:tcPr>
            <w:tcW w:w="6209"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结合采购单位工作特点，就项目的管理服务整体设想及总体目标，重点难点的应对措施及解决措施，制定总体计划合理、可行及完善性；依据各投标人所提供计划方案进行横向比较排名。优得</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lang w:val="zh-CN"/>
              </w:rPr>
              <w:t>分，良得</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lang w:val="zh-CN"/>
              </w:rPr>
              <w:t>分，一般得</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val="zh-CN"/>
              </w:rPr>
              <w:t>分。</w:t>
            </w:r>
          </w:p>
        </w:tc>
        <w:tc>
          <w:tcPr>
            <w:tcW w:w="614" w:type="dxa"/>
            <w:vAlign w:val="center"/>
          </w:tcPr>
          <w:p>
            <w:pPr>
              <w:tabs>
                <w:tab w:val="left" w:pos="199"/>
              </w:tabs>
              <w:spacing w:line="320" w:lineRule="exact"/>
              <w:jc w:val="righ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03" w:type="dxa"/>
            <w:vAlign w:val="center"/>
          </w:tcPr>
          <w:p>
            <w:pPr>
              <w:numPr>
                <w:ilvl w:val="0"/>
                <w:numId w:val="80"/>
              </w:numPr>
              <w:tabs>
                <w:tab w:val="left" w:pos="321"/>
              </w:tabs>
              <w:spacing w:line="320" w:lineRule="exact"/>
              <w:ind w:left="-42" w:right="-42" w:rightChars="-20" w:firstLine="0"/>
              <w:jc w:val="right"/>
              <w:rPr>
                <w:rFonts w:ascii="宋体" w:hAnsi="宋体" w:eastAsia="宋体" w:cs="Times New Roman"/>
                <w:b/>
                <w:sz w:val="24"/>
              </w:rPr>
            </w:pPr>
          </w:p>
        </w:tc>
        <w:tc>
          <w:tcPr>
            <w:tcW w:w="1707"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洗涤服务标准</w:t>
            </w:r>
          </w:p>
        </w:tc>
        <w:tc>
          <w:tcPr>
            <w:tcW w:w="466" w:type="dxa"/>
            <w:vAlign w:val="center"/>
          </w:tcPr>
          <w:p>
            <w:pPr>
              <w:contextualSpacing/>
              <w:jc w:val="center"/>
              <w:rPr>
                <w:rFonts w:hint="eastAsia" w:ascii="宋体" w:hAnsi="宋体" w:eastAsiaTheme="minorEastAsia"/>
                <w:b/>
                <w:sz w:val="24"/>
                <w:lang w:val="en-US" w:eastAsia="zh-CN"/>
              </w:rPr>
            </w:pPr>
            <w:r>
              <w:rPr>
                <w:rFonts w:hint="eastAsia" w:ascii="宋体" w:hAnsi="宋体"/>
                <w:b/>
                <w:sz w:val="24"/>
                <w:lang w:val="en-US" w:eastAsia="zh-CN"/>
              </w:rPr>
              <w:t>6</w:t>
            </w:r>
          </w:p>
        </w:tc>
        <w:tc>
          <w:tcPr>
            <w:tcW w:w="6209"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rPr>
              <w:t>具有相关卫生监管部门颁发的检验合格报告，需提供原件，且在本地有经营场所并提供证明</w:t>
            </w:r>
            <w:r>
              <w:rPr>
                <w:rFonts w:hint="eastAsia" w:ascii="宋体" w:hAnsi="宋体" w:eastAsia="宋体" w:cs="Times New Roman"/>
                <w:sz w:val="24"/>
                <w:szCs w:val="24"/>
                <w:lang w:eastAsia="zh-CN"/>
              </w:rPr>
              <w:t>材料</w:t>
            </w:r>
            <w:r>
              <w:rPr>
                <w:rFonts w:hint="eastAsia" w:ascii="宋体" w:hAnsi="宋体" w:eastAsia="宋体" w:cs="Times New Roman"/>
                <w:sz w:val="24"/>
                <w:szCs w:val="24"/>
              </w:rPr>
              <w:t>的得</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分。</w:t>
            </w:r>
          </w:p>
        </w:tc>
        <w:tc>
          <w:tcPr>
            <w:tcW w:w="614" w:type="dxa"/>
            <w:vAlign w:val="center"/>
          </w:tcPr>
          <w:p>
            <w:pPr>
              <w:tabs>
                <w:tab w:val="left" w:pos="477"/>
              </w:tabs>
              <w:spacing w:line="320" w:lineRule="exac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03" w:type="dxa"/>
            <w:vAlign w:val="center"/>
          </w:tcPr>
          <w:p>
            <w:pPr>
              <w:numPr>
                <w:ilvl w:val="0"/>
                <w:numId w:val="80"/>
              </w:numPr>
              <w:tabs>
                <w:tab w:val="left" w:pos="321"/>
              </w:tabs>
              <w:spacing w:line="320" w:lineRule="exact"/>
              <w:ind w:left="-42" w:right="-42" w:rightChars="-20" w:firstLine="0"/>
              <w:jc w:val="right"/>
              <w:rPr>
                <w:rFonts w:ascii="宋体" w:hAnsi="宋体" w:eastAsia="宋体" w:cs="Times New Roman"/>
                <w:b/>
                <w:sz w:val="24"/>
              </w:rPr>
            </w:pPr>
          </w:p>
        </w:tc>
        <w:tc>
          <w:tcPr>
            <w:tcW w:w="1707"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保洁、洗涤服务人员、组织架构及管理制度情况</w:t>
            </w:r>
          </w:p>
        </w:tc>
        <w:tc>
          <w:tcPr>
            <w:tcW w:w="466" w:type="dxa"/>
            <w:vAlign w:val="center"/>
          </w:tcPr>
          <w:p>
            <w:pPr>
              <w:contextualSpacing/>
              <w:jc w:val="center"/>
              <w:rPr>
                <w:rFonts w:hint="default" w:ascii="宋体" w:hAnsi="宋体" w:eastAsiaTheme="minorEastAsia"/>
                <w:b/>
                <w:sz w:val="24"/>
                <w:lang w:val="en-US" w:eastAsia="zh-CN"/>
              </w:rPr>
            </w:pPr>
            <w:r>
              <w:rPr>
                <w:rFonts w:hint="eastAsia" w:ascii="宋体" w:hAnsi="宋体"/>
                <w:b/>
                <w:sz w:val="24"/>
                <w:lang w:val="en-US" w:eastAsia="zh-CN"/>
              </w:rPr>
              <w:t>17</w:t>
            </w:r>
          </w:p>
        </w:tc>
        <w:tc>
          <w:tcPr>
            <w:tcW w:w="6209" w:type="dxa"/>
            <w:vAlign w:val="center"/>
          </w:tcPr>
          <w:p>
            <w:pPr>
              <w:adjustRightInd w:val="0"/>
              <w:snapToGrid w:val="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w:t>
            </w:r>
            <w:r>
              <w:rPr>
                <w:rFonts w:hint="eastAsia" w:ascii="宋体" w:hAnsi="宋体" w:eastAsia="宋体" w:cs="Times New Roman"/>
                <w:sz w:val="24"/>
                <w:szCs w:val="24"/>
              </w:rPr>
              <w:t>标人根据各区域所实际情况，搭配安排合理，提供详细的岗位人员安排表得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r>
              <w:rPr>
                <w:rFonts w:hint="eastAsia" w:ascii="宋体" w:hAnsi="宋体" w:eastAsia="宋体" w:cs="Times New Roman"/>
                <w:sz w:val="24"/>
                <w:szCs w:val="24"/>
                <w:lang w:eastAsia="zh-CN"/>
              </w:rPr>
              <w:t>。</w:t>
            </w:r>
          </w:p>
          <w:p>
            <w:pPr>
              <w:adjustRightInd w:val="0"/>
              <w:snapToGrid w:val="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岗位职责及工作标准表述清晰、合理、可行，得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p>
          <w:p>
            <w:pPr>
              <w:adjustRightInd w:val="0"/>
              <w:snapToGrid w:val="0"/>
              <w:rPr>
                <w:rFonts w:hint="eastAsia" w:ascii="宋体" w:hAnsi="宋体" w:eastAsia="宋体" w:cs="Times New Roman"/>
                <w:sz w:val="24"/>
                <w:szCs w:val="24"/>
                <w:lang w:eastAsia="zh-CN"/>
              </w:rPr>
            </w:pPr>
            <w:r>
              <w:rPr>
                <w:rFonts w:hint="eastAsia" w:ascii="宋体" w:hAnsi="宋体" w:eastAsia="宋体" w:cs="Times New Roman"/>
                <w:sz w:val="24"/>
                <w:szCs w:val="24"/>
              </w:rPr>
              <w:t>未提供不得分（</w:t>
            </w:r>
            <w:r>
              <w:rPr>
                <w:rFonts w:hint="eastAsia" w:ascii="宋体" w:hAnsi="宋体" w:eastAsia="宋体" w:cs="Times New Roman"/>
                <w:b/>
                <w:bCs/>
                <w:sz w:val="24"/>
                <w:szCs w:val="24"/>
              </w:rPr>
              <w:t>以安排方案为准</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.投标人制定本项目的管理制度，①设立符合招标要求，描述清晰，工作运作流程清晰、规范，且有检查、有整改的得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分；②在此基础上有合理可行的标准、考核办法、奖惩措施的得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r>
              <w:rPr>
                <w:rFonts w:hint="eastAsia" w:ascii="宋体" w:hAnsi="宋体" w:eastAsia="宋体" w:cs="Times New Roman"/>
                <w:sz w:val="24"/>
                <w:szCs w:val="24"/>
                <w:lang w:eastAsia="zh-CN"/>
              </w:rPr>
              <w:t>；</w:t>
            </w:r>
            <w:r>
              <w:rPr>
                <w:rFonts w:hint="eastAsia" w:ascii="宋体" w:hAnsi="宋体" w:eastAsia="宋体" w:cs="Times New Roman"/>
                <w:sz w:val="24"/>
                <w:szCs w:val="24"/>
              </w:rPr>
              <w:t>本项最多得</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分，未提供不得分。；</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.服务质量标准及措施实施办法完整、科学、合理，可行。依据各投标人所提供措施进行横向比较排名。优得5分，良得3分，一般1分。；</w:t>
            </w:r>
          </w:p>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.投标人提供保洁服务培训计划、措施且措施合理有效。依据各投标人所提供计划进行横向比较排名。优得3分，良得2分，一般得1分。</w:t>
            </w:r>
          </w:p>
        </w:tc>
        <w:tc>
          <w:tcPr>
            <w:tcW w:w="614" w:type="dxa"/>
            <w:vAlign w:val="center"/>
          </w:tcPr>
          <w:p>
            <w:pPr>
              <w:spacing w:line="320" w:lineRule="exact"/>
              <w:jc w:val="righ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03" w:type="dxa"/>
            <w:vAlign w:val="center"/>
          </w:tcPr>
          <w:p>
            <w:pPr>
              <w:numPr>
                <w:ilvl w:val="0"/>
                <w:numId w:val="80"/>
              </w:numPr>
              <w:tabs>
                <w:tab w:val="left" w:pos="321"/>
              </w:tabs>
              <w:spacing w:line="320" w:lineRule="exact"/>
              <w:ind w:left="-42" w:right="-42" w:rightChars="-20" w:firstLine="0"/>
              <w:jc w:val="right"/>
              <w:rPr>
                <w:rFonts w:ascii="宋体" w:hAnsi="宋体" w:eastAsia="宋体" w:cs="Times New Roman"/>
                <w:b/>
                <w:sz w:val="24"/>
              </w:rPr>
            </w:pPr>
          </w:p>
        </w:tc>
        <w:tc>
          <w:tcPr>
            <w:tcW w:w="1707"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大型活动、节假日及院内感染控制服务措施</w:t>
            </w:r>
          </w:p>
        </w:tc>
        <w:tc>
          <w:tcPr>
            <w:tcW w:w="466" w:type="dxa"/>
            <w:vAlign w:val="center"/>
          </w:tcPr>
          <w:p>
            <w:pPr>
              <w:contextualSpacing/>
              <w:jc w:val="center"/>
              <w:rPr>
                <w:rFonts w:hint="eastAsia" w:ascii="宋体" w:hAnsi="宋体" w:eastAsiaTheme="minorEastAsia"/>
                <w:b/>
                <w:sz w:val="24"/>
                <w:lang w:val="en-US" w:eastAsia="zh-CN"/>
              </w:rPr>
            </w:pPr>
            <w:r>
              <w:rPr>
                <w:rFonts w:hint="eastAsia" w:ascii="宋体" w:hAnsi="宋体"/>
                <w:b/>
                <w:sz w:val="24"/>
                <w:lang w:val="en-US" w:eastAsia="zh-CN"/>
              </w:rPr>
              <w:t>3</w:t>
            </w:r>
          </w:p>
        </w:tc>
        <w:tc>
          <w:tcPr>
            <w:tcW w:w="6209"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rPr>
              <w:t>根据各投标人针对大型活动、节假日及院内感染控制等情况的服务，能够提供有效详尽合理完善的服务措施，综合评定0-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tc>
        <w:tc>
          <w:tcPr>
            <w:tcW w:w="614" w:type="dxa"/>
            <w:vAlign w:val="center"/>
          </w:tcPr>
          <w:p>
            <w:pPr>
              <w:spacing w:line="320" w:lineRule="exact"/>
              <w:jc w:val="righ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03" w:type="dxa"/>
            <w:vAlign w:val="center"/>
          </w:tcPr>
          <w:p>
            <w:pPr>
              <w:numPr>
                <w:ilvl w:val="0"/>
                <w:numId w:val="80"/>
              </w:numPr>
              <w:tabs>
                <w:tab w:val="left" w:pos="321"/>
              </w:tabs>
              <w:spacing w:line="320" w:lineRule="exact"/>
              <w:ind w:left="-42" w:right="-42" w:rightChars="-20" w:firstLine="0"/>
              <w:jc w:val="right"/>
              <w:rPr>
                <w:rFonts w:ascii="宋体" w:hAnsi="宋体" w:eastAsia="宋体" w:cs="Times New Roman"/>
                <w:b/>
                <w:sz w:val="24"/>
              </w:rPr>
            </w:pPr>
          </w:p>
        </w:tc>
        <w:tc>
          <w:tcPr>
            <w:tcW w:w="1707"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管理服务分项标准与管理目标（服务承诺）</w:t>
            </w:r>
          </w:p>
        </w:tc>
        <w:tc>
          <w:tcPr>
            <w:tcW w:w="466" w:type="dxa"/>
            <w:vAlign w:val="center"/>
          </w:tcPr>
          <w:p>
            <w:pPr>
              <w:contextualSpacing/>
              <w:jc w:val="center"/>
              <w:rPr>
                <w:rFonts w:hint="default" w:ascii="宋体" w:hAnsi="宋体" w:eastAsiaTheme="minorEastAsia"/>
                <w:b/>
                <w:sz w:val="24"/>
                <w:lang w:val="en-US" w:eastAsia="zh-CN"/>
              </w:rPr>
            </w:pPr>
            <w:r>
              <w:rPr>
                <w:rFonts w:hint="eastAsia" w:ascii="宋体" w:hAnsi="宋体"/>
                <w:b/>
                <w:sz w:val="24"/>
                <w:lang w:val="en-US" w:eastAsia="zh-CN"/>
              </w:rPr>
              <w:t>18</w:t>
            </w:r>
          </w:p>
        </w:tc>
        <w:tc>
          <w:tcPr>
            <w:tcW w:w="6209" w:type="dxa"/>
            <w:vAlign w:val="center"/>
          </w:tcPr>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对下列各方面有较为详细完善明确的售后服务方案和措施，横向比较相对优势，进行综合评定：</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正常服务响应时间、解决问题时间（0-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正常维护、应急措施（0-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所提供的技术支持、技术配合、相关处罚承诺（0-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后期服务人员的培训与配备（0-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方便快捷的洗涤服务，特殊情况时能够随叫随到（0-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认为其他需要考虑的情况（0-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rPr>
              <w:t>注：以上所有售后服务必须提供承诺书并签字和盖章方可得分。</w:t>
            </w:r>
          </w:p>
        </w:tc>
        <w:tc>
          <w:tcPr>
            <w:tcW w:w="614" w:type="dxa"/>
            <w:vAlign w:val="center"/>
          </w:tcPr>
          <w:p>
            <w:pPr>
              <w:spacing w:line="320" w:lineRule="exact"/>
              <w:jc w:val="righ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03" w:type="dxa"/>
            <w:vAlign w:val="center"/>
          </w:tcPr>
          <w:p>
            <w:pPr>
              <w:numPr>
                <w:ilvl w:val="0"/>
                <w:numId w:val="80"/>
              </w:numPr>
              <w:tabs>
                <w:tab w:val="left" w:pos="321"/>
              </w:tabs>
              <w:spacing w:line="320" w:lineRule="exact"/>
              <w:ind w:left="-42" w:right="-42" w:rightChars="-20" w:firstLine="0"/>
              <w:jc w:val="right"/>
              <w:rPr>
                <w:rFonts w:ascii="宋体" w:hAnsi="宋体" w:eastAsia="宋体" w:cs="Times New Roman"/>
                <w:b/>
                <w:sz w:val="24"/>
              </w:rPr>
            </w:pPr>
          </w:p>
        </w:tc>
        <w:tc>
          <w:tcPr>
            <w:tcW w:w="1707"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lang w:val="zh-CN"/>
              </w:rPr>
              <w:t>对突发性事件的应急措施及合理化建议</w:t>
            </w:r>
          </w:p>
        </w:tc>
        <w:tc>
          <w:tcPr>
            <w:tcW w:w="466" w:type="dxa"/>
            <w:vAlign w:val="center"/>
          </w:tcPr>
          <w:p>
            <w:pPr>
              <w:contextualSpacing/>
              <w:jc w:val="center"/>
              <w:rPr>
                <w:rFonts w:ascii="宋体" w:hAnsi="宋体"/>
                <w:b/>
                <w:sz w:val="24"/>
              </w:rPr>
            </w:pPr>
            <w:r>
              <w:rPr>
                <w:rFonts w:hint="eastAsia" w:ascii="宋体" w:hAnsi="宋体"/>
                <w:b/>
                <w:sz w:val="24"/>
              </w:rPr>
              <w:t>6</w:t>
            </w:r>
          </w:p>
        </w:tc>
        <w:tc>
          <w:tcPr>
            <w:tcW w:w="6209" w:type="dxa"/>
            <w:vAlign w:val="center"/>
          </w:tcPr>
          <w:p>
            <w:pPr>
              <w:adjustRightInd w:val="0"/>
              <w:snapToGrid w:val="0"/>
              <w:rPr>
                <w:rFonts w:ascii="宋体" w:hAnsi="宋体" w:eastAsia="宋体" w:cs="Times New Roman"/>
                <w:sz w:val="24"/>
                <w:szCs w:val="24"/>
                <w:lang w:val="zh-CN"/>
              </w:rPr>
            </w:pPr>
            <w:r>
              <w:rPr>
                <w:rFonts w:hint="eastAsia" w:ascii="宋体" w:hAnsi="宋体" w:eastAsia="宋体" w:cs="Times New Roman"/>
                <w:sz w:val="24"/>
                <w:szCs w:val="24"/>
              </w:rPr>
              <w:t>根据各投标人对突发性事件的应急措施合理全面打分，合理全面得4-6分，一般得1-3分。无应急措施及合理化建议的得0分。</w:t>
            </w:r>
          </w:p>
        </w:tc>
        <w:tc>
          <w:tcPr>
            <w:tcW w:w="614" w:type="dxa"/>
            <w:vAlign w:val="center"/>
          </w:tcPr>
          <w:p>
            <w:pPr>
              <w:spacing w:line="320" w:lineRule="exact"/>
              <w:jc w:val="right"/>
              <w:rPr>
                <w:rFonts w:ascii="宋体" w:hAnsi="宋体"/>
                <w:b/>
              </w:rPr>
            </w:pPr>
          </w:p>
        </w:tc>
      </w:tr>
    </w:tbl>
    <w:p>
      <w:pPr>
        <w:numPr>
          <w:ilvl w:val="0"/>
          <w:numId w:val="78"/>
        </w:numPr>
        <w:spacing w:before="60" w:after="60" w:line="360" w:lineRule="exact"/>
        <w:ind w:left="711" w:leftChars="138" w:hanging="422" w:hangingChars="151"/>
        <w:rPr>
          <w:rFonts w:ascii="宋体" w:hAnsi="宋体" w:eastAsia="宋体" w:cs="Times New Roman"/>
          <w:b/>
          <w:bCs/>
          <w:sz w:val="28"/>
          <w:szCs w:val="28"/>
        </w:rPr>
      </w:pPr>
      <w:r>
        <w:rPr>
          <w:rFonts w:hint="eastAsia" w:ascii="宋体" w:hAnsi="宋体" w:eastAsia="宋体" w:cs="Times New Roman"/>
          <w:b/>
          <w:bCs/>
          <w:sz w:val="28"/>
          <w:szCs w:val="28"/>
        </w:rPr>
        <w:t>价格评议（10分）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49"/>
        <w:gridCol w:w="618"/>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567" w:type="dxa"/>
            <w:shd w:val="pct10" w:color="auto" w:fill="auto"/>
            <w:vAlign w:val="center"/>
          </w:tcPr>
          <w:p>
            <w:pPr>
              <w:ind w:left="-77"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049" w:type="dxa"/>
            <w:shd w:val="pct10" w:color="auto" w:fill="auto"/>
            <w:vAlign w:val="center"/>
          </w:tcPr>
          <w:p>
            <w:pPr>
              <w:ind w:left="-77"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618" w:type="dxa"/>
            <w:shd w:val="pct10" w:color="auto" w:fill="auto"/>
            <w:vAlign w:val="center"/>
          </w:tcPr>
          <w:p>
            <w:pPr>
              <w:ind w:left="-73" w:leftChars="-35" w:right="-79"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7405"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numPr>
                <w:ilvl w:val="0"/>
                <w:numId w:val="81"/>
              </w:numPr>
              <w:tabs>
                <w:tab w:val="left" w:pos="447"/>
              </w:tabs>
              <w:spacing w:line="320" w:lineRule="exact"/>
              <w:ind w:left="-40" w:right="-42" w:rightChars="-20" w:firstLine="0"/>
              <w:jc w:val="center"/>
              <w:rPr>
                <w:rFonts w:ascii="宋体" w:hAnsi="宋体" w:eastAsia="宋体" w:cs="Times New Roman"/>
                <w:b/>
                <w:bCs/>
                <w:sz w:val="24"/>
                <w:szCs w:val="24"/>
              </w:rPr>
            </w:pPr>
          </w:p>
        </w:tc>
        <w:tc>
          <w:tcPr>
            <w:tcW w:w="1049" w:type="dxa"/>
            <w:vAlign w:val="center"/>
          </w:tcPr>
          <w:p>
            <w:pPr>
              <w:ind w:left="-77" w:leftChars="-37" w:right="-86" w:rightChars="-41"/>
              <w:jc w:val="center"/>
              <w:rPr>
                <w:rFonts w:ascii="宋体" w:hAnsi="宋体" w:eastAsia="宋体" w:cs="Times New Roman"/>
                <w:b/>
                <w:bCs/>
                <w:sz w:val="24"/>
                <w:szCs w:val="24"/>
              </w:rPr>
            </w:pPr>
            <w:r>
              <w:rPr>
                <w:rFonts w:hint="eastAsia" w:ascii="宋体" w:hAnsi="宋体" w:eastAsia="宋体" w:cs="Times New Roman"/>
                <w:b/>
                <w:bCs/>
                <w:sz w:val="24"/>
                <w:szCs w:val="24"/>
              </w:rPr>
              <w:t>价格评议</w:t>
            </w:r>
          </w:p>
        </w:tc>
        <w:tc>
          <w:tcPr>
            <w:tcW w:w="618" w:type="dxa"/>
            <w:vAlign w:val="center"/>
          </w:tcPr>
          <w:p>
            <w:pPr>
              <w:spacing w:line="32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10</w:t>
            </w:r>
          </w:p>
        </w:tc>
        <w:tc>
          <w:tcPr>
            <w:tcW w:w="7405" w:type="dxa"/>
            <w:vAlign w:val="center"/>
          </w:tcPr>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评标委员会只对符合性审查合格的投标文件进行价格评议，报价分采用低价优先法计算，即满足招标文件要求且投标价格</w:t>
            </w:r>
            <w:r>
              <w:rPr>
                <w:rFonts w:hint="eastAsia" w:ascii="仿宋" w:hAnsi="仿宋" w:eastAsia="仿宋" w:cs="Times New Roman"/>
                <w:b/>
                <w:sz w:val="24"/>
                <w:szCs w:val="24"/>
              </w:rPr>
              <w:t>（落实政府采购政策进行价格调整的，以调整后的价格计算）</w:t>
            </w:r>
            <w:r>
              <w:rPr>
                <w:rFonts w:hint="eastAsia" w:ascii="宋体" w:hAnsi="宋体" w:eastAsia="宋体" w:cs="Times New Roman"/>
                <w:sz w:val="24"/>
                <w:szCs w:val="24"/>
              </w:rPr>
              <w:t>最低的投标报价为评标基准价，其价格分为满分。其他投标人的价格分按照下列公式计算：</w:t>
            </w:r>
            <w:r>
              <w:rPr>
                <w:rFonts w:hint="eastAsia" w:ascii="宋体" w:hAnsi="宋体" w:eastAsia="宋体" w:cs="Times New Roman"/>
                <w:b/>
                <w:sz w:val="24"/>
                <w:szCs w:val="24"/>
              </w:rPr>
              <w:t>报价得分=(评标基准价／投标报价)×10分</w:t>
            </w:r>
          </w:p>
        </w:tc>
      </w:tr>
    </w:tbl>
    <w:p>
      <w:pPr>
        <w:pStyle w:val="2"/>
        <w:sectPr>
          <w:pgSz w:w="11906" w:h="16838"/>
          <w:pgMar w:top="1134" w:right="1191" w:bottom="1134" w:left="1191" w:header="851" w:footer="850" w:gutter="0"/>
          <w:pgNumType w:fmt="decimal"/>
          <w:cols w:space="720" w:num="1"/>
          <w:docGrid w:type="linesAndChars" w:linePitch="312" w:charSpace="0"/>
        </w:sectPr>
      </w:pPr>
    </w:p>
    <w:p>
      <w:pPr>
        <w:pStyle w:val="3"/>
        <w:numPr>
          <w:ilvl w:val="0"/>
          <w:numId w:val="2"/>
        </w:numPr>
        <w:spacing w:before="240" w:after="120"/>
        <w:ind w:left="883" w:hanging="883" w:hangingChars="200"/>
        <w:jc w:val="center"/>
        <w:rPr>
          <w:rFonts w:ascii="黑体" w:hAnsi="黑体" w:eastAsia="黑体"/>
        </w:rPr>
      </w:pPr>
      <w:bookmarkStart w:id="289" w:name="_Toc511894520"/>
      <w:bookmarkStart w:id="290" w:name="_Toc18557"/>
      <w:r>
        <w:rPr>
          <w:rFonts w:hint="eastAsia" w:ascii="黑体" w:hAnsi="黑体" w:eastAsia="黑体"/>
        </w:rPr>
        <w:t>合同书</w:t>
      </w:r>
      <w:bookmarkEnd w:id="289"/>
      <w:bookmarkEnd w:id="290"/>
    </w:p>
    <w:p>
      <w:pPr>
        <w:spacing w:line="360" w:lineRule="auto"/>
        <w:ind w:firstLine="480" w:firstLineChars="200"/>
        <w:rPr>
          <w:sz w:val="24"/>
          <w:szCs w:val="24"/>
        </w:rPr>
      </w:pPr>
      <w:bookmarkStart w:id="291" w:name="_Toc494664994"/>
      <w:bookmarkStart w:id="292" w:name="_Toc494702264"/>
      <w:bookmarkStart w:id="293" w:name="_Toc494721094"/>
      <w:bookmarkStart w:id="294" w:name="_Toc494665547"/>
      <w:bookmarkStart w:id="295" w:name="_Toc494665944"/>
      <w:bookmarkStart w:id="296" w:name="_Toc511894521"/>
      <w:bookmarkStart w:id="297" w:name="_Toc494745311"/>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spacing w:line="360" w:lineRule="auto"/>
        <w:ind w:firstLine="480" w:firstLineChars="200"/>
        <w:jc w:val="center"/>
        <w:rPr>
          <w:sz w:val="24"/>
          <w:szCs w:val="24"/>
        </w:rPr>
      </w:pPr>
      <w:bookmarkStart w:id="298" w:name="_Toc8996"/>
      <w:bookmarkStart w:id="299" w:name="_Toc5755"/>
      <w:r>
        <w:rPr>
          <w:rFonts w:hint="eastAsia"/>
          <w:sz w:val="24"/>
          <w:szCs w:val="24"/>
        </w:rPr>
        <w:t>合   同   书</w:t>
      </w:r>
      <w:bookmarkEnd w:id="298"/>
      <w:bookmarkEnd w:id="299"/>
    </w:p>
    <w:p>
      <w:pPr>
        <w:spacing w:before="78"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项目名称：</w:t>
      </w:r>
    </w:p>
    <w:p>
      <w:pPr>
        <w:spacing w:before="78"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合同编号：</w:t>
      </w:r>
    </w:p>
    <w:p>
      <w:pPr>
        <w:spacing w:before="78"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签订日期：</w:t>
      </w:r>
    </w:p>
    <w:p>
      <w:pPr>
        <w:spacing w:before="78"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签订合同地点：</w:t>
      </w:r>
    </w:p>
    <w:p>
      <w:pPr>
        <w:spacing w:before="78" w:beforeLines="25" w:line="360" w:lineRule="auto"/>
        <w:ind w:firstLine="480" w:firstLineChars="200"/>
        <w:rPr>
          <w:rFonts w:ascii="Helvetica" w:hAnsi="Helvetica" w:cs="Helvetica"/>
          <w:kern w:val="0"/>
          <w:sz w:val="24"/>
          <w:szCs w:val="24"/>
        </w:rPr>
      </w:pPr>
      <w:r>
        <w:rPr>
          <w:rFonts w:hint="eastAsia" w:ascii="Helvetica" w:hAnsi="Helvetica" w:cs="Helvetica"/>
          <w:kern w:val="0"/>
          <w:sz w:val="24"/>
          <w:szCs w:val="24"/>
        </w:rPr>
        <w:t>本合同由</w:t>
      </w:r>
      <w:r>
        <w:rPr>
          <w:rFonts w:ascii="Helvetica" w:hAnsi="Helvetica" w:cs="Helvetica"/>
          <w:kern w:val="0"/>
          <w:sz w:val="24"/>
          <w:szCs w:val="24"/>
          <w:u w:val="single"/>
        </w:rPr>
        <w:t xml:space="preserve">  </w:t>
      </w:r>
      <w:r>
        <w:rPr>
          <w:rFonts w:hint="eastAsia" w:ascii="Helvetica" w:hAnsi="Helvetica" w:cs="Helvetica"/>
          <w:kern w:val="0"/>
          <w:sz w:val="24"/>
          <w:szCs w:val="24"/>
          <w:u w:val="single"/>
        </w:rPr>
        <w:t>（采购人）</w:t>
      </w:r>
      <w:r>
        <w:rPr>
          <w:rFonts w:ascii="Helvetica" w:hAnsi="Helvetica" w:cs="Helvetica"/>
          <w:kern w:val="0"/>
          <w:sz w:val="24"/>
          <w:szCs w:val="24"/>
          <w:u w:val="single"/>
        </w:rPr>
        <w:t xml:space="preserve"> </w:t>
      </w:r>
      <w:r>
        <w:rPr>
          <w:rFonts w:hint="eastAsia" w:ascii="Helvetica" w:hAnsi="Helvetica" w:cs="Helvetica"/>
          <w:kern w:val="0"/>
          <w:sz w:val="24"/>
          <w:szCs w:val="24"/>
        </w:rPr>
        <w:t>（以下简称“甲方”）与</w:t>
      </w:r>
      <w:r>
        <w:rPr>
          <w:rFonts w:ascii="Helvetica" w:hAnsi="Helvetica" w:cs="Helvetica"/>
          <w:kern w:val="0"/>
          <w:sz w:val="24"/>
          <w:szCs w:val="24"/>
          <w:u w:val="single"/>
        </w:rPr>
        <w:t xml:space="preserve">  </w:t>
      </w:r>
      <w:r>
        <w:rPr>
          <w:rFonts w:hint="eastAsia" w:ascii="Helvetica" w:hAnsi="Helvetica" w:cs="Helvetica"/>
          <w:kern w:val="0"/>
          <w:sz w:val="24"/>
          <w:szCs w:val="24"/>
          <w:u w:val="single"/>
        </w:rPr>
        <w:t>（中标人）</w:t>
      </w:r>
      <w:r>
        <w:rPr>
          <w:rFonts w:ascii="Helvetica" w:hAnsi="Helvetica" w:cs="Helvetica"/>
          <w:kern w:val="0"/>
          <w:sz w:val="24"/>
          <w:szCs w:val="24"/>
          <w:u w:val="single"/>
        </w:rPr>
        <w:t xml:space="preserve">   </w:t>
      </w:r>
      <w:r>
        <w:rPr>
          <w:rFonts w:hint="eastAsia" w:ascii="Helvetica" w:hAnsi="Helvetica" w:cs="Helvetica"/>
          <w:kern w:val="0"/>
          <w:sz w:val="24"/>
          <w:szCs w:val="24"/>
        </w:rPr>
        <w:t>（以下简称“乙方”）签订。乙方以总金额</w:t>
      </w:r>
      <w:r>
        <w:rPr>
          <w:rFonts w:ascii="Helvetica" w:hAnsi="Helvetica" w:cs="Helvetica"/>
          <w:kern w:val="0"/>
          <w:sz w:val="24"/>
          <w:szCs w:val="24"/>
          <w:u w:val="single"/>
        </w:rPr>
        <w:t xml:space="preserve">         </w:t>
      </w:r>
      <w:r>
        <w:rPr>
          <w:rFonts w:hint="eastAsia" w:ascii="Helvetica" w:hAnsi="Helvetica" w:cs="Helvetica"/>
          <w:kern w:val="0"/>
          <w:sz w:val="24"/>
          <w:szCs w:val="24"/>
        </w:rPr>
        <w:t>万元人民币（用大写数字书写）向甲方提供如下货物（工程或服务）：</w:t>
      </w:r>
    </w:p>
    <w:p>
      <w:pPr>
        <w:spacing w:before="78" w:beforeLines="25" w:line="360" w:lineRule="auto"/>
        <w:ind w:firstLine="482" w:firstLineChars="200"/>
        <w:contextualSpacing/>
        <w:rPr>
          <w:rFonts w:ascii="宋体"/>
          <w:b/>
          <w:kern w:val="0"/>
          <w:sz w:val="24"/>
          <w:szCs w:val="20"/>
        </w:rPr>
      </w:pPr>
      <w:r>
        <w:rPr>
          <w:rFonts w:hint="eastAsia" w:ascii="Helvetica" w:hAnsi="Helvetica" w:cs="Helvetica"/>
          <w:b/>
          <w:kern w:val="0"/>
          <w:sz w:val="24"/>
          <w:szCs w:val="24"/>
        </w:rPr>
        <w:t>经双方协商，同意按下列条文执行：</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合同文件。下列文件为本合同不可分割的部分：</w:t>
      </w:r>
      <w:bookmarkStart w:id="300" w:name="_Toc2036"/>
      <w:bookmarkStart w:id="301" w:name="_Toc25803"/>
      <w:bookmarkStart w:id="302" w:name="_Toc31129"/>
    </w:p>
    <w:p>
      <w:pPr>
        <w:tabs>
          <w:tab w:val="left" w:pos="854"/>
        </w:tabs>
        <w:autoSpaceDE w:val="0"/>
        <w:autoSpaceDN w:val="0"/>
        <w:spacing w:before="78" w:beforeLines="25" w:line="360" w:lineRule="auto"/>
        <w:ind w:left="400"/>
        <w:contextualSpacing/>
        <w:rPr>
          <w:rFonts w:ascii="宋体" w:hAnsi="宋体"/>
          <w:kern w:val="0"/>
          <w:sz w:val="24"/>
          <w:szCs w:val="20"/>
        </w:rPr>
      </w:pPr>
      <w:r>
        <w:rPr>
          <w:rFonts w:hint="eastAsia" w:ascii="宋体" w:hAnsi="宋体"/>
          <w:kern w:val="0"/>
          <w:sz w:val="24"/>
          <w:szCs w:val="20"/>
        </w:rPr>
        <w:t>4.1 招标文件（项目编号：</w:t>
      </w:r>
      <w:r>
        <w:rPr>
          <w:rFonts w:hint="eastAsia" w:ascii="宋体" w:hAnsi="宋体"/>
          <w:kern w:val="0"/>
          <w:sz w:val="24"/>
          <w:szCs w:val="20"/>
          <w:u w:val="single"/>
        </w:rPr>
        <w:t>　　</w:t>
      </w:r>
      <w:r>
        <w:rPr>
          <w:rFonts w:ascii="宋体" w:hAnsi="宋体"/>
          <w:kern w:val="0"/>
          <w:sz w:val="24"/>
          <w:szCs w:val="20"/>
          <w:u w:val="single"/>
        </w:rPr>
        <w:t xml:space="preserve">              </w:t>
      </w:r>
      <w:r>
        <w:rPr>
          <w:rFonts w:hint="eastAsia" w:ascii="宋体" w:hAnsi="宋体"/>
          <w:kern w:val="0"/>
          <w:sz w:val="24"/>
          <w:szCs w:val="20"/>
          <w:u w:val="single"/>
        </w:rPr>
        <w:t>　</w:t>
      </w:r>
      <w:r>
        <w:rPr>
          <w:rFonts w:hint="eastAsia" w:ascii="宋体" w:hAnsi="宋体"/>
          <w:kern w:val="0"/>
          <w:sz w:val="24"/>
          <w:szCs w:val="20"/>
        </w:rPr>
        <w:t>）；</w:t>
      </w:r>
      <w:bookmarkEnd w:id="300"/>
      <w:bookmarkEnd w:id="301"/>
      <w:bookmarkEnd w:id="302"/>
      <w:bookmarkStart w:id="303" w:name="_Toc10970"/>
      <w:bookmarkStart w:id="304" w:name="_Toc6157"/>
      <w:bookmarkStart w:id="305" w:name="_Toc31356"/>
    </w:p>
    <w:p>
      <w:pPr>
        <w:tabs>
          <w:tab w:val="left" w:pos="854"/>
        </w:tabs>
        <w:autoSpaceDE w:val="0"/>
        <w:autoSpaceDN w:val="0"/>
        <w:spacing w:before="78" w:beforeLines="25" w:line="360" w:lineRule="auto"/>
        <w:ind w:left="400"/>
        <w:contextualSpacing/>
        <w:rPr>
          <w:rFonts w:ascii="宋体" w:hAnsi="宋体"/>
          <w:kern w:val="0"/>
          <w:sz w:val="24"/>
          <w:szCs w:val="20"/>
        </w:rPr>
      </w:pPr>
      <w:r>
        <w:rPr>
          <w:rFonts w:hint="eastAsia" w:ascii="宋体" w:hAnsi="宋体"/>
          <w:kern w:val="0"/>
          <w:sz w:val="24"/>
          <w:szCs w:val="20"/>
        </w:rPr>
        <w:t>4.2 中标的投标文件；</w:t>
      </w:r>
      <w:bookmarkEnd w:id="303"/>
      <w:bookmarkEnd w:id="304"/>
      <w:bookmarkEnd w:id="305"/>
      <w:bookmarkStart w:id="306" w:name="_Toc20950"/>
      <w:bookmarkStart w:id="307" w:name="_Toc6422"/>
      <w:bookmarkStart w:id="308" w:name="_Toc30110"/>
    </w:p>
    <w:p>
      <w:pPr>
        <w:tabs>
          <w:tab w:val="left" w:pos="854"/>
        </w:tabs>
        <w:autoSpaceDE w:val="0"/>
        <w:autoSpaceDN w:val="0"/>
        <w:spacing w:before="78" w:beforeLines="25" w:line="360" w:lineRule="auto"/>
        <w:ind w:left="400"/>
        <w:contextualSpacing/>
        <w:rPr>
          <w:rFonts w:ascii="宋体" w:hAnsi="宋体"/>
          <w:kern w:val="0"/>
          <w:sz w:val="24"/>
          <w:szCs w:val="20"/>
        </w:rPr>
      </w:pPr>
      <w:r>
        <w:rPr>
          <w:rFonts w:hint="eastAsia" w:ascii="宋体" w:hAnsi="宋体"/>
          <w:kern w:val="0"/>
          <w:sz w:val="24"/>
          <w:szCs w:val="20"/>
        </w:rPr>
        <w:t>4.3 合同书；</w:t>
      </w:r>
      <w:bookmarkEnd w:id="306"/>
      <w:bookmarkEnd w:id="307"/>
      <w:bookmarkEnd w:id="308"/>
      <w:bookmarkStart w:id="309" w:name="_Toc10561"/>
      <w:bookmarkStart w:id="310" w:name="_Toc14149"/>
      <w:bookmarkStart w:id="311" w:name="_Toc10439"/>
    </w:p>
    <w:p>
      <w:pPr>
        <w:tabs>
          <w:tab w:val="left" w:pos="854"/>
        </w:tabs>
        <w:autoSpaceDE w:val="0"/>
        <w:autoSpaceDN w:val="0"/>
        <w:spacing w:before="78" w:beforeLines="25" w:line="360" w:lineRule="auto"/>
        <w:ind w:left="400"/>
        <w:contextualSpacing/>
        <w:rPr>
          <w:rFonts w:ascii="宋体" w:hAnsi="宋体"/>
          <w:kern w:val="0"/>
          <w:sz w:val="24"/>
          <w:szCs w:val="20"/>
        </w:rPr>
      </w:pPr>
      <w:r>
        <w:rPr>
          <w:rFonts w:hint="eastAsia" w:ascii="宋体" w:hAnsi="宋体"/>
          <w:kern w:val="0"/>
          <w:sz w:val="24"/>
          <w:szCs w:val="20"/>
        </w:rPr>
        <w:t>4.4 合同条款；</w:t>
      </w:r>
      <w:bookmarkEnd w:id="309"/>
      <w:bookmarkEnd w:id="310"/>
      <w:bookmarkEnd w:id="311"/>
      <w:bookmarkStart w:id="312" w:name="_Toc25111"/>
      <w:bookmarkStart w:id="313" w:name="_Toc3315"/>
      <w:bookmarkStart w:id="314" w:name="_Toc2077"/>
    </w:p>
    <w:p>
      <w:pPr>
        <w:tabs>
          <w:tab w:val="left" w:pos="854"/>
        </w:tabs>
        <w:autoSpaceDE w:val="0"/>
        <w:autoSpaceDN w:val="0"/>
        <w:spacing w:before="78" w:beforeLines="25" w:line="360" w:lineRule="auto"/>
        <w:ind w:left="400"/>
        <w:contextualSpacing/>
        <w:rPr>
          <w:rFonts w:ascii="宋体" w:hAnsi="宋体"/>
          <w:kern w:val="0"/>
          <w:sz w:val="24"/>
          <w:szCs w:val="20"/>
        </w:rPr>
      </w:pPr>
      <w:r>
        <w:rPr>
          <w:rFonts w:hint="eastAsia" w:ascii="宋体" w:hAnsi="宋体"/>
          <w:kern w:val="0"/>
          <w:sz w:val="24"/>
          <w:szCs w:val="20"/>
        </w:rPr>
        <w:t>4.5 集中采购机构发出的中标通知书；</w:t>
      </w:r>
      <w:bookmarkEnd w:id="312"/>
      <w:bookmarkEnd w:id="313"/>
      <w:bookmarkEnd w:id="314"/>
      <w:bookmarkStart w:id="315" w:name="_Toc8674"/>
      <w:bookmarkStart w:id="316" w:name="_Toc14204"/>
      <w:bookmarkStart w:id="317" w:name="_Toc32613"/>
    </w:p>
    <w:p>
      <w:pPr>
        <w:tabs>
          <w:tab w:val="left" w:pos="854"/>
        </w:tabs>
        <w:autoSpaceDE w:val="0"/>
        <w:autoSpaceDN w:val="0"/>
        <w:spacing w:before="78" w:beforeLines="25" w:line="360" w:lineRule="auto"/>
        <w:ind w:left="400"/>
        <w:contextualSpacing/>
        <w:rPr>
          <w:rFonts w:ascii="宋体"/>
          <w:kern w:val="0"/>
          <w:sz w:val="24"/>
          <w:szCs w:val="20"/>
        </w:rPr>
      </w:pPr>
      <w:r>
        <w:rPr>
          <w:rFonts w:hint="eastAsia" w:ascii="宋体" w:hAnsi="宋体"/>
          <w:kern w:val="0"/>
          <w:sz w:val="24"/>
          <w:szCs w:val="20"/>
        </w:rPr>
        <w:t>4.6 附件；</w:t>
      </w:r>
      <w:bookmarkEnd w:id="315"/>
      <w:bookmarkEnd w:id="316"/>
      <w:bookmarkEnd w:id="317"/>
    </w:p>
    <w:p>
      <w:pPr>
        <w:spacing w:before="78" w:beforeLines="25" w:line="360" w:lineRule="auto"/>
        <w:ind w:left="400"/>
        <w:rPr>
          <w:rFonts w:ascii="宋体"/>
          <w:sz w:val="24"/>
          <w:szCs w:val="20"/>
        </w:rPr>
      </w:pPr>
      <w:r>
        <w:rPr>
          <w:rFonts w:hint="eastAsia" w:ascii="宋体" w:hAnsi="宋体"/>
          <w:kern w:val="0"/>
          <w:sz w:val="24"/>
          <w:szCs w:val="20"/>
        </w:rPr>
        <w:t>4.6.1甲方</w:t>
      </w:r>
      <w:r>
        <w:rPr>
          <w:rFonts w:hint="eastAsia" w:ascii="宋体" w:hAnsi="宋体"/>
          <w:sz w:val="24"/>
          <w:szCs w:val="20"/>
        </w:rPr>
        <w:t>在招标期间发布的所有补充通知；</w:t>
      </w:r>
    </w:p>
    <w:p>
      <w:pPr>
        <w:spacing w:before="78" w:beforeLines="25" w:line="360" w:lineRule="auto"/>
        <w:ind w:left="400"/>
        <w:rPr>
          <w:rFonts w:ascii="宋体"/>
          <w:kern w:val="0"/>
          <w:sz w:val="24"/>
          <w:szCs w:val="20"/>
        </w:rPr>
      </w:pPr>
      <w:r>
        <w:rPr>
          <w:rFonts w:hint="eastAsia" w:ascii="宋体" w:hAnsi="宋体"/>
          <w:kern w:val="0"/>
          <w:sz w:val="24"/>
          <w:szCs w:val="20"/>
        </w:rPr>
        <w:t>4.6.2乙方在投标期内补充的所有书面文件；</w:t>
      </w:r>
    </w:p>
    <w:p>
      <w:pPr>
        <w:spacing w:before="78" w:beforeLines="25" w:line="360" w:lineRule="auto"/>
        <w:ind w:left="400"/>
        <w:rPr>
          <w:rFonts w:ascii="宋体"/>
          <w:kern w:val="0"/>
          <w:sz w:val="24"/>
          <w:szCs w:val="20"/>
        </w:rPr>
      </w:pPr>
      <w:r>
        <w:rPr>
          <w:rFonts w:hint="eastAsia" w:ascii="宋体" w:hAnsi="宋体"/>
          <w:kern w:val="0"/>
          <w:sz w:val="24"/>
          <w:szCs w:val="20"/>
        </w:rPr>
        <w:t>4.6.3乙方在投标时随同投标文件一起递送的资料及附图；</w:t>
      </w:r>
    </w:p>
    <w:p>
      <w:pPr>
        <w:spacing w:before="78" w:beforeLines="25" w:line="360" w:lineRule="auto"/>
        <w:ind w:left="400"/>
        <w:rPr>
          <w:rFonts w:ascii="宋体"/>
          <w:kern w:val="0"/>
          <w:sz w:val="24"/>
          <w:szCs w:val="20"/>
        </w:rPr>
      </w:pPr>
      <w:r>
        <w:rPr>
          <w:rFonts w:hint="eastAsia" w:ascii="宋体" w:hAnsi="宋体"/>
          <w:kern w:val="0"/>
          <w:sz w:val="24"/>
          <w:szCs w:val="20"/>
        </w:rPr>
        <w:t>4.6.4在商洽本合同时，双方澄清、确认并共同签字的补充文件、技术协议。</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付款条件。本合同的付款条件按招标文件规定执行。</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0"/>
          <w:numId w:val="82"/>
        </w:numPr>
        <w:tabs>
          <w:tab w:val="left" w:pos="854"/>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0"/>
          <w:numId w:val="82"/>
        </w:numPr>
        <w:tabs>
          <w:tab w:val="left" w:pos="980"/>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0"/>
          <w:numId w:val="82"/>
        </w:numPr>
        <w:tabs>
          <w:tab w:val="left" w:pos="980"/>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0"/>
          <w:numId w:val="82"/>
        </w:numPr>
        <w:tabs>
          <w:tab w:val="left" w:pos="980"/>
        </w:tabs>
        <w:autoSpaceDE w:val="0"/>
        <w:autoSpaceDN w:val="0"/>
        <w:spacing w:before="78" w:beforeLines="25" w:line="360" w:lineRule="auto"/>
        <w:contextualSpacing/>
        <w:rPr>
          <w:rFonts w:ascii="宋体"/>
          <w:kern w:val="0"/>
          <w:sz w:val="24"/>
          <w:szCs w:val="20"/>
        </w:rPr>
      </w:pPr>
      <w:r>
        <w:rPr>
          <w:rFonts w:hint="eastAsia" w:ascii="宋体" w:hAnsi="宋体"/>
          <w:kern w:val="0"/>
          <w:sz w:val="24"/>
          <w:szCs w:val="20"/>
        </w:rPr>
        <w:t>合同的失效。本合同在合同价款全部结清后失效。</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甲　　方：</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乙　　方：</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单位名称（盖章）：</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单位名称（盖章）：</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单位地址：</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单位地址：</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电　　话：</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电　　话：</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传　　真：</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传　　真：</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邮政编码：</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邮政编码：</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开户银行：</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开户银行：</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帐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帐　　号：</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税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税　　号：</w:t>
      </w:r>
    </w:p>
    <w:p>
      <w:pPr>
        <w:spacing w:line="480" w:lineRule="exact"/>
        <w:rPr>
          <w:rFonts w:cs="仿宋" w:asciiTheme="minorEastAsia" w:hAnsiTheme="minorEastAsia"/>
          <w:sz w:val="24"/>
          <w:szCs w:val="24"/>
        </w:rPr>
      </w:pPr>
    </w:p>
    <w:p>
      <w:pPr>
        <w:spacing w:after="120" w:line="480" w:lineRule="exact"/>
        <w:rPr>
          <w:rFonts w:ascii="宋体" w:hAnsi="宋体" w:eastAsia="宋体" w:cs="Times New Roman"/>
          <w:szCs w:val="20"/>
        </w:rPr>
      </w:pPr>
    </w:p>
    <w:p>
      <w:pPr>
        <w:widowControl/>
        <w:jc w:val="left"/>
        <w:rPr>
          <w:rFonts w:ascii="黑体" w:hAnsi="黑体" w:eastAsia="黑体"/>
          <w:b/>
          <w:bCs/>
          <w:kern w:val="44"/>
          <w:sz w:val="44"/>
          <w:szCs w:val="44"/>
        </w:rPr>
      </w:pPr>
      <w:r>
        <w:rPr>
          <w:rFonts w:ascii="黑体" w:hAnsi="黑体" w:eastAsia="黑体"/>
        </w:rPr>
        <w:br w:type="page"/>
      </w:r>
    </w:p>
    <w:p>
      <w:pPr>
        <w:pStyle w:val="3"/>
        <w:numPr>
          <w:ilvl w:val="0"/>
          <w:numId w:val="2"/>
        </w:numPr>
        <w:spacing w:before="240" w:after="120"/>
        <w:ind w:left="883" w:hanging="883" w:hangingChars="200"/>
        <w:jc w:val="center"/>
        <w:rPr>
          <w:rFonts w:ascii="黑体" w:hAnsi="黑体" w:eastAsia="黑体"/>
        </w:rPr>
      </w:pPr>
      <w:bookmarkStart w:id="318" w:name="_Toc7992"/>
      <w:r>
        <w:rPr>
          <w:rFonts w:hint="eastAsia" w:ascii="黑体" w:hAnsi="黑体" w:eastAsia="黑体"/>
        </w:rPr>
        <w:t>投标文件格式（参考）</w:t>
      </w:r>
      <w:bookmarkEnd w:id="291"/>
      <w:bookmarkEnd w:id="292"/>
      <w:bookmarkEnd w:id="293"/>
      <w:bookmarkEnd w:id="294"/>
      <w:bookmarkEnd w:id="295"/>
      <w:bookmarkEnd w:id="296"/>
      <w:bookmarkEnd w:id="297"/>
      <w:bookmarkEnd w:id="318"/>
    </w:p>
    <w:p>
      <w:pPr>
        <w:spacing w:after="780" w:afterLines="250"/>
        <w:jc w:val="center"/>
        <w:rPr>
          <w:rFonts w:hint="eastAsia" w:ascii="黑体" w:hAnsi="黑体" w:eastAsia="黑体"/>
          <w:b/>
          <w:sz w:val="96"/>
          <w:szCs w:val="96"/>
          <w:lang w:eastAsia="zh-CN"/>
          <w14:shadow w14:blurRad="50800" w14:dist="38100" w14:dir="2700000" w14:sx="100000" w14:sy="100000" w14:kx="0" w14:ky="0" w14:algn="tl">
            <w14:srgbClr w14:val="000000">
              <w14:alpha w14:val="60000"/>
            </w14:srgbClr>
          </w14:shadow>
        </w:rPr>
      </w:pPr>
      <w:r>
        <w:rPr>
          <w:rFonts w:hint="eastAsia" w:ascii="黑体" w:hAnsi="黑体" w:eastAsia="黑体"/>
          <w:b/>
          <w:sz w:val="96"/>
          <w:szCs w:val="96"/>
          <w:lang w:eastAsia="zh-CN"/>
          <w14:shadow w14:blurRad="50800" w14:dist="38100" w14:dir="2700000" w14:sx="100000" w14:sy="100000" w14:kx="0" w14:ky="0" w14:algn="tl">
            <w14:srgbClr w14:val="000000">
              <w14:alpha w14:val="60000"/>
            </w14:srgbClr>
          </w14:shadow>
        </w:rPr>
        <w:t>广水市政府采购</w:t>
      </w:r>
    </w:p>
    <w:p>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pPr>
        <w:keepNext/>
        <w:keepLines/>
        <w:spacing w:before="340" w:after="480" w:line="360" w:lineRule="auto"/>
        <w:jc w:val="center"/>
        <w:outlineLvl w:val="1"/>
        <w:rPr>
          <w:rFonts w:cs="Times New Roman" w:asciiTheme="majorEastAsia" w:hAnsiTheme="majorEastAsia" w:eastAsiaTheme="majorEastAsia"/>
          <w:b/>
          <w:sz w:val="44"/>
          <w:szCs w:val="44"/>
          <w:lang w:val="zh-CN" w:eastAsia="zh-CN"/>
        </w:rPr>
      </w:pPr>
      <w:bookmarkStart w:id="319" w:name="_Toc494664995"/>
      <w:bookmarkStart w:id="320" w:name="_Toc494665548"/>
      <w:bookmarkStart w:id="321" w:name="_Toc494702265"/>
      <w:bookmarkStart w:id="322" w:name="_Toc494745312"/>
      <w:bookmarkStart w:id="323" w:name="_Toc494665945"/>
      <w:bookmarkStart w:id="324" w:name="_Toc28595"/>
      <w:bookmarkStart w:id="325" w:name="_Toc511894522"/>
      <w:bookmarkStart w:id="326" w:name="_Toc494721095"/>
      <w:r>
        <w:rPr>
          <w:rFonts w:hint="eastAsia" w:cs="Times New Roman" w:asciiTheme="majorEastAsia" w:hAnsiTheme="majorEastAsia" w:eastAsiaTheme="majorEastAsia"/>
          <w:b/>
          <w:sz w:val="44"/>
          <w:szCs w:val="44"/>
          <w:lang w:val="zh-CN" w:eastAsia="zh-CN"/>
        </w:rPr>
        <w:t>第一部分 资格证明文件</w:t>
      </w:r>
      <w:bookmarkEnd w:id="319"/>
      <w:bookmarkEnd w:id="320"/>
      <w:bookmarkEnd w:id="321"/>
      <w:bookmarkEnd w:id="322"/>
      <w:bookmarkEnd w:id="323"/>
      <w:bookmarkEnd w:id="324"/>
      <w:bookmarkEnd w:id="325"/>
      <w:bookmarkEnd w:id="326"/>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pPr>
        <w:spacing w:after="1560" w:afterLines="500" w:line="360" w:lineRule="auto"/>
        <w:ind w:left="2347" w:leftChars="271" w:right="569" w:rightChars="271" w:hanging="1778" w:hangingChars="494"/>
        <w:jc w:val="center"/>
        <w:rPr>
          <w:rFonts w:ascii="宋体" w:hAnsi="宋体" w:eastAsia="宋体" w:cs="Times New Roman"/>
          <w:sz w:val="36"/>
          <w:szCs w:val="36"/>
        </w:rPr>
      </w:pPr>
    </w:p>
    <w:p>
      <w:pPr>
        <w:spacing w:line="360" w:lineRule="auto"/>
        <w:ind w:left="1972" w:leftChars="841" w:right="1287" w:rightChars="613" w:hanging="206" w:hangingChars="64"/>
        <w:rPr>
          <w:rFonts w:cs="Times New Roman" w:asciiTheme="minorEastAsia" w:hAnsiTheme="minorEastAsia"/>
          <w:b/>
          <w:bCs/>
          <w:sz w:val="32"/>
          <w:szCs w:val="32"/>
        </w:rPr>
      </w:pPr>
    </w:p>
    <w:p>
      <w:pPr>
        <w:spacing w:line="360" w:lineRule="auto"/>
        <w:ind w:left="1972" w:leftChars="841" w:right="1287" w:rightChars="613" w:hanging="206" w:hangingChars="64"/>
        <w:rPr>
          <w:rFonts w:cs="Times New Roman" w:asciiTheme="minorEastAsia" w:hAnsiTheme="minorEastAsia"/>
          <w:b/>
          <w:bCs/>
          <w:sz w:val="32"/>
          <w:szCs w:val="32"/>
        </w:rPr>
      </w:pPr>
    </w:p>
    <w:p>
      <w:pPr>
        <w:spacing w:line="360" w:lineRule="auto"/>
        <w:ind w:left="1971" w:leftChars="917" w:right="1287" w:rightChars="613" w:hanging="45" w:hangingChars="14"/>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r>
        <w:br w:type="page"/>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eastAsia="zh-CN"/>
        </w:rPr>
        <w:t>格式（参考）说明：</w:t>
      </w:r>
    </w:p>
    <w:p>
      <w:pPr>
        <w:pStyle w:val="4"/>
        <w:spacing w:before="340" w:after="200" w:line="360" w:lineRule="auto"/>
        <w:jc w:val="center"/>
        <w:rPr>
          <w:rFonts w:ascii="黑体" w:hAnsi="黑体" w:eastAsia="黑体" w:cs="Times New Roman"/>
          <w:bCs w:val="0"/>
          <w:sz w:val="36"/>
          <w:szCs w:val="36"/>
          <w:lang w:val="zh-CN" w:eastAsia="zh-CN"/>
        </w:rPr>
      </w:pPr>
      <w:bookmarkStart w:id="327" w:name="_Toc494665946"/>
      <w:bookmarkStart w:id="328" w:name="_Toc494702266"/>
      <w:bookmarkStart w:id="329" w:name="_Toc494664996"/>
      <w:bookmarkStart w:id="330" w:name="_Toc494665549"/>
      <w:bookmarkStart w:id="331" w:name="_Toc494745313"/>
      <w:bookmarkStart w:id="332" w:name="_Toc2290"/>
      <w:bookmarkStart w:id="333" w:name="_Toc494721096"/>
      <w:bookmarkStart w:id="334" w:name="_Toc511894523"/>
      <w:r>
        <w:rPr>
          <w:rFonts w:hint="eastAsia" w:ascii="黑体" w:hAnsi="黑体" w:eastAsia="黑体" w:cs="Times New Roman"/>
          <w:bCs w:val="0"/>
          <w:sz w:val="36"/>
          <w:szCs w:val="36"/>
          <w:lang w:val="zh-CN" w:eastAsia="zh-CN"/>
        </w:rPr>
        <w:t>资格证明文件组成</w:t>
      </w:r>
      <w:bookmarkEnd w:id="327"/>
      <w:bookmarkEnd w:id="328"/>
      <w:bookmarkEnd w:id="329"/>
      <w:bookmarkEnd w:id="330"/>
      <w:bookmarkEnd w:id="331"/>
      <w:bookmarkEnd w:id="332"/>
      <w:bookmarkEnd w:id="333"/>
      <w:bookmarkEnd w:id="334"/>
    </w:p>
    <w:p>
      <w:pPr>
        <w:autoSpaceDE w:val="0"/>
        <w:autoSpaceDN w:val="0"/>
        <w:adjustRightInd w:val="0"/>
        <w:spacing w:before="156" w:beforeLines="50" w:after="156"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由各投标人根据参考格式要求自行编写。目录清晰、内容详尽、易于理解和审查，与第二部分、第三部分文件页码连续。具体内容应包括但不限于以下内容：</w:t>
      </w:r>
    </w:p>
    <w:p>
      <w:pPr>
        <w:numPr>
          <w:ilvl w:val="0"/>
          <w:numId w:val="8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pPr>
        <w:numPr>
          <w:ilvl w:val="0"/>
          <w:numId w:val="83"/>
        </w:numPr>
        <w:autoSpaceDE w:val="0"/>
        <w:autoSpaceDN w:val="0"/>
        <w:adjustRightInd w:val="0"/>
        <w:spacing w:line="360" w:lineRule="auto"/>
        <w:ind w:left="490" w:hanging="370"/>
        <w:rPr>
          <w:rFonts w:ascii="宋体" w:hAnsi="宋体" w:eastAsia="宋体" w:cs="Times New Roman"/>
          <w:b/>
          <w:kern w:val="0"/>
          <w:sz w:val="24"/>
          <w:szCs w:val="32"/>
        </w:rPr>
      </w:pPr>
      <w:r>
        <w:rPr>
          <w:rFonts w:hint="eastAsia" w:ascii="宋体" w:hAnsi="宋体"/>
          <w:kern w:val="0"/>
          <w:sz w:val="24"/>
          <w:szCs w:val="32"/>
        </w:rPr>
        <w:t>应具备《政府采购法》第二十二条第一款规定的条件，提供下列材料；</w:t>
      </w:r>
    </w:p>
    <w:p>
      <w:pPr>
        <w:numPr>
          <w:ilvl w:val="0"/>
          <w:numId w:val="84"/>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r>
        <w:rPr>
          <w:rFonts w:hint="eastAsia" w:asciiTheme="majorEastAsia" w:hAnsiTheme="majorEastAsia" w:eastAsiaTheme="majorEastAsia"/>
          <w:sz w:val="24"/>
          <w:szCs w:val="24"/>
        </w:rPr>
        <w:t>（投标人根据自身情况提供对应的证明材料）</w:t>
      </w:r>
      <w:r>
        <w:rPr>
          <w:rFonts w:hint="eastAsia" w:ascii="宋体" w:hAnsi="宋体" w:eastAsia="宋体" w:cs="Times New Roman"/>
          <w:kern w:val="0"/>
          <w:sz w:val="24"/>
          <w:szCs w:val="32"/>
        </w:rPr>
        <w:t>：</w:t>
      </w:r>
    </w:p>
    <w:p>
      <w:pPr>
        <w:numPr>
          <w:ilvl w:val="0"/>
          <w:numId w:val="85"/>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pPr>
        <w:pStyle w:val="49"/>
        <w:numPr>
          <w:ilvl w:val="0"/>
          <w:numId w:val="86"/>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企业法人（包括合伙企业）：</w:t>
      </w:r>
      <w:r>
        <w:rPr>
          <w:rFonts w:hint="eastAsia" w:asciiTheme="majorEastAsia" w:hAnsiTheme="majorEastAsia" w:eastAsiaTheme="majorEastAsia"/>
          <w:sz w:val="24"/>
          <w:szCs w:val="24"/>
        </w:rPr>
        <w:t>提供工商部门注册的有效“企业法人营业执照”或“营业执照”；</w:t>
      </w:r>
    </w:p>
    <w:p>
      <w:pPr>
        <w:pStyle w:val="49"/>
        <w:numPr>
          <w:ilvl w:val="0"/>
          <w:numId w:val="86"/>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事业单位法人：</w:t>
      </w:r>
      <w:r>
        <w:rPr>
          <w:rFonts w:hint="eastAsia" w:asciiTheme="majorEastAsia" w:hAnsiTheme="majorEastAsia" w:eastAsiaTheme="majorEastAsia"/>
          <w:sz w:val="24"/>
          <w:szCs w:val="24"/>
        </w:rPr>
        <w:t>提供有效的“事业单位法人证书”。</w:t>
      </w:r>
    </w:p>
    <w:p>
      <w:pPr>
        <w:numPr>
          <w:ilvl w:val="0"/>
          <w:numId w:val="85"/>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pPr>
        <w:pStyle w:val="49"/>
        <w:numPr>
          <w:ilvl w:val="0"/>
          <w:numId w:val="87"/>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非企业专业服务机构：</w:t>
      </w:r>
      <w:r>
        <w:rPr>
          <w:rFonts w:hint="eastAsia" w:asciiTheme="majorEastAsia" w:hAnsiTheme="majorEastAsia" w:eastAsiaTheme="majorEastAsia"/>
          <w:sz w:val="24"/>
          <w:szCs w:val="24"/>
        </w:rPr>
        <w:t>提供执业许可证等证明文件；</w:t>
      </w:r>
    </w:p>
    <w:p>
      <w:pPr>
        <w:pStyle w:val="49"/>
        <w:numPr>
          <w:ilvl w:val="0"/>
          <w:numId w:val="87"/>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个体工商户：</w:t>
      </w:r>
      <w:r>
        <w:rPr>
          <w:rFonts w:hint="eastAsia" w:asciiTheme="majorEastAsia" w:hAnsiTheme="majorEastAsia" w:eastAsiaTheme="majorEastAsia"/>
          <w:sz w:val="24"/>
          <w:szCs w:val="24"/>
        </w:rPr>
        <w:t>提供有效的“个体工商户营业执照”。</w:t>
      </w:r>
    </w:p>
    <w:p>
      <w:pPr>
        <w:numPr>
          <w:ilvl w:val="0"/>
          <w:numId w:val="85"/>
        </w:numPr>
        <w:spacing w:line="360" w:lineRule="auto"/>
        <w:ind w:left="986" w:hanging="720"/>
        <w:rPr>
          <w:rFonts w:cs="Times New Roman" w:asciiTheme="minorEastAsia" w:hAnsiTheme="minorEastAsia"/>
          <w:sz w:val="24"/>
          <w:szCs w:val="20"/>
          <w:lang w:val="zh-CN"/>
        </w:rPr>
      </w:pPr>
      <w:r>
        <w:rPr>
          <w:rFonts w:hint="eastAsia" w:ascii="仿宋" w:hAnsi="仿宋" w:eastAsia="仿宋" w:cs="Times New Roman"/>
          <w:b/>
          <w:sz w:val="24"/>
          <w:szCs w:val="20"/>
          <w:lang w:val="zh-CN"/>
        </w:rPr>
        <w:t>自然人：</w:t>
      </w:r>
      <w:r>
        <w:rPr>
          <w:rFonts w:hint="eastAsia" w:cs="Times New Roman" w:asciiTheme="minorEastAsia" w:hAnsiTheme="minorEastAsia"/>
          <w:sz w:val="24"/>
          <w:szCs w:val="20"/>
          <w:lang w:val="zh-CN"/>
        </w:rPr>
        <w:t>提供有效的自然人身份证明。（仅限中国公民）</w:t>
      </w:r>
    </w:p>
    <w:p>
      <w:pPr>
        <w:numPr>
          <w:ilvl w:val="0"/>
          <w:numId w:val="84"/>
        </w:numPr>
        <w:autoSpaceDE w:val="0"/>
        <w:autoSpaceDN w:val="0"/>
        <w:adjustRightInd w:val="0"/>
        <w:spacing w:line="360" w:lineRule="auto"/>
        <w:ind w:left="606" w:hanging="493"/>
        <w:rPr>
          <w:rFonts w:asciiTheme="minorEastAsia" w:hAnsiTheme="minorEastAsia"/>
          <w:sz w:val="24"/>
          <w:szCs w:val="24"/>
        </w:rPr>
      </w:pPr>
      <w:r>
        <w:rPr>
          <w:rFonts w:hint="eastAsia" w:ascii="宋体" w:hAnsi="宋体" w:eastAsia="宋体" w:cs="Times New Roman"/>
          <w:kern w:val="0"/>
          <w:sz w:val="24"/>
          <w:szCs w:val="32"/>
        </w:rPr>
        <w:t>财务状况报告，依法缴纳税收和社会保障资金的相关材料</w:t>
      </w:r>
    </w:p>
    <w:p>
      <w:pPr>
        <w:spacing w:line="360" w:lineRule="auto"/>
        <w:ind w:firstLine="480" w:firstLineChars="200"/>
        <w:rPr>
          <w:rFonts w:asciiTheme="minorEastAsia" w:hAnsiTheme="minorEastAsia"/>
          <w:sz w:val="24"/>
          <w:szCs w:val="24"/>
        </w:rPr>
      </w:pPr>
      <w:r>
        <w:rPr>
          <w:rFonts w:hint="eastAsia" w:ascii="宋体" w:hAnsi="宋体" w:eastAsia="宋体" w:cs="Times New Roman"/>
          <w:sz w:val="24"/>
          <w:szCs w:val="20"/>
          <w:lang w:val="zh-CN"/>
        </w:rPr>
        <w:t>应按附件一格式提交“</w:t>
      </w:r>
      <w:r>
        <w:rPr>
          <w:rFonts w:hint="eastAsia" w:asciiTheme="minorEastAsia" w:hAnsiTheme="minorEastAsia"/>
          <w:sz w:val="24"/>
          <w:szCs w:val="24"/>
        </w:rPr>
        <w:t>财务状况报告，依法缴纳税收和社会保障资金的</w:t>
      </w:r>
      <w:r>
        <w:rPr>
          <w:rFonts w:hint="eastAsia" w:asciiTheme="minorEastAsia" w:hAnsiTheme="minorEastAsia"/>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r>
        <w:rPr>
          <w:rFonts w:asciiTheme="minorEastAsia" w:hAnsiTheme="minorEastAsia"/>
          <w:sz w:val="24"/>
          <w:szCs w:val="24"/>
        </w:rPr>
        <w:t xml:space="preserve"> </w:t>
      </w:r>
    </w:p>
    <w:p>
      <w:pPr>
        <w:numPr>
          <w:ilvl w:val="0"/>
          <w:numId w:val="84"/>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numPr>
          <w:ilvl w:val="0"/>
          <w:numId w:val="88"/>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提供具备足够数量的设施设备的证明材料；</w:t>
      </w:r>
    </w:p>
    <w:p>
      <w:pPr>
        <w:numPr>
          <w:ilvl w:val="0"/>
          <w:numId w:val="88"/>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提供具备足够数量的技术人员的证明材料。</w:t>
      </w:r>
    </w:p>
    <w:p>
      <w:pPr>
        <w:numPr>
          <w:ilvl w:val="0"/>
          <w:numId w:val="84"/>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参加政府采购活动前三年内在经营活动中没有重大违法记录的声明：</w:t>
      </w:r>
    </w:p>
    <w:p>
      <w:pPr>
        <w:numPr>
          <w:ilvl w:val="0"/>
          <w:numId w:val="89"/>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应按附件二格式提交“无重大违法记录的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numPr>
          <w:ilvl w:val="0"/>
          <w:numId w:val="89"/>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89"/>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84"/>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90"/>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国家对生产和销售相关产品或提供相关服务有专门法律、行政法规规定的，则必须提供取得国家有关主管部门行政许可的证明材料。</w:t>
      </w:r>
    </w:p>
    <w:p>
      <w:pPr>
        <w:numPr>
          <w:ilvl w:val="0"/>
          <w:numId w:val="83"/>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单位负责人为同一人或者存在直接控股、管理关系的不同投标人，不得参加本项目同一合同项下的政府采购活动。</w:t>
      </w:r>
    </w:p>
    <w:p>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应按附件三格式提交“未与单位负责人为同一人或者存在直接控股、管理关系的其它投标人，参加同一合同项下的政府采购活动</w:t>
      </w:r>
      <w:r>
        <w:rPr>
          <w:rFonts w:hint="eastAsia" w:ascii="宋体" w:hAnsi="宋体" w:eastAsia="宋体" w:cs="Courier New"/>
          <w:b/>
          <w:sz w:val="24"/>
          <w:szCs w:val="24"/>
        </w:rPr>
        <w:t>声明函</w:t>
      </w:r>
      <w:r>
        <w:rPr>
          <w:rFonts w:hint="eastAsia" w:ascii="宋体" w:hAnsi="宋体" w:eastAsia="宋体" w:cs="Courier New"/>
          <w:sz w:val="24"/>
          <w:szCs w:val="24"/>
        </w:rPr>
        <w:t>”</w:t>
      </w:r>
    </w:p>
    <w:p>
      <w:pPr>
        <w:numPr>
          <w:ilvl w:val="0"/>
          <w:numId w:val="83"/>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为本采购项目提供整体设计、规范编制或者项目管理、监理、检测等服务的，不得再参加本项目的其他招标采购活动。</w:t>
      </w:r>
    </w:p>
    <w:p>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应按附件四格式提交“未为本采购项目提供整体设计、规范编制或者项目管理、监理、检测等服务的</w:t>
      </w:r>
      <w:r>
        <w:rPr>
          <w:rFonts w:hint="eastAsia" w:ascii="宋体" w:hAnsi="宋体" w:eastAsia="宋体" w:cs="Courier New"/>
          <w:b/>
          <w:sz w:val="24"/>
          <w:szCs w:val="24"/>
        </w:rPr>
        <w:t>声明函</w:t>
      </w:r>
      <w:r>
        <w:rPr>
          <w:rFonts w:hint="eastAsia" w:ascii="宋体" w:hAnsi="宋体" w:eastAsia="宋体" w:cs="Courier New"/>
          <w:sz w:val="24"/>
          <w:szCs w:val="24"/>
        </w:rPr>
        <w:t>”</w:t>
      </w:r>
    </w:p>
    <w:p>
      <w:pPr>
        <w:numPr>
          <w:ilvl w:val="0"/>
          <w:numId w:val="83"/>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未被“信用中国”网站(www.creditchina.gov.cn)</w:t>
      </w:r>
      <w:r>
        <w:rPr>
          <w:rFonts w:hint="eastAsia" w:ascii="宋体" w:hAnsi="宋体" w:eastAsia="宋体" w:cs="Times New Roman"/>
          <w:b/>
          <w:sz w:val="24"/>
          <w:szCs w:val="24"/>
          <w:lang w:val="zh-CN" w:eastAsia="zh-CN"/>
        </w:rPr>
        <w:t xml:space="preserve"> </w:t>
      </w:r>
      <w:r>
        <w:rPr>
          <w:rFonts w:hint="eastAsia" w:ascii="宋体" w:hAnsi="宋体" w:eastAsia="宋体" w:cs="Courier New"/>
          <w:sz w:val="24"/>
          <w:szCs w:val="24"/>
        </w:rPr>
        <w:t>、“中国政府采购网”(www.ccgp.gov.cn)列入失信被执行人、重大税收违法案件当事人名单、政府采购严重违法失信行为记录名单。</w:t>
      </w:r>
    </w:p>
    <w:p>
      <w:pPr>
        <w:autoSpaceDE w:val="0"/>
        <w:autoSpaceDN w:val="0"/>
        <w:adjustRightInd w:val="0"/>
        <w:spacing w:line="360" w:lineRule="auto"/>
        <w:ind w:left="489" w:leftChars="233" w:firstLine="480" w:firstLineChars="200"/>
        <w:rPr>
          <w:rFonts w:ascii="宋体" w:hAnsi="宋体" w:eastAsia="宋体" w:cs="Courier New"/>
          <w:sz w:val="24"/>
          <w:szCs w:val="24"/>
        </w:rPr>
      </w:pPr>
      <w:r>
        <w:rPr>
          <w:rFonts w:hint="eastAsia" w:ascii="宋体" w:hAnsi="宋体" w:eastAsia="宋体" w:cs="Times New Roman"/>
          <w:sz w:val="24"/>
          <w:szCs w:val="20"/>
          <w:lang w:val="zh-CN"/>
        </w:rPr>
        <w:t>应按附件五格式提交“未被列入记录名单的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numPr>
          <w:ilvl w:val="0"/>
          <w:numId w:val="83"/>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落实政府采购政策需满足的资格要求的证明材料或者情况说明。</w:t>
      </w:r>
    </w:p>
    <w:p>
      <w:pPr>
        <w:autoSpaceDE w:val="0"/>
        <w:autoSpaceDN w:val="0"/>
        <w:adjustRightInd w:val="0"/>
        <w:spacing w:line="360" w:lineRule="auto"/>
        <w:ind w:left="490"/>
        <w:rPr>
          <w:rFonts w:ascii="宋体" w:hAnsi="宋体" w:eastAsia="宋体" w:cs="Courier New"/>
          <w:sz w:val="24"/>
          <w:szCs w:val="24"/>
        </w:rPr>
      </w:pPr>
      <w:r>
        <w:rPr>
          <w:rFonts w:hint="eastAsia" w:ascii="宋体" w:hAnsi="宋体" w:eastAsia="宋体" w:cs="Courier New"/>
          <w:sz w:val="24"/>
          <w:szCs w:val="24"/>
        </w:rPr>
        <w:t>应按附件九至附件十二格式提交相应声明函或者相应的情况说明。</w:t>
      </w:r>
    </w:p>
    <w:p>
      <w:pPr>
        <w:numPr>
          <w:ilvl w:val="0"/>
          <w:numId w:val="83"/>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pPr>
        <w:numPr>
          <w:ilvl w:val="0"/>
          <w:numId w:val="83"/>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kern w:val="0"/>
          <w:sz w:val="24"/>
          <w:szCs w:val="32"/>
        </w:rPr>
        <w:t>说明</w:t>
      </w:r>
      <w:r>
        <w:rPr>
          <w:rFonts w:hint="eastAsia" w:ascii="宋体" w:hAnsi="宋体" w:eastAsia="宋体" w:cs="Times New Roman"/>
          <w:b/>
          <w:sz w:val="24"/>
          <w:szCs w:val="24"/>
        </w:rPr>
        <w:t>：</w:t>
      </w:r>
      <w:r>
        <w:rPr>
          <w:rFonts w:hint="eastAsia" w:ascii="宋体" w:hAnsi="宋体" w:eastAsia="宋体" w:cs="Times New Roman"/>
          <w:sz w:val="24"/>
          <w:szCs w:val="24"/>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eastAsia="宋体" w:cs="Times New Roman"/>
          <w:b/>
          <w:sz w:val="24"/>
          <w:szCs w:val="24"/>
        </w:rPr>
      </w:pPr>
      <w:r>
        <w:rPr>
          <w:rFonts w:hint="eastAsia" w:ascii="宋体" w:hAnsi="宋体" w:eastAsia="宋体" w:cs="Times New Roman"/>
          <w:sz w:val="24"/>
          <w:szCs w:val="24"/>
        </w:rPr>
        <w:t>2、资格证明文件应为清晰影印件且加盖单位公章，否则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pPr>
        <w:autoSpaceDE w:val="0"/>
        <w:autoSpaceDN w:val="0"/>
        <w:adjustRightInd w:val="0"/>
        <w:spacing w:line="360" w:lineRule="auto"/>
        <w:ind w:left="740" w:hanging="740" w:hangingChars="307"/>
        <w:rPr>
          <w:rFonts w:ascii="宋体" w:hAnsi="宋体" w:eastAsia="宋体" w:cs="Times New Roman"/>
          <w:b/>
          <w:sz w:val="24"/>
          <w:szCs w:val="24"/>
        </w:rPr>
      </w:pPr>
      <w:r>
        <w:rPr>
          <w:rFonts w:ascii="宋体" w:hAnsi="宋体" w:eastAsia="宋体" w:cs="Times New Roman"/>
          <w:b/>
          <w:sz w:val="24"/>
          <w:szCs w:val="24"/>
        </w:rPr>
        <w:br w:type="page"/>
      </w:r>
    </w:p>
    <w:p>
      <w:pPr>
        <w:spacing w:before="312" w:beforeLines="100" w:after="780" w:afterLines="250"/>
        <w:jc w:val="center"/>
        <w:rPr>
          <w:rFonts w:hint="eastAsia" w:ascii="黑体" w:hAnsi="黑体" w:eastAsia="黑体"/>
          <w:b/>
          <w:sz w:val="96"/>
          <w:szCs w:val="96"/>
          <w:lang w:eastAsia="zh-CN"/>
          <w14:shadow w14:blurRad="50800" w14:dist="38100" w14:dir="2700000" w14:sx="100000" w14:sy="100000" w14:kx="0" w14:ky="0" w14:algn="tl">
            <w14:srgbClr w14:val="000000">
              <w14:alpha w14:val="60000"/>
            </w14:srgbClr>
          </w14:shadow>
        </w:rPr>
      </w:pPr>
      <w:r>
        <w:rPr>
          <w:rFonts w:hint="eastAsia" w:ascii="黑体" w:hAnsi="黑体" w:eastAsia="黑体"/>
          <w:b/>
          <w:sz w:val="96"/>
          <w:szCs w:val="96"/>
          <w:lang w:eastAsia="zh-CN"/>
          <w14:shadow w14:blurRad="50800" w14:dist="38100" w14:dir="2700000" w14:sx="100000" w14:sy="100000" w14:kx="0" w14:ky="0" w14:algn="tl">
            <w14:srgbClr w14:val="000000">
              <w14:alpha w14:val="60000"/>
            </w14:srgbClr>
          </w14:shadow>
        </w:rPr>
        <w:t>广水市政府采购</w:t>
      </w:r>
    </w:p>
    <w:p>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pPr>
        <w:keepNext/>
        <w:keepLines/>
        <w:spacing w:before="340" w:after="480" w:line="360" w:lineRule="auto"/>
        <w:jc w:val="center"/>
        <w:outlineLvl w:val="1"/>
        <w:rPr>
          <w:rFonts w:cs="Times New Roman" w:asciiTheme="majorEastAsia" w:hAnsiTheme="majorEastAsia" w:eastAsiaTheme="majorEastAsia"/>
          <w:b/>
          <w:sz w:val="44"/>
          <w:szCs w:val="44"/>
          <w:lang w:val="zh-CN" w:eastAsia="zh-CN"/>
        </w:rPr>
      </w:pPr>
      <w:bookmarkStart w:id="335" w:name="_Toc511894524"/>
      <w:bookmarkStart w:id="336" w:name="_Toc494665550"/>
      <w:bookmarkStart w:id="337" w:name="_Toc494745314"/>
      <w:bookmarkStart w:id="338" w:name="_Toc494665947"/>
      <w:bookmarkStart w:id="339" w:name="_Toc494702267"/>
      <w:bookmarkStart w:id="340" w:name="_Toc494664997"/>
      <w:bookmarkStart w:id="341" w:name="_Toc494721097"/>
      <w:bookmarkStart w:id="342" w:name="_Toc17170"/>
      <w:r>
        <w:rPr>
          <w:rFonts w:hint="eastAsia" w:cs="Times New Roman" w:asciiTheme="majorEastAsia" w:hAnsiTheme="majorEastAsia" w:eastAsiaTheme="majorEastAsia"/>
          <w:b/>
          <w:sz w:val="44"/>
          <w:szCs w:val="44"/>
          <w:lang w:val="zh-CN" w:eastAsia="zh-CN"/>
        </w:rPr>
        <w:t>第二部分 商务文件</w:t>
      </w:r>
      <w:bookmarkEnd w:id="335"/>
      <w:bookmarkEnd w:id="336"/>
      <w:bookmarkEnd w:id="337"/>
      <w:bookmarkEnd w:id="338"/>
      <w:bookmarkEnd w:id="339"/>
      <w:bookmarkEnd w:id="340"/>
      <w:bookmarkEnd w:id="341"/>
      <w:bookmarkEnd w:id="342"/>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pPr>
        <w:spacing w:after="1560" w:afterLines="500" w:line="360" w:lineRule="auto"/>
        <w:ind w:left="2347" w:leftChars="271" w:right="569" w:rightChars="271" w:hanging="1778" w:hangingChars="494"/>
        <w:jc w:val="center"/>
        <w:rPr>
          <w:rFonts w:ascii="宋体" w:hAnsi="宋体" w:eastAsia="宋体" w:cs="Times New Roman"/>
          <w:sz w:val="36"/>
          <w:szCs w:val="36"/>
        </w:rPr>
      </w:pPr>
    </w:p>
    <w:p>
      <w:pPr>
        <w:spacing w:after="1560" w:afterLines="500" w:line="360" w:lineRule="auto"/>
        <w:ind w:left="2347" w:leftChars="271" w:right="569" w:rightChars="271" w:hanging="1778" w:hangingChars="494"/>
        <w:jc w:val="center"/>
        <w:rPr>
          <w:rFonts w:ascii="宋体" w:hAnsi="宋体" w:eastAsia="宋体" w:cs="Times New Roman"/>
          <w:sz w:val="36"/>
          <w:szCs w:val="36"/>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1" w:leftChars="917" w:right="1287" w:rightChars="613" w:hanging="45" w:hangingChars="14"/>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r>
        <w:br w:type="page"/>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eastAsia="zh-CN"/>
        </w:rPr>
        <w:t>格式（参考）说明：</w:t>
      </w:r>
    </w:p>
    <w:p>
      <w:pPr>
        <w:pStyle w:val="4"/>
        <w:spacing w:before="340" w:after="200" w:line="360" w:lineRule="auto"/>
        <w:jc w:val="center"/>
        <w:rPr>
          <w:rFonts w:ascii="黑体" w:hAnsi="黑体" w:eastAsia="黑体" w:cs="Times New Roman"/>
          <w:bCs w:val="0"/>
          <w:sz w:val="36"/>
          <w:szCs w:val="36"/>
          <w:lang w:val="zh-CN" w:eastAsia="zh-CN"/>
        </w:rPr>
      </w:pPr>
      <w:bookmarkStart w:id="343" w:name="_Toc494664998"/>
      <w:bookmarkStart w:id="344" w:name="_Toc494665948"/>
      <w:bookmarkStart w:id="345" w:name="_Toc494665551"/>
      <w:bookmarkStart w:id="346" w:name="_Toc494721098"/>
      <w:bookmarkStart w:id="347" w:name="_Toc494702268"/>
      <w:bookmarkStart w:id="348" w:name="_Toc511894525"/>
      <w:bookmarkStart w:id="349" w:name="_Toc494745315"/>
      <w:bookmarkStart w:id="350" w:name="_Toc20810"/>
      <w:r>
        <w:rPr>
          <w:rFonts w:hint="eastAsia" w:ascii="黑体" w:hAnsi="黑体" w:eastAsia="黑体" w:cs="Times New Roman"/>
          <w:bCs w:val="0"/>
          <w:sz w:val="36"/>
          <w:szCs w:val="36"/>
          <w:lang w:val="zh-CN" w:eastAsia="zh-CN"/>
        </w:rPr>
        <w:t>商务文件组成</w:t>
      </w:r>
      <w:bookmarkEnd w:id="343"/>
      <w:bookmarkEnd w:id="344"/>
      <w:bookmarkEnd w:id="345"/>
      <w:bookmarkEnd w:id="346"/>
      <w:bookmarkEnd w:id="347"/>
      <w:bookmarkEnd w:id="348"/>
      <w:bookmarkEnd w:id="349"/>
      <w:bookmarkEnd w:id="350"/>
    </w:p>
    <w:p>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联合体协议书（适用于联合投标）（附件六）；</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分包意向协议书（适用于分包）（附件七）；</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投标书（附件八）；</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中小企业声明函（附件九）；</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创新产品应用示范推荐目录内中小企业声明函（货物）（附件十）；</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节能环保产品中小企业声明函(货物)（附件十一）；</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残疾人福利性单位声明函（附件十二）；</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开标一览表（附件十三）；</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投标报价明细表（附件十四）；</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投标货物（工程或服务）清单（附件十五）；</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交纳投标保证金的银行凭证</w:t>
      </w:r>
      <w:r>
        <w:rPr>
          <w:rFonts w:hint="eastAsia" w:ascii="宋体" w:hAnsi="宋体" w:eastAsia="宋体" w:cs="Times New Roman"/>
          <w:b/>
          <w:kern w:val="0"/>
          <w:sz w:val="24"/>
          <w:szCs w:val="32"/>
        </w:rPr>
        <w:t>（本项目不适用）</w:t>
      </w:r>
      <w:r>
        <w:rPr>
          <w:rFonts w:hint="eastAsia" w:ascii="宋体" w:hAnsi="宋体" w:eastAsia="宋体" w:cs="Times New Roman"/>
          <w:kern w:val="0"/>
          <w:sz w:val="24"/>
          <w:szCs w:val="32"/>
        </w:rPr>
        <w:t>（附件十六）；</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法定代表人授权书（附件十七）；</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投标人的资格声明（附件十八）；</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项目负责人、技术负责人简历表（附件十九）；</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项目班子成员情况表（附件二十）；</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投标人类似项目业绩表（附件二十一）；</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符合性审查对照表（附件二十二）；</w:t>
      </w:r>
    </w:p>
    <w:p>
      <w:pPr>
        <w:numPr>
          <w:ilvl w:val="0"/>
          <w:numId w:val="9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sectPr>
          <w:pgSz w:w="11906" w:h="16838"/>
          <w:pgMar w:top="1134" w:right="1191" w:bottom="1134" w:left="1191" w:header="851" w:footer="992" w:gutter="0"/>
          <w:pgNumType w:fmt="decimal"/>
          <w:cols w:space="425" w:num="1"/>
          <w:docGrid w:type="lines" w:linePitch="312" w:charSpace="0"/>
        </w:sectPr>
      </w:pPr>
      <w:r>
        <w:rPr>
          <w:rFonts w:hint="eastAsia" w:ascii="宋体" w:hAnsi="宋体" w:eastAsia="宋体" w:cs="Times New Roman"/>
          <w:kern w:val="0"/>
          <w:sz w:val="24"/>
          <w:szCs w:val="32"/>
        </w:rPr>
        <w:t>商务要求响应、偏离说明表（附件二十三）</w:t>
      </w:r>
      <w:r>
        <w:rPr>
          <w:rFonts w:ascii="宋体" w:hAnsi="宋体" w:eastAsia="宋体" w:cs="Times New Roman"/>
          <w:kern w:val="0"/>
          <w:sz w:val="24"/>
          <w:szCs w:val="32"/>
        </w:rPr>
        <w:t>。</w:t>
      </w:r>
    </w:p>
    <w:p>
      <w:pPr>
        <w:spacing w:before="312" w:beforeLines="100" w:after="780" w:afterLines="250"/>
        <w:jc w:val="center"/>
        <w:rPr>
          <w:rFonts w:hint="eastAsia" w:ascii="黑体" w:hAnsi="黑体" w:eastAsia="黑体"/>
          <w:b/>
          <w:sz w:val="96"/>
          <w:szCs w:val="96"/>
          <w:lang w:eastAsia="zh-CN"/>
          <w14:shadow w14:blurRad="50800" w14:dist="38100" w14:dir="2700000" w14:sx="100000" w14:sy="100000" w14:kx="0" w14:ky="0" w14:algn="tl">
            <w14:srgbClr w14:val="000000">
              <w14:alpha w14:val="60000"/>
            </w14:srgbClr>
          </w14:shadow>
        </w:rPr>
      </w:pPr>
      <w:r>
        <w:rPr>
          <w:rFonts w:hint="eastAsia" w:ascii="黑体" w:hAnsi="黑体" w:eastAsia="黑体"/>
          <w:b/>
          <w:sz w:val="96"/>
          <w:szCs w:val="96"/>
          <w:lang w:eastAsia="zh-CN"/>
          <w14:shadow w14:blurRad="50800" w14:dist="38100" w14:dir="2700000" w14:sx="100000" w14:sy="100000" w14:kx="0" w14:ky="0" w14:algn="tl">
            <w14:srgbClr w14:val="000000">
              <w14:alpha w14:val="60000"/>
            </w14:srgbClr>
          </w14:shadow>
        </w:rPr>
        <w:t>广水市政府采购</w:t>
      </w:r>
    </w:p>
    <w:p>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pPr>
        <w:keepNext/>
        <w:keepLines/>
        <w:spacing w:before="340" w:after="480" w:line="360" w:lineRule="auto"/>
        <w:jc w:val="center"/>
        <w:outlineLvl w:val="1"/>
        <w:rPr>
          <w:rFonts w:cs="Times New Roman" w:asciiTheme="majorEastAsia" w:hAnsiTheme="majorEastAsia" w:eastAsiaTheme="majorEastAsia"/>
          <w:b/>
          <w:sz w:val="44"/>
          <w:szCs w:val="44"/>
          <w:lang w:val="zh-CN" w:eastAsia="zh-CN"/>
        </w:rPr>
      </w:pPr>
      <w:bookmarkStart w:id="351" w:name="_Toc494665552"/>
      <w:bookmarkStart w:id="352" w:name="_Toc494664999"/>
      <w:bookmarkStart w:id="353" w:name="_Toc494702269"/>
      <w:bookmarkStart w:id="354" w:name="_Toc494665949"/>
      <w:bookmarkStart w:id="355" w:name="_Toc494745316"/>
      <w:bookmarkStart w:id="356" w:name="_Toc511894526"/>
      <w:bookmarkStart w:id="357" w:name="_Toc17998"/>
      <w:bookmarkStart w:id="358" w:name="_Toc494721099"/>
      <w:r>
        <w:rPr>
          <w:rFonts w:hint="eastAsia" w:cs="Times New Roman" w:asciiTheme="majorEastAsia" w:hAnsiTheme="majorEastAsia" w:eastAsiaTheme="majorEastAsia"/>
          <w:b/>
          <w:sz w:val="44"/>
          <w:szCs w:val="44"/>
          <w:lang w:val="zh-CN" w:eastAsia="zh-CN"/>
        </w:rPr>
        <w:t>第三部分 技术、服务文件</w:t>
      </w:r>
      <w:bookmarkEnd w:id="351"/>
      <w:bookmarkEnd w:id="352"/>
      <w:bookmarkEnd w:id="353"/>
      <w:bookmarkEnd w:id="354"/>
      <w:bookmarkEnd w:id="355"/>
      <w:bookmarkEnd w:id="356"/>
      <w:bookmarkEnd w:id="357"/>
      <w:bookmarkEnd w:id="358"/>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pPr>
        <w:spacing w:after="1560" w:afterLines="500" w:line="360" w:lineRule="auto"/>
        <w:ind w:left="2347" w:leftChars="271" w:right="569" w:rightChars="271" w:hanging="1778" w:hangingChars="494"/>
        <w:jc w:val="center"/>
        <w:rPr>
          <w:rFonts w:ascii="宋体" w:hAnsi="宋体" w:eastAsia="宋体" w:cs="Times New Roman"/>
          <w:sz w:val="36"/>
          <w:szCs w:val="36"/>
        </w:rPr>
      </w:pPr>
    </w:p>
    <w:p>
      <w:pPr>
        <w:spacing w:line="360" w:lineRule="auto"/>
        <w:ind w:left="1974" w:leftChars="613" w:right="1287" w:rightChars="613" w:hanging="687" w:hangingChars="214"/>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r>
        <w:br w:type="page"/>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eastAsia="zh-CN"/>
        </w:rPr>
        <w:t>格式（参考）说明：</w:t>
      </w:r>
    </w:p>
    <w:p>
      <w:pPr>
        <w:pStyle w:val="4"/>
        <w:spacing w:before="340" w:after="200" w:line="360" w:lineRule="auto"/>
        <w:jc w:val="center"/>
        <w:rPr>
          <w:rFonts w:ascii="黑体" w:hAnsi="黑体" w:eastAsia="黑体" w:cs="Times New Roman"/>
          <w:bCs w:val="0"/>
          <w:sz w:val="36"/>
          <w:szCs w:val="36"/>
          <w:lang w:val="zh-CN" w:eastAsia="zh-CN"/>
        </w:rPr>
      </w:pPr>
      <w:bookmarkStart w:id="359" w:name="_Toc494702270"/>
      <w:bookmarkStart w:id="360" w:name="_Toc494665553"/>
      <w:bookmarkStart w:id="361" w:name="_Toc494665950"/>
      <w:bookmarkStart w:id="362" w:name="_Toc494665000"/>
      <w:bookmarkStart w:id="363" w:name="_Toc18411"/>
      <w:bookmarkStart w:id="364" w:name="_Toc494745317"/>
      <w:bookmarkStart w:id="365" w:name="_Toc511894527"/>
      <w:bookmarkStart w:id="366" w:name="_Toc494721100"/>
      <w:r>
        <w:rPr>
          <w:rFonts w:hint="eastAsia" w:ascii="黑体" w:hAnsi="黑体" w:eastAsia="黑体" w:cs="Times New Roman"/>
          <w:bCs w:val="0"/>
          <w:sz w:val="36"/>
          <w:szCs w:val="36"/>
          <w:lang w:val="zh-CN" w:eastAsia="zh-CN"/>
        </w:rPr>
        <w:t>技术、服务文件组成</w:t>
      </w:r>
      <w:bookmarkEnd w:id="359"/>
      <w:bookmarkEnd w:id="360"/>
      <w:bookmarkEnd w:id="361"/>
      <w:bookmarkEnd w:id="362"/>
      <w:bookmarkEnd w:id="363"/>
      <w:bookmarkEnd w:id="364"/>
      <w:bookmarkEnd w:id="365"/>
      <w:bookmarkEnd w:id="366"/>
    </w:p>
    <w:p>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92"/>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pPr>
        <w:numPr>
          <w:ilvl w:val="0"/>
          <w:numId w:val="92"/>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92"/>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技术、服务要求响应、偏离说明表（附件二十四）；</w:t>
      </w:r>
    </w:p>
    <w:p>
      <w:pPr>
        <w:numPr>
          <w:ilvl w:val="0"/>
          <w:numId w:val="92"/>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40" w:hanging="740" w:hangingChars="307"/>
        <w:rPr>
          <w:rFonts w:eastAsia="黑体"/>
          <w:b/>
          <w:iCs/>
          <w:kern w:val="0"/>
          <w:sz w:val="28"/>
        </w:rPr>
        <w:sectPr>
          <w:pgSz w:w="11906" w:h="16838"/>
          <w:pgMar w:top="1134" w:right="1191" w:bottom="1134" w:left="1191" w:header="851" w:footer="992" w:gutter="0"/>
          <w:pgNumType w:fmt="decimal"/>
          <w:cols w:space="425" w:num="1"/>
          <w:docGrid w:type="lines" w:linePitch="312" w:charSpace="0"/>
        </w:sectPr>
      </w:pPr>
      <w:r>
        <w:rPr>
          <w:rFonts w:hint="eastAsia" w:ascii="宋体" w:hAnsi="宋体" w:eastAsia="宋体" w:cs="Times New Roman"/>
          <w:b/>
          <w:kern w:val="0"/>
          <w:sz w:val="24"/>
          <w:szCs w:val="32"/>
        </w:rPr>
        <w:t>说明：</w:t>
      </w:r>
      <w:r>
        <w:rPr>
          <w:rFonts w:hint="eastAsia" w:ascii="宋体" w:hAnsi="宋体" w:eastAsia="宋体" w:cs="Times New Roman"/>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67" w:name="_Toc8706"/>
      <w:bookmarkStart w:id="368" w:name="_Toc511894528"/>
      <w:r>
        <w:rPr>
          <w:rFonts w:hint="eastAsia" w:cs="Times New Roman" w:asciiTheme="majorEastAsia" w:hAnsiTheme="majorEastAsia"/>
          <w:bCs w:val="0"/>
          <w:lang w:eastAsia="zh-CN"/>
        </w:rPr>
        <w:t>财务状况报告，依法缴纳税收和社会保障资金的声明函</w:t>
      </w:r>
      <w:bookmarkEnd w:id="367"/>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lang w:eastAsia="zh-CN"/>
        </w:rPr>
        <w:t>广水市政府采购中心</w:t>
      </w:r>
      <w:r>
        <w:rPr>
          <w:rFonts w:hint="eastAsia" w:asciiTheme="minorEastAsia" w:hAnsiTheme="minorEastAsia"/>
          <w:bCs/>
          <w:sz w:val="24"/>
          <w:szCs w:val="24"/>
        </w:rPr>
        <w:t>：</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lang w:eastAsia="zh-CN"/>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94"/>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具有合法健全的财务会计制度及依法缴纳税收和社会保障资金；</w:t>
      </w:r>
    </w:p>
    <w:p>
      <w:pPr>
        <w:numPr>
          <w:ilvl w:val="0"/>
          <w:numId w:val="94"/>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eastAsia="zh-CN"/>
        </w:rPr>
        <w:t>投标人(公章)：</w:t>
      </w:r>
      <w:r>
        <w:rPr>
          <w:rFonts w:hint="eastAsia" w:ascii="宋体" w:hAnsi="宋体" w:eastAsia="宋体" w:cs="Times New Roman"/>
          <w:bCs/>
          <w:sz w:val="24"/>
          <w:szCs w:val="21"/>
          <w:u w:val="single"/>
          <w:lang w:val="zh-CN"/>
        </w:rPr>
        <w:t xml:space="preserve">                            </w:t>
      </w:r>
    </w:p>
    <w:p>
      <w:pPr>
        <w:widowControl/>
        <w:ind w:firstLine="3360" w:firstLineChars="1400"/>
        <w:jc w:val="left"/>
        <w:rPr>
          <w:rFonts w:ascii="黑体" w:hAnsi="黑体" w:eastAsia="黑体" w:cs="Times New Roman"/>
          <w:b/>
          <w:sz w:val="36"/>
          <w:szCs w:val="36"/>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widowControl/>
        <w:jc w:val="left"/>
        <w:rPr>
          <w:rFonts w:ascii="黑体" w:hAnsi="黑体" w:eastAsia="黑体" w:cs="Times New Roman"/>
          <w:b/>
          <w:sz w:val="36"/>
          <w:szCs w:val="36"/>
          <w:lang w:val="zh-CN" w:eastAsia="zh-CN"/>
        </w:rPr>
      </w:pPr>
      <w:r>
        <w:rPr>
          <w:rFonts w:ascii="黑体" w:hAnsi="黑体" w:eastAsia="黑体" w:cs="Times New Roman"/>
          <w:bCs/>
          <w:sz w:val="36"/>
          <w:szCs w:val="36"/>
          <w:lang w:val="zh-CN" w:eastAsia="zh-CN"/>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69" w:name="_Toc13349"/>
      <w:r>
        <w:rPr>
          <w:rFonts w:hint="eastAsia" w:cs="Times New Roman" w:asciiTheme="majorEastAsia" w:hAnsiTheme="majorEastAsia"/>
          <w:bCs w:val="0"/>
          <w:lang w:eastAsia="zh-CN"/>
        </w:rPr>
        <w:t>无重大违法记录的声明函</w:t>
      </w:r>
      <w:bookmarkEnd w:id="369"/>
    </w:p>
    <w:p>
      <w:pPr>
        <w:spacing w:line="360" w:lineRule="auto"/>
        <w:rPr>
          <w:rFonts w:asciiTheme="minorEastAsia" w:hAnsiTheme="minorEastAsia"/>
          <w:bCs/>
          <w:sz w:val="24"/>
          <w:szCs w:val="24"/>
        </w:rPr>
      </w:pPr>
    </w:p>
    <w:p>
      <w:pPr>
        <w:jc w:val="center"/>
        <w:rPr>
          <w:rFonts w:ascii="宋体" w:hAnsi="宋体" w:eastAsia="宋体"/>
          <w:b/>
          <w:sz w:val="30"/>
          <w:szCs w:val="30"/>
        </w:rPr>
      </w:pPr>
      <w:r>
        <w:rPr>
          <w:rFonts w:hint="eastAsia" w:ascii="宋体" w:hAnsi="宋体" w:eastAsia="宋体"/>
          <w:b/>
          <w:sz w:val="30"/>
          <w:szCs w:val="30"/>
        </w:rPr>
        <w:t>参加政府采购活动前三年内在经营活动中没有重大违法记录的声明函</w:t>
      </w:r>
    </w:p>
    <w:p>
      <w:pPr>
        <w:jc w:val="center"/>
        <w:rPr>
          <w:rFonts w:ascii="宋体" w:hAnsi="宋体" w:eastAsia="宋体"/>
          <w:b/>
          <w:sz w:val="30"/>
          <w:szCs w:val="30"/>
        </w:rPr>
      </w:pPr>
    </w:p>
    <w:p>
      <w:pPr>
        <w:spacing w:line="360" w:lineRule="auto"/>
        <w:rPr>
          <w:rFonts w:asciiTheme="minorEastAsia" w:hAnsiTheme="minorEastAsia"/>
          <w:bCs/>
          <w:sz w:val="24"/>
          <w:szCs w:val="24"/>
        </w:rPr>
      </w:pPr>
      <w:r>
        <w:rPr>
          <w:rFonts w:hint="eastAsia" w:asciiTheme="minorEastAsia" w:hAnsiTheme="minorEastAsia"/>
          <w:bCs/>
          <w:sz w:val="24"/>
          <w:szCs w:val="24"/>
          <w:lang w:eastAsia="zh-CN"/>
        </w:rPr>
        <w:t>广水市政府采购中心</w:t>
      </w:r>
      <w:r>
        <w:rPr>
          <w:rFonts w:hint="eastAsia" w:asciiTheme="minorEastAsia" w:hAnsiTheme="minorEastAsia"/>
          <w:bCs/>
          <w:sz w:val="24"/>
          <w:szCs w:val="24"/>
        </w:rPr>
        <w:t>：</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lang w:eastAsia="zh-CN"/>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95"/>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参加本项目政府采购活动前三年内，本单位未因违法经营受到刑事处罚或者责令停产停业、吊销许可证或者执照、较大数额罚款</w:t>
      </w:r>
      <w:r>
        <w:rPr>
          <w:rFonts w:hint="eastAsia" w:ascii="宋体" w:hAnsi="宋体"/>
          <w:kern w:val="0"/>
          <w:sz w:val="24"/>
          <w:szCs w:val="24"/>
        </w:rPr>
        <w:t>（《财政部关于&lt;条例&gt;第十九条第一款“较大数额罚款”具体适用问题的意见》（财库〔2022〕3号），明确《条例》第十九条第一款规定的“较大数额罚款”认定为200万元以上的罚款，法律、行政法规以及国务院有关部门明确规定相关领域“较大数额罚款”标准高于200万元的，从其规定）</w:t>
      </w:r>
      <w:r>
        <w:rPr>
          <w:rFonts w:hint="eastAsia" w:ascii="宋体" w:hAnsi="宋体" w:eastAsia="宋体" w:cs="Times New Roman"/>
          <w:sz w:val="24"/>
          <w:szCs w:val="24"/>
        </w:rPr>
        <w:t>等行政处罚；</w:t>
      </w:r>
    </w:p>
    <w:p>
      <w:pPr>
        <w:numPr>
          <w:ilvl w:val="0"/>
          <w:numId w:val="95"/>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参加本项目政府采购活动前三年内，本单位未受到过全国</w:t>
      </w:r>
      <w:r>
        <w:rPr>
          <w:rFonts w:ascii="宋体" w:hAnsi="宋体" w:eastAsia="宋体" w:cs="Times New Roman"/>
          <w:sz w:val="24"/>
          <w:szCs w:val="24"/>
        </w:rPr>
        <w:t>各级人民政府财政部门依法</w:t>
      </w:r>
      <w:r>
        <w:rPr>
          <w:rFonts w:hint="eastAsia" w:ascii="宋体" w:hAnsi="宋体" w:eastAsia="宋体" w:cs="Times New Roman"/>
          <w:sz w:val="24"/>
          <w:szCs w:val="24"/>
        </w:rPr>
        <w:t>作</w:t>
      </w:r>
      <w:r>
        <w:rPr>
          <w:rFonts w:ascii="宋体" w:hAnsi="宋体" w:eastAsia="宋体" w:cs="Times New Roman"/>
          <w:sz w:val="24"/>
          <w:szCs w:val="24"/>
        </w:rPr>
        <w:t>出的禁止参加政府采购活动等行政处罚决定</w:t>
      </w:r>
      <w:r>
        <w:rPr>
          <w:rFonts w:hint="eastAsia" w:ascii="宋体" w:hAnsi="宋体" w:eastAsia="宋体" w:cs="Times New Roman"/>
          <w:sz w:val="24"/>
          <w:szCs w:val="24"/>
        </w:rPr>
        <w:t>；</w:t>
      </w:r>
    </w:p>
    <w:p>
      <w:pPr>
        <w:numPr>
          <w:ilvl w:val="0"/>
          <w:numId w:val="95"/>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eastAsia="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pStyle w:val="4"/>
        <w:numPr>
          <w:ilvl w:val="0"/>
          <w:numId w:val="93"/>
        </w:numPr>
        <w:spacing w:before="40" w:after="40" w:line="360" w:lineRule="auto"/>
        <w:ind w:left="1446" w:hanging="1446" w:hangingChars="400"/>
        <w:jc w:val="left"/>
        <w:rPr>
          <w:rFonts w:cs="Times New Roman" w:asciiTheme="majorEastAsia" w:hAnsiTheme="majorEastAsia"/>
          <w:bCs w:val="0"/>
          <w:lang w:eastAsia="zh-CN"/>
        </w:rPr>
      </w:pPr>
      <w:r>
        <w:rPr>
          <w:rFonts w:ascii="黑体" w:hAnsi="黑体" w:eastAsia="黑体" w:cs="Times New Roman"/>
          <w:sz w:val="36"/>
          <w:szCs w:val="36"/>
        </w:rPr>
        <w:br w:type="page"/>
      </w:r>
      <w:bookmarkStart w:id="370" w:name="_Toc9462"/>
      <w:r>
        <w:rPr>
          <w:rFonts w:hint="eastAsia" w:cs="Times New Roman" w:asciiTheme="majorEastAsia" w:hAnsiTheme="majorEastAsia"/>
          <w:bCs w:val="0"/>
          <w:lang w:eastAsia="zh-CN"/>
        </w:rPr>
        <w:t>未</w:t>
      </w:r>
      <w:r>
        <w:rPr>
          <w:rFonts w:hint="eastAsia" w:cs="Times New Roman" w:asciiTheme="majorEastAsia" w:hAnsiTheme="majorEastAsia"/>
          <w:bCs w:val="0"/>
        </w:rPr>
        <w:t>参加同一合同项下的政府采购活动的声明函</w:t>
      </w:r>
      <w:bookmarkEnd w:id="370"/>
    </w:p>
    <w:p>
      <w:pPr>
        <w:spacing w:line="360" w:lineRule="auto"/>
        <w:jc w:val="center"/>
        <w:rPr>
          <w:rFonts w:asciiTheme="minorEastAsia" w:hAnsiTheme="minorEastAsia"/>
          <w:bCs/>
          <w:sz w:val="24"/>
          <w:szCs w:val="24"/>
        </w:rPr>
      </w:pPr>
    </w:p>
    <w:p>
      <w:pPr>
        <w:spacing w:line="360" w:lineRule="auto"/>
        <w:rPr>
          <w:rFonts w:cs="Times New Roman" w:asciiTheme="minorEastAsia" w:hAnsiTheme="minorEastAsia"/>
          <w:b/>
          <w:sz w:val="28"/>
          <w:szCs w:val="28"/>
        </w:rPr>
      </w:pPr>
    </w:p>
    <w:p>
      <w:pPr>
        <w:spacing w:line="360" w:lineRule="auto"/>
        <w:rPr>
          <w:rFonts w:asciiTheme="minorEastAsia" w:hAnsiTheme="minorEastAsia"/>
          <w:bCs/>
          <w:sz w:val="24"/>
          <w:szCs w:val="24"/>
        </w:rPr>
      </w:pPr>
      <w:r>
        <w:rPr>
          <w:rFonts w:hint="eastAsia" w:asciiTheme="minorEastAsia" w:hAnsiTheme="minorEastAsia"/>
          <w:bCs/>
          <w:sz w:val="24"/>
          <w:szCs w:val="24"/>
          <w:lang w:eastAsia="zh-CN"/>
        </w:rPr>
        <w:t>广水市政府采购中心</w:t>
      </w:r>
      <w:r>
        <w:rPr>
          <w:rFonts w:hint="eastAsia" w:asciiTheme="minorEastAsia" w:hAnsiTheme="minorEastAsia"/>
          <w:bCs/>
          <w:sz w:val="24"/>
          <w:szCs w:val="24"/>
        </w:rPr>
        <w:t>：</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lang w:eastAsia="zh-CN"/>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96"/>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未与单位负责人为同一人或者存在直接控股、管理关系的其它投标人</w:t>
      </w:r>
      <w:r>
        <w:rPr>
          <w:rFonts w:hint="eastAsia" w:ascii="楷体" w:hAnsi="楷体" w:eastAsia="楷体"/>
          <w:bCs/>
          <w:sz w:val="24"/>
          <w:szCs w:val="24"/>
        </w:rPr>
        <w:t>（含专门面向中小企业预留的采购项目，组成联合体或者接受分包合同的中小企业与联合体内其它企业、分包企业之间）</w:t>
      </w:r>
      <w:r>
        <w:rPr>
          <w:rFonts w:hint="eastAsia" w:ascii="宋体" w:hAnsi="宋体" w:eastAsia="宋体" w:cs="Times New Roman"/>
          <w:sz w:val="24"/>
          <w:szCs w:val="24"/>
        </w:rPr>
        <w:t>，参加本项目同一合同项下的政府采购活动；</w:t>
      </w:r>
    </w:p>
    <w:p>
      <w:pPr>
        <w:numPr>
          <w:ilvl w:val="0"/>
          <w:numId w:val="96"/>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eastAsia="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tabs>
          <w:tab w:val="left" w:pos="0"/>
        </w:tabs>
        <w:spacing w:line="360" w:lineRule="auto"/>
        <w:ind w:left="482"/>
        <w:rPr>
          <w:rFonts w:ascii="宋体" w:hAnsi="宋体" w:eastAsia="宋体" w:cs="Times New Roman"/>
          <w:sz w:val="24"/>
          <w:szCs w:val="24"/>
        </w:rPr>
      </w:pPr>
    </w:p>
    <w:p>
      <w:pPr>
        <w:numPr>
          <w:ilvl w:val="0"/>
          <w:numId w:val="97"/>
        </w:numPr>
        <w:tabs>
          <w:tab w:val="left" w:pos="0"/>
        </w:tabs>
        <w:spacing w:line="360" w:lineRule="auto"/>
        <w:ind w:left="0" w:firstLine="482"/>
        <w:rPr>
          <w:rFonts w:ascii="宋体" w:hAnsi="宋体" w:eastAsia="宋体" w:cs="Times New Roman"/>
          <w:sz w:val="24"/>
          <w:szCs w:val="24"/>
        </w:rPr>
      </w:pPr>
      <w:r>
        <w:rPr>
          <w:rFonts w:ascii="宋体" w:hAnsi="宋体" w:eastAsia="宋体" w:cs="Times New Roman"/>
          <w:sz w:val="24"/>
          <w:szCs w:val="24"/>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71" w:name="_Toc900"/>
      <w:r>
        <w:rPr>
          <w:rFonts w:hint="eastAsia" w:cs="Times New Roman" w:asciiTheme="majorEastAsia" w:hAnsiTheme="majorEastAsia"/>
          <w:bCs w:val="0"/>
          <w:lang w:eastAsia="zh-CN"/>
        </w:rPr>
        <w:t>未为本采购项目提供服务的声明函</w:t>
      </w:r>
      <w:bookmarkEnd w:id="371"/>
    </w:p>
    <w:p>
      <w:pPr>
        <w:spacing w:line="360" w:lineRule="auto"/>
        <w:rPr>
          <w:rFonts w:cs="Times New Roman" w:asciiTheme="minorEastAsia" w:hAnsiTheme="minorEastAsia"/>
          <w:b/>
          <w:sz w:val="28"/>
          <w:szCs w:val="28"/>
        </w:rPr>
      </w:pPr>
    </w:p>
    <w:p>
      <w:pPr>
        <w:spacing w:line="360" w:lineRule="auto"/>
        <w:rPr>
          <w:rFonts w:asciiTheme="minorEastAsia" w:hAnsiTheme="minorEastAsia"/>
          <w:bCs/>
          <w:sz w:val="24"/>
          <w:szCs w:val="24"/>
        </w:rPr>
      </w:pPr>
      <w:r>
        <w:rPr>
          <w:rFonts w:hint="eastAsia" w:asciiTheme="minorEastAsia" w:hAnsiTheme="minorEastAsia"/>
          <w:bCs/>
          <w:sz w:val="24"/>
          <w:szCs w:val="24"/>
          <w:lang w:eastAsia="zh-CN"/>
        </w:rPr>
        <w:t>广水市政府采购中心</w:t>
      </w:r>
      <w:r>
        <w:rPr>
          <w:rFonts w:hint="eastAsia" w:asciiTheme="minorEastAsia" w:hAnsiTheme="minorEastAsia"/>
          <w:bCs/>
          <w:sz w:val="24"/>
          <w:szCs w:val="24"/>
        </w:rPr>
        <w:t>：</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lang w:eastAsia="zh-CN"/>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98"/>
        </w:numPr>
        <w:tabs>
          <w:tab w:val="left" w:pos="0"/>
        </w:tabs>
        <w:spacing w:line="360" w:lineRule="auto"/>
        <w:rPr>
          <w:rFonts w:asciiTheme="minorEastAsia" w:hAnsiTheme="minorEastAsia"/>
          <w:bCs/>
          <w:sz w:val="24"/>
          <w:szCs w:val="24"/>
        </w:rPr>
      </w:pPr>
      <w:r>
        <w:rPr>
          <w:rFonts w:hint="eastAsia" w:asciiTheme="minorEastAsia" w:hAnsiTheme="minorEastAsia"/>
          <w:bCs/>
          <w:sz w:val="24"/>
          <w:szCs w:val="24"/>
        </w:rPr>
        <w:t>未为本</w:t>
      </w:r>
      <w:r>
        <w:rPr>
          <w:rFonts w:hint="eastAsia" w:ascii="宋体" w:hAnsi="宋体" w:eastAsia="宋体" w:cs="Times New Roman"/>
          <w:sz w:val="24"/>
          <w:szCs w:val="24"/>
        </w:rPr>
        <w:t>采购</w:t>
      </w:r>
      <w:r>
        <w:rPr>
          <w:rFonts w:hint="eastAsia" w:asciiTheme="minorEastAsia" w:hAnsiTheme="minorEastAsia"/>
          <w:bCs/>
          <w:sz w:val="24"/>
          <w:szCs w:val="24"/>
        </w:rPr>
        <w:t>项目提供整体设计、规范编制或者项目管理、监理、检测等服务；</w:t>
      </w:r>
    </w:p>
    <w:p>
      <w:pPr>
        <w:numPr>
          <w:ilvl w:val="0"/>
          <w:numId w:val="98"/>
        </w:numPr>
        <w:tabs>
          <w:tab w:val="left" w:pos="0"/>
        </w:tabs>
        <w:spacing w:line="360" w:lineRule="auto"/>
        <w:rPr>
          <w:rFonts w:asciiTheme="minorEastAsia" w:hAnsiTheme="minorEastAsia"/>
          <w:bCs/>
          <w:sz w:val="24"/>
          <w:szCs w:val="24"/>
        </w:rPr>
      </w:pPr>
      <w:r>
        <w:rPr>
          <w:rFonts w:hint="eastAsia" w:asciiTheme="minorEastAsia" w:hAnsiTheme="minorEastAsia"/>
          <w:bCs/>
          <w:sz w:val="24"/>
          <w:szCs w:val="24"/>
        </w:rPr>
        <w:t>对上述声明内容的真实性负责。如有虚假，将依法承担相应责任。</w:t>
      </w:r>
    </w:p>
    <w:p>
      <w:pPr>
        <w:spacing w:line="360" w:lineRule="auto"/>
        <w:ind w:firstLine="480" w:firstLineChars="200"/>
        <w:rPr>
          <w:rFonts w:asciiTheme="minorEastAsia" w:hAnsiTheme="minorEastAsia"/>
          <w:bCs/>
          <w:sz w:val="24"/>
          <w:szCs w:val="24"/>
        </w:rPr>
      </w:pPr>
    </w:p>
    <w:p>
      <w:pPr>
        <w:spacing w:line="360" w:lineRule="auto"/>
        <w:ind w:firstLine="480" w:firstLineChars="200"/>
        <w:rPr>
          <w:rFonts w:asciiTheme="minorEastAsia" w:hAnsiTheme="minorEastAsia"/>
          <w:bCs/>
          <w:sz w:val="24"/>
          <w:szCs w:val="24"/>
        </w:rPr>
      </w:pPr>
    </w:p>
    <w:p>
      <w:pPr>
        <w:spacing w:line="360" w:lineRule="auto"/>
        <w:ind w:firstLine="480" w:firstLineChars="200"/>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eastAsia="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spacing w:line="360" w:lineRule="auto"/>
        <w:ind w:firstLine="480" w:firstLineChars="200"/>
        <w:rPr>
          <w:rFonts w:asciiTheme="minorEastAsia" w:hAnsiTheme="minorEastAsia"/>
          <w:bCs/>
          <w:sz w:val="24"/>
          <w:szCs w:val="24"/>
        </w:rPr>
      </w:pPr>
    </w:p>
    <w:p>
      <w:pPr>
        <w:widowControl/>
        <w:jc w:val="left"/>
        <w:rPr>
          <w:rFonts w:ascii="黑体" w:hAnsi="黑体" w:eastAsia="黑体" w:cs="Times New Roman"/>
          <w:b/>
          <w:sz w:val="36"/>
          <w:szCs w:val="36"/>
        </w:rPr>
      </w:pPr>
      <w:r>
        <w:rPr>
          <w:rFonts w:ascii="黑体" w:hAnsi="黑体" w:eastAsia="黑体" w:cs="Times New Roman"/>
          <w:b/>
          <w:sz w:val="36"/>
          <w:szCs w:val="36"/>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72" w:name="_Toc8388"/>
      <w:r>
        <w:rPr>
          <w:rFonts w:hint="eastAsia" w:cs="Times New Roman" w:asciiTheme="majorEastAsia" w:hAnsiTheme="majorEastAsia"/>
          <w:bCs w:val="0"/>
          <w:lang w:eastAsia="zh-CN"/>
        </w:rPr>
        <w:t>未被列入记录名单的声明函</w:t>
      </w:r>
      <w:bookmarkEnd w:id="372"/>
    </w:p>
    <w:p>
      <w:pPr>
        <w:spacing w:line="360" w:lineRule="auto"/>
        <w:rPr>
          <w:rFonts w:cs="Times New Roman" w:asciiTheme="minorEastAsia" w:hAnsiTheme="minorEastAsia"/>
          <w:b/>
          <w:sz w:val="28"/>
          <w:szCs w:val="28"/>
        </w:rPr>
      </w:pPr>
    </w:p>
    <w:p>
      <w:pPr>
        <w:spacing w:line="360" w:lineRule="auto"/>
        <w:rPr>
          <w:rFonts w:asciiTheme="minorEastAsia" w:hAnsiTheme="minorEastAsia"/>
          <w:bCs/>
          <w:sz w:val="24"/>
          <w:szCs w:val="24"/>
        </w:rPr>
      </w:pPr>
      <w:r>
        <w:rPr>
          <w:rFonts w:hint="eastAsia" w:asciiTheme="minorEastAsia" w:hAnsiTheme="minorEastAsia"/>
          <w:bCs/>
          <w:sz w:val="24"/>
          <w:szCs w:val="24"/>
          <w:lang w:eastAsia="zh-CN"/>
        </w:rPr>
        <w:t>广水市政府采购中心</w:t>
      </w:r>
      <w:r>
        <w:rPr>
          <w:rFonts w:hint="eastAsia" w:asciiTheme="minorEastAsia" w:hAnsiTheme="minorEastAsia"/>
          <w:bCs/>
          <w:sz w:val="24"/>
          <w:szCs w:val="24"/>
        </w:rPr>
        <w:t>：</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lang w:eastAsia="zh-CN"/>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99"/>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未被“信用中国”网站(www.creditchina.gov.cn) 、“中国政府采购网”(www.ccgp.gov.cn)列入失信被执行人、重大税收违法案件当事人名单、政府采购严重违法失信行为记录名单；</w:t>
      </w:r>
    </w:p>
    <w:p>
      <w:pPr>
        <w:numPr>
          <w:ilvl w:val="0"/>
          <w:numId w:val="99"/>
        </w:numPr>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eastAsia="zh-CN"/>
        </w:rPr>
        <w:t>投标人 (公章)：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widowControl/>
        <w:jc w:val="left"/>
        <w:rPr>
          <w:rFonts w:ascii="宋体" w:hAnsi="宋体" w:eastAsia="宋体" w:cs="Times New Roman"/>
          <w:bCs/>
          <w:sz w:val="24"/>
          <w:szCs w:val="21"/>
          <w:lang w:val="zh-CN"/>
        </w:rPr>
      </w:pPr>
      <w:r>
        <w:rPr>
          <w:rFonts w:ascii="宋体" w:hAnsi="宋体" w:eastAsia="宋体" w:cs="Times New Roman"/>
          <w:bCs/>
          <w:sz w:val="24"/>
          <w:szCs w:val="21"/>
          <w:lang w:val="zh-CN"/>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73" w:name="_Toc31352"/>
      <w:r>
        <w:rPr>
          <w:rFonts w:cs="Times New Roman" w:asciiTheme="majorEastAsia" w:hAnsiTheme="majorEastAsia"/>
          <w:bCs w:val="0"/>
          <w:lang w:eastAsia="zh-CN"/>
        </w:rPr>
        <w:t>联合体协议书</w:t>
      </w:r>
      <w:bookmarkEnd w:id="373"/>
    </w:p>
    <w:p>
      <w:pPr>
        <w:pStyle w:val="21"/>
        <w:adjustRightInd w:val="0"/>
        <w:snapToGrid w:val="0"/>
        <w:spacing w:before="0" w:beforeAutospacing="0" w:after="0" w:afterAutospacing="0" w:line="360" w:lineRule="auto"/>
        <w:ind w:firstLine="482"/>
        <w:jc w:val="center"/>
        <w:rPr>
          <w:rFonts w:ascii="Tahoma" w:hAnsi="Tahoma" w:cs="Tahoma"/>
          <w:b/>
          <w:sz w:val="18"/>
          <w:szCs w:val="18"/>
        </w:rPr>
      </w:pPr>
    </w:p>
    <w:p>
      <w:pPr>
        <w:pStyle w:val="21"/>
        <w:adjustRightInd w:val="0"/>
        <w:snapToGrid w:val="0"/>
        <w:spacing w:before="0" w:beforeAutospacing="0" w:after="0" w:afterAutospacing="0" w:line="360" w:lineRule="auto"/>
        <w:ind w:firstLine="482"/>
        <w:rPr>
          <w:rFonts w:cs="Tahoma" w:asciiTheme="majorEastAsia" w:hAnsiTheme="majorEastAsia" w:eastAsiaTheme="majorEastAsia"/>
        </w:rPr>
      </w:pPr>
      <w:r>
        <w:rPr>
          <w:rFonts w:cs="Tahoma" w:asciiTheme="majorEastAsia" w:hAnsiTheme="majorEastAsia" w:eastAsiaTheme="majorEastAsia"/>
          <w:u w:val="single"/>
        </w:rPr>
        <w:t>(甲</w:t>
      </w:r>
      <w:r>
        <w:fldChar w:fldCharType="begin"/>
      </w:r>
      <w:r>
        <w:instrText xml:space="preserve"> HYPERLINK "https://v.66law.cn/shuofa/gsf/gsfgd/" \t "_blank" \o "公司" </w:instrText>
      </w:r>
      <w:r>
        <w:fldChar w:fldCharType="separate"/>
      </w:r>
      <w:r>
        <w:rPr>
          <w:rStyle w:val="34"/>
          <w:rFonts w:cs="Tahoma" w:asciiTheme="majorEastAsia" w:hAnsiTheme="majorEastAsia" w:eastAsiaTheme="majorEastAsia"/>
          <w:color w:val="auto"/>
        </w:rPr>
        <w:t>公司</w:t>
      </w:r>
      <w:r>
        <w:rPr>
          <w:rStyle w:val="34"/>
          <w:rFonts w:cs="Tahoma" w:asciiTheme="majorEastAsia" w:hAnsiTheme="majorEastAsia" w:eastAsiaTheme="majorEastAsia"/>
          <w:color w:val="auto"/>
        </w:rPr>
        <w:fldChar w:fldCharType="end"/>
      </w:r>
      <w:r>
        <w:rPr>
          <w:rFonts w:cs="Tahoma" w:asciiTheme="majorEastAsia" w:hAnsiTheme="majorEastAsia" w:eastAsiaTheme="majorEastAsia"/>
          <w:u w:val="single"/>
        </w:rPr>
        <w:t>名称)_</w:t>
      </w:r>
      <w:r>
        <w:rPr>
          <w:rFonts w:cs="Tahoma" w:asciiTheme="majorEastAsia" w:hAnsiTheme="majorEastAsia" w:eastAsiaTheme="majorEastAsia"/>
        </w:rPr>
        <w:t>__</w:t>
      </w:r>
      <w:r>
        <w:rPr>
          <w:rFonts w:hint="eastAsia" w:cs="Tahoma" w:asciiTheme="majorEastAsia" w:hAnsiTheme="majorEastAsia" w:eastAsiaTheme="majorEastAsia"/>
        </w:rPr>
        <w:t>以下简称甲方</w:t>
      </w:r>
    </w:p>
    <w:p>
      <w:pPr>
        <w:pStyle w:val="21"/>
        <w:adjustRightInd w:val="0"/>
        <w:snapToGrid w:val="0"/>
        <w:spacing w:before="0" w:beforeAutospacing="0" w:after="0" w:afterAutospacing="0" w:line="360" w:lineRule="auto"/>
        <w:ind w:firstLine="482"/>
        <w:rPr>
          <w:rFonts w:cs="Tahoma" w:asciiTheme="majorEastAsia" w:hAnsiTheme="majorEastAsia" w:eastAsiaTheme="majorEastAsia"/>
          <w:b/>
        </w:rPr>
      </w:pPr>
      <w:r>
        <w:rPr>
          <w:rFonts w:cs="Tahoma" w:asciiTheme="majorEastAsia" w:hAnsiTheme="majorEastAsia" w:eastAsiaTheme="majorEastAsia"/>
          <w:u w:val="single"/>
        </w:rPr>
        <w:t>(乙公司名称)_</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_</w:t>
      </w:r>
      <w:r>
        <w:rPr>
          <w:rFonts w:hint="eastAsia" w:cs="Tahoma" w:asciiTheme="majorEastAsia" w:hAnsiTheme="majorEastAsia" w:eastAsiaTheme="majorEastAsia"/>
        </w:rPr>
        <w:t>以下简称乙方</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cs="Tahoma" w:asciiTheme="majorEastAsia" w:hAnsiTheme="majorEastAsia" w:eastAsiaTheme="majorEastAsia"/>
          <w:u w:val="single"/>
        </w:rPr>
        <w:t>(甲</w:t>
      </w:r>
      <w:r>
        <w:fldChar w:fldCharType="begin"/>
      </w:r>
      <w:r>
        <w:instrText xml:space="preserve"> HYPERLINK "https://v.66law.cn/shuofa/gsf/gsfgd/" \t "_blank" \o "公司" </w:instrText>
      </w:r>
      <w:r>
        <w:fldChar w:fldCharType="separate"/>
      </w:r>
      <w:r>
        <w:rPr>
          <w:rStyle w:val="34"/>
          <w:rFonts w:cs="Tahoma" w:asciiTheme="majorEastAsia" w:hAnsiTheme="majorEastAsia" w:eastAsiaTheme="majorEastAsia"/>
          <w:color w:val="auto"/>
          <w:u w:val="single"/>
        </w:rPr>
        <w:t>公司</w:t>
      </w:r>
      <w:r>
        <w:rPr>
          <w:rStyle w:val="34"/>
          <w:rFonts w:cs="Tahoma" w:asciiTheme="majorEastAsia" w:hAnsiTheme="majorEastAsia" w:eastAsiaTheme="majorEastAsia"/>
          <w:color w:val="auto"/>
          <w:u w:val="single"/>
        </w:rPr>
        <w:fldChar w:fldCharType="end"/>
      </w:r>
      <w:r>
        <w:rPr>
          <w:rFonts w:cs="Tahoma" w:asciiTheme="majorEastAsia" w:hAnsiTheme="majorEastAsia" w:eastAsiaTheme="majorEastAsia"/>
          <w:u w:val="single"/>
        </w:rPr>
        <w:t>名称)_</w:t>
      </w:r>
      <w:r>
        <w:rPr>
          <w:rFonts w:cs="Tahoma" w:asciiTheme="majorEastAsia" w:hAnsiTheme="majorEastAsia" w:eastAsiaTheme="majorEastAsia"/>
        </w:rPr>
        <w:t>_、</w:t>
      </w:r>
      <w:r>
        <w:rPr>
          <w:rFonts w:hint="eastAsia" w:cs="Tahoma" w:asciiTheme="majorEastAsia" w:hAnsiTheme="majorEastAsia" w:eastAsiaTheme="majorEastAsia"/>
          <w:u w:val="single"/>
        </w:rPr>
        <w:t xml:space="preserve"> （</w:t>
      </w:r>
      <w:r>
        <w:rPr>
          <w:rFonts w:cs="Tahoma" w:asciiTheme="majorEastAsia" w:hAnsiTheme="majorEastAsia" w:eastAsiaTheme="majorEastAsia"/>
          <w:u w:val="single"/>
        </w:rPr>
        <w:t>乙公司名称)__</w:t>
      </w:r>
      <w:r>
        <w:rPr>
          <w:rFonts w:cs="Tahoma" w:asciiTheme="majorEastAsia" w:hAnsiTheme="majorEastAsia" w:eastAsiaTheme="majorEastAsia"/>
        </w:rPr>
        <w:t>__自愿组成联合体，参加____________</w:t>
      </w:r>
      <w:r>
        <w:rPr>
          <w:rFonts w:hint="eastAsia" w:cs="Tahoma" w:asciiTheme="majorEastAsia" w:hAnsiTheme="majorEastAsia" w:eastAsiaTheme="majorEastAsia"/>
        </w:rPr>
        <w:t>项目</w:t>
      </w:r>
      <w:r>
        <w:rPr>
          <w:rFonts w:cs="Tahoma" w:asciiTheme="majorEastAsia" w:hAnsiTheme="majorEastAsia" w:eastAsiaTheme="majorEastAsia"/>
        </w:rPr>
        <w:t>投标</w:t>
      </w:r>
      <w:r>
        <w:rPr>
          <w:rFonts w:hint="eastAsia" w:cs="Tahoma" w:asciiTheme="majorEastAsia" w:hAnsiTheme="majorEastAsia" w:eastAsiaTheme="majorEastAsia"/>
        </w:rPr>
        <w:t>，不再单独参加或者与其他供应商另外组成联合体参加本项目的采购活动。</w:t>
      </w:r>
      <w:r>
        <w:rPr>
          <w:rFonts w:cs="Tahoma" w:asciiTheme="majorEastAsia" w:hAnsiTheme="majorEastAsia" w:eastAsiaTheme="majorEastAsia"/>
        </w:rPr>
        <w:t>现就有关事宜订立协议如下：</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1、甲方</w:t>
      </w:r>
      <w:r>
        <w:rPr>
          <w:rFonts w:cs="Tahoma" w:asciiTheme="majorEastAsia" w:hAnsiTheme="majorEastAsia" w:eastAsiaTheme="majorEastAsia"/>
        </w:rPr>
        <w:t>为联合体</w:t>
      </w:r>
      <w:r>
        <w:rPr>
          <w:rFonts w:hint="eastAsia" w:cs="Tahoma" w:asciiTheme="majorEastAsia" w:hAnsiTheme="majorEastAsia" w:eastAsiaTheme="majorEastAsia"/>
        </w:rPr>
        <w:t>主体</w:t>
      </w:r>
      <w:r>
        <w:rPr>
          <w:rFonts w:cs="Tahoma" w:asciiTheme="majorEastAsia" w:hAnsiTheme="majorEastAsia" w:eastAsiaTheme="majorEastAsia"/>
        </w:rPr>
        <w:t>，</w:t>
      </w:r>
      <w:r>
        <w:rPr>
          <w:rFonts w:hint="eastAsia" w:cs="Tahoma" w:asciiTheme="majorEastAsia" w:hAnsiTheme="majorEastAsia" w:eastAsiaTheme="majorEastAsia"/>
        </w:rPr>
        <w:t>乙方</w:t>
      </w:r>
      <w:r>
        <w:rPr>
          <w:rFonts w:cs="Tahoma" w:asciiTheme="majorEastAsia" w:hAnsiTheme="majorEastAsia" w:eastAsiaTheme="majorEastAsia"/>
        </w:rPr>
        <w:t>为联合体成员</w:t>
      </w:r>
      <w:r>
        <w:rPr>
          <w:rFonts w:hint="eastAsia" w:cs="Tahoma" w:asciiTheme="majorEastAsia" w:hAnsiTheme="majorEastAsia" w:eastAsiaTheme="majorEastAsia"/>
        </w:rPr>
        <w:t>。</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w:t>
      </w:r>
      <w:r>
        <w:rPr>
          <w:rFonts w:cs="Tahoma" w:asciiTheme="majorEastAsia" w:hAnsiTheme="majorEastAsia" w:eastAsiaTheme="majorEastAsia"/>
        </w:rPr>
        <w:t>联合体将严格按照</w:t>
      </w:r>
      <w:r>
        <w:fldChar w:fldCharType="begin"/>
      </w:r>
      <w:r>
        <w:instrText xml:space="preserve"> HYPERLINK "https://www.66law.cn/special/zb/" \t "_blank" \o "招标" </w:instrText>
      </w:r>
      <w:r>
        <w:fldChar w:fldCharType="separate"/>
      </w:r>
      <w:r>
        <w:rPr>
          <w:rStyle w:val="34"/>
          <w:rFonts w:cs="Tahoma" w:asciiTheme="majorEastAsia" w:hAnsiTheme="majorEastAsia" w:eastAsiaTheme="majorEastAsia"/>
          <w:color w:val="auto"/>
        </w:rPr>
        <w:t>招标</w:t>
      </w:r>
      <w:r>
        <w:rPr>
          <w:rStyle w:val="34"/>
          <w:rFonts w:cs="Tahoma" w:asciiTheme="majorEastAsia" w:hAnsiTheme="majorEastAsia" w:eastAsiaTheme="majorEastAsia"/>
          <w:color w:val="auto"/>
        </w:rPr>
        <w:fldChar w:fldCharType="end"/>
      </w:r>
      <w:r>
        <w:rPr>
          <w:rFonts w:cs="Tahoma" w:asciiTheme="majorEastAsia" w:hAnsiTheme="majorEastAsia" w:eastAsiaTheme="majorEastAsia"/>
        </w:rPr>
        <w:t>文件的各项要求办理投标事宜，投标文件中的所有承诺均代表了联合体各成员</w:t>
      </w:r>
      <w:r>
        <w:rPr>
          <w:rFonts w:hint="eastAsia" w:cs="Tahoma" w:asciiTheme="majorEastAsia" w:hAnsiTheme="majorEastAsia" w:eastAsiaTheme="majorEastAsia"/>
        </w:rPr>
        <w:t>，联合体各成员共同承担相应的法律责任</w:t>
      </w:r>
      <w:r>
        <w:rPr>
          <w:rFonts w:cs="Tahoma" w:asciiTheme="majorEastAsia" w:hAnsiTheme="majorEastAsia" w:eastAsiaTheme="majorEastAsia"/>
        </w:rPr>
        <w:t>。</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w:t>
      </w:r>
      <w:r>
        <w:rPr>
          <w:rFonts w:cs="Tahoma" w:asciiTheme="majorEastAsia" w:hAnsiTheme="majorEastAsia" w:eastAsiaTheme="majorEastAsia"/>
        </w:rPr>
        <w:t>联合体分工原则：</w:t>
      </w:r>
      <w:r>
        <w:rPr>
          <w:rFonts w:hint="eastAsia" w:cs="Tahoma" w:asciiTheme="majorEastAsia" w:hAnsiTheme="majorEastAsia" w:eastAsiaTheme="majorEastAsia"/>
        </w:rPr>
        <w:t xml:space="preserve"> </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甲方承担项目采购合同金额的</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w:t>
      </w:r>
      <w:r>
        <w:rPr>
          <w:rFonts w:cs="Tahoma" w:asciiTheme="majorEastAsia" w:hAnsiTheme="majorEastAsia" w:eastAsiaTheme="majorEastAsia"/>
        </w:rPr>
        <w:t>负责</w:t>
      </w:r>
      <w:r>
        <w:rPr>
          <w:rFonts w:hint="eastAsia" w:cs="Tahoma" w:asciiTheme="majorEastAsia" w:hAnsiTheme="majorEastAsia" w:eastAsiaTheme="majorEastAsia"/>
        </w:rPr>
        <w:t>的工作为：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i/>
          <w:u w:val="single"/>
        </w:rPr>
        <w:t xml:space="preserve">                         </w:t>
      </w:r>
      <w:r>
        <w:rPr>
          <w:rFonts w:hint="eastAsia" w:cs="Tahoma" w:asciiTheme="majorEastAsia" w:hAnsiTheme="majorEastAsia" w:eastAsiaTheme="majorEastAsia"/>
        </w:rPr>
        <w:t xml:space="preserve">； </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乙方承担项目采购合同金额的</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w:t>
      </w:r>
      <w:r>
        <w:rPr>
          <w:rFonts w:cs="Tahoma" w:asciiTheme="majorEastAsia" w:hAnsiTheme="majorEastAsia" w:eastAsiaTheme="majorEastAsia"/>
        </w:rPr>
        <w:t>负责</w:t>
      </w:r>
      <w:r>
        <w:rPr>
          <w:rFonts w:hint="eastAsia" w:cs="Tahoma" w:asciiTheme="majorEastAsia" w:hAnsiTheme="majorEastAsia" w:eastAsiaTheme="majorEastAsia"/>
        </w:rPr>
        <w:t>的工作为：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i/>
          <w:u w:val="single"/>
        </w:rPr>
        <w:t xml:space="preserve">                         </w:t>
      </w:r>
      <w:r>
        <w:rPr>
          <w:rFonts w:hint="eastAsia" w:cs="Tahoma" w:asciiTheme="majorEastAsia" w:hAnsiTheme="majorEastAsia" w:eastAsiaTheme="majorEastAsia"/>
        </w:rPr>
        <w:t>。</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w:t>
      </w:r>
      <w:r>
        <w:rPr>
          <w:rFonts w:cs="Tahoma" w:asciiTheme="majorEastAsia" w:hAnsiTheme="majorEastAsia" w:eastAsiaTheme="majorEastAsia"/>
        </w:rPr>
        <w:t>中标，联合体成员共同与</w:t>
      </w:r>
      <w:r>
        <w:rPr>
          <w:rFonts w:hint="eastAsia" w:cs="Tahoma" w:asciiTheme="majorEastAsia" w:hAnsiTheme="majorEastAsia" w:eastAsiaTheme="majorEastAsia"/>
        </w:rPr>
        <w:t>采购人</w:t>
      </w:r>
      <w:r>
        <w:rPr>
          <w:rFonts w:cs="Tahoma" w:asciiTheme="majorEastAsia" w:hAnsiTheme="majorEastAsia" w:eastAsiaTheme="majorEastAsia"/>
        </w:rPr>
        <w:t>签订</w:t>
      </w:r>
      <w:r>
        <w:rPr>
          <w:rFonts w:hint="eastAsia" w:cs="Tahoma" w:asciiTheme="majorEastAsia" w:hAnsiTheme="majorEastAsia" w:eastAsiaTheme="majorEastAsia"/>
        </w:rPr>
        <w:t>采购合同（本协议应作为采购合同的组成部分）</w:t>
      </w:r>
      <w:r>
        <w:rPr>
          <w:rFonts w:cs="Tahoma" w:asciiTheme="majorEastAsia" w:hAnsiTheme="majorEastAsia" w:eastAsiaTheme="majorEastAsia"/>
        </w:rPr>
        <w:t>，</w:t>
      </w:r>
      <w:r>
        <w:rPr>
          <w:rFonts w:hint="eastAsia" w:cs="Tahoma" w:asciiTheme="majorEastAsia" w:hAnsiTheme="majorEastAsia" w:eastAsiaTheme="majorEastAsia"/>
        </w:rPr>
        <w:t>就采购合同约定的事项对采购人承担连带责任，联合体主体负主要责任。</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5、其他：</w:t>
      </w:r>
      <w:r>
        <w:rPr>
          <w:rFonts w:cs="Tahoma" w:asciiTheme="majorEastAsia" w:hAnsiTheme="majorEastAsia" w:eastAsiaTheme="majorEastAsia"/>
        </w:rPr>
        <w:t>……</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6、本协议书自签署之日起生效，若未中标，自本次投标有效期结束后自行失效；若中标，自合同书规定的期限之后自行失效。</w:t>
      </w:r>
    </w:p>
    <w:p>
      <w:pPr>
        <w:pStyle w:val="21"/>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7、</w:t>
      </w:r>
      <w:r>
        <w:rPr>
          <w:rFonts w:cs="Tahoma" w:asciiTheme="majorEastAsia" w:hAnsiTheme="majorEastAsia" w:eastAsiaTheme="majorEastAsia"/>
        </w:rPr>
        <w:t>本协议书正本一式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份，联合体成员各</w:t>
      </w:r>
      <w:r>
        <w:rPr>
          <w:rFonts w:hint="eastAsia" w:cs="Tahoma" w:asciiTheme="majorEastAsia" w:hAnsiTheme="majorEastAsia" w:eastAsiaTheme="majorEastAsia"/>
        </w:rPr>
        <w:t>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份；副本一式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份，联合体成员各执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1"/>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甲方（公章）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乙</w:t>
      </w:r>
      <w:r>
        <w:rPr>
          <w:rFonts w:hint="eastAsia" w:cs="Tahoma" w:asciiTheme="majorEastAsia" w:hAnsiTheme="majorEastAsia" w:eastAsiaTheme="majorEastAsia"/>
        </w:rPr>
        <w:t>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p>
    <w:p>
      <w:pPr>
        <w:pStyle w:val="21"/>
        <w:adjustRightInd w:val="0"/>
        <w:snapToGrid w:val="0"/>
        <w:spacing w:before="0" w:beforeAutospacing="0" w:after="0" w:afterAutospacing="0" w:line="360" w:lineRule="auto"/>
        <w:ind w:firstLine="480" w:firstLineChars="200"/>
        <w:rPr>
          <w:rFonts w:cs="Tahoma" w:asciiTheme="majorEastAsia" w:hAnsiTheme="majorEastAsia" w:eastAsiaTheme="majorEastAsia"/>
          <w:u w:val="single"/>
        </w:rPr>
      </w:pP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p>
    <w:p>
      <w:pPr>
        <w:pStyle w:val="21"/>
        <w:adjustRightInd w:val="0"/>
        <w:snapToGrid w:val="0"/>
        <w:spacing w:before="0" w:beforeAutospacing="0" w:after="0" w:afterAutospacing="0" w:line="360" w:lineRule="auto"/>
        <w:ind w:firstLine="1320" w:firstLineChars="550"/>
        <w:rPr>
          <w:rFonts w:ascii="Tahoma" w:hAnsi="Tahoma" w:cs="Tahoma"/>
        </w:rPr>
      </w:pP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r>
        <w:rPr>
          <w:rFonts w:hint="eastAsia" w:cs="Tahoma" w:asciiTheme="majorEastAsia" w:hAnsiTheme="majorEastAsia" w:eastAsiaTheme="majorEastAsia"/>
        </w:rPr>
        <w:t xml:space="preserve">                    </w:t>
      </w: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p>
    <w:p>
      <w:pPr>
        <w:widowControl/>
        <w:jc w:val="left"/>
        <w:rPr>
          <w:rFonts w:ascii="Tahoma" w:hAnsi="Tahoma" w:eastAsia="宋体" w:cs="Tahoma"/>
          <w:kern w:val="0"/>
          <w:sz w:val="24"/>
          <w:szCs w:val="24"/>
        </w:rPr>
      </w:pPr>
      <w:r>
        <w:rPr>
          <w:rFonts w:ascii="Tahoma" w:hAnsi="Tahoma" w:cs="Tahoma"/>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74" w:name="_Toc1137"/>
      <w:r>
        <w:rPr>
          <w:rFonts w:hint="eastAsia" w:cs="Times New Roman" w:asciiTheme="majorEastAsia" w:hAnsiTheme="majorEastAsia"/>
          <w:bCs w:val="0"/>
          <w:lang w:eastAsia="zh-CN"/>
        </w:rPr>
        <w:t>分包意向协议书</w:t>
      </w:r>
      <w:bookmarkEnd w:id="374"/>
    </w:p>
    <w:p>
      <w:pPr>
        <w:pStyle w:val="21"/>
        <w:adjustRightInd w:val="0"/>
        <w:snapToGrid w:val="0"/>
        <w:spacing w:before="0" w:beforeAutospacing="0" w:after="0" w:afterAutospacing="0" w:line="360" w:lineRule="auto"/>
        <w:ind w:firstLine="480"/>
        <w:rPr>
          <w:b/>
          <w:sz w:val="18"/>
          <w:szCs w:val="18"/>
          <w:u w:val="single"/>
        </w:rPr>
      </w:pP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u w:val="single"/>
        </w:rPr>
        <w:t xml:space="preserve">(甲公司名称)_   </w:t>
      </w:r>
      <w:r>
        <w:rPr>
          <w:rFonts w:hint="eastAsia" w:cs="Tahoma" w:asciiTheme="majorEastAsia" w:hAnsiTheme="majorEastAsia" w:eastAsiaTheme="majorEastAsia"/>
        </w:rPr>
        <w:t>（以下简称甲方）</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u w:val="single"/>
        </w:rPr>
        <w:t xml:space="preserve">(乙公司名称)    </w:t>
      </w:r>
      <w:r>
        <w:rPr>
          <w:rFonts w:hint="eastAsia" w:cs="Tahoma" w:asciiTheme="majorEastAsia" w:hAnsiTheme="majorEastAsia" w:eastAsiaTheme="majorEastAsia"/>
        </w:rPr>
        <w:t>（以下简称甲方）</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甲方就</w:t>
      </w:r>
      <w:r>
        <w:rPr>
          <w:rFonts w:hint="eastAsia" w:cs="Tahoma" w:asciiTheme="majorEastAsia" w:hAnsiTheme="majorEastAsia" w:eastAsiaTheme="majorEastAsia"/>
          <w:u w:val="single"/>
        </w:rPr>
        <w:t xml:space="preserve">  （项目名称）  </w:t>
      </w:r>
      <w:r>
        <w:rPr>
          <w:rFonts w:hint="eastAsia" w:cs="Tahoma" w:asciiTheme="majorEastAsia" w:hAnsiTheme="majorEastAsia" w:eastAsiaTheme="majorEastAsia"/>
        </w:rPr>
        <w:t>与乙方通过友好协商达成如下分包意向协议：</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1、在本次投标有效期内，乙方同意甲方代理投标事宜。</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2、乙方承担的分包合同金额为项目采购合同金额的</w:t>
      </w:r>
      <w:r>
        <w:rPr>
          <w:rFonts w:cs="Tahoma" w:asciiTheme="majorEastAsia" w:hAnsiTheme="majorEastAsia" w:eastAsiaTheme="majorEastAsia"/>
          <w:u w:val="single"/>
        </w:rPr>
        <w:t xml:space="preserve">    %</w:t>
      </w:r>
      <w:r>
        <w:rPr>
          <w:rFonts w:hint="eastAsia" w:cs="Tahoma" w:asciiTheme="majorEastAsia" w:hAnsiTheme="majorEastAsia" w:eastAsiaTheme="majorEastAsia"/>
        </w:rPr>
        <w:t>。</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3、甲、乙双方责任和义务：</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w:t>
      </w:r>
      <w:r>
        <w:rPr>
          <w:rFonts w:cs="Tahoma" w:asciiTheme="majorEastAsia" w:hAnsiTheme="majorEastAsia" w:eastAsiaTheme="majorEastAsia"/>
        </w:rPr>
        <w:t>1</w:t>
      </w:r>
      <w:r>
        <w:rPr>
          <w:rFonts w:hint="eastAsia" w:cs="Tahoma" w:asciiTheme="majorEastAsia" w:hAnsiTheme="majorEastAsia" w:eastAsiaTheme="majorEastAsia"/>
        </w:rPr>
        <w:t>）乙方按甲方的要求，负责提供分包负责工作量的相关资料；（包括资质、报价、技术文件等资料）；</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（2）若中标，乙方应承担全部分包内容的工作量，并对所承担工作的质量、工期负责（乙方所报价格）；</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（3）甲方负责提供招标文件中规定的除乙方应提供的资料外的所有资料，并组织、汇编投标文件、参与投标；甲方未经乙方同意不擅自提高或降低乙方所提供的报价；</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（4）若中标，甲方不得将乙方负责的工作量全部或部分转让给乙方以外的供应商。</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4、若中标，甲方与采购人签订采购合同时，则本协议应作为采购合同的组成部分。</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5、其他:</w:t>
      </w:r>
      <w:r>
        <w:rPr>
          <w:rFonts w:cs="Tahoma" w:asciiTheme="majorEastAsia" w:hAnsiTheme="majorEastAsia" w:eastAsiaTheme="majorEastAsia"/>
        </w:rPr>
        <w:t>……</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6、本协议书自签署之日起生效，若未中标，自本次投标有效期结束后自行失效；若中标，自合项目同规定的期限之后自行失效。</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7、</w:t>
      </w:r>
      <w:r>
        <w:rPr>
          <w:rFonts w:cs="Tahoma" w:asciiTheme="majorEastAsia" w:hAnsiTheme="majorEastAsia" w:eastAsiaTheme="majorEastAsia"/>
        </w:rPr>
        <w:t>本协议书正本一式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r>
        <w:rPr>
          <w:rFonts w:hint="eastAsia" w:cs="Tahoma" w:asciiTheme="majorEastAsia" w:hAnsiTheme="majorEastAsia" w:eastAsiaTheme="majorEastAsia"/>
        </w:rPr>
        <w:t>甲乙双方</w:t>
      </w:r>
      <w:r>
        <w:rPr>
          <w:rFonts w:cs="Tahoma" w:asciiTheme="majorEastAsia" w:hAnsiTheme="majorEastAsia" w:eastAsiaTheme="majorEastAsia"/>
        </w:rPr>
        <w:t>各</w:t>
      </w:r>
      <w:r>
        <w:rPr>
          <w:rFonts w:hint="eastAsia" w:cs="Tahoma" w:asciiTheme="majorEastAsia" w:hAnsiTheme="majorEastAsia" w:eastAsiaTheme="majorEastAsia"/>
        </w:rPr>
        <w:t>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份；副本一式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r>
        <w:rPr>
          <w:rFonts w:hint="eastAsia" w:cs="Tahoma" w:asciiTheme="majorEastAsia" w:hAnsiTheme="majorEastAsia" w:eastAsiaTheme="majorEastAsia"/>
        </w:rPr>
        <w:t>甲乙双方</w:t>
      </w:r>
      <w:r>
        <w:rPr>
          <w:rFonts w:cs="Tahoma" w:asciiTheme="majorEastAsia" w:hAnsiTheme="majorEastAsia" w:eastAsiaTheme="majorEastAsia"/>
        </w:rPr>
        <w:t>各执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1"/>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甲方（公章）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乙</w:t>
      </w:r>
      <w:r>
        <w:rPr>
          <w:rFonts w:hint="eastAsia" w:cs="Tahoma" w:asciiTheme="majorEastAsia" w:hAnsiTheme="majorEastAsia" w:eastAsiaTheme="majorEastAsia"/>
        </w:rPr>
        <w:t>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p>
    <w:p>
      <w:pPr>
        <w:pStyle w:val="21"/>
        <w:adjustRightInd w:val="0"/>
        <w:snapToGrid w:val="0"/>
        <w:spacing w:before="0" w:beforeAutospacing="0" w:after="0" w:afterAutospacing="0" w:line="360" w:lineRule="auto"/>
        <w:ind w:firstLine="480" w:firstLineChars="200"/>
        <w:rPr>
          <w:rFonts w:cs="Tahoma" w:asciiTheme="majorEastAsia" w:hAnsiTheme="majorEastAsia" w:eastAsiaTheme="majorEastAsia"/>
          <w:u w:val="single"/>
        </w:rPr>
      </w:pP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p>
    <w:p>
      <w:pPr>
        <w:pStyle w:val="21"/>
        <w:adjustRightInd w:val="0"/>
        <w:snapToGrid w:val="0"/>
        <w:spacing w:before="0" w:beforeAutospacing="0" w:after="0" w:afterAutospacing="0" w:line="360" w:lineRule="auto"/>
        <w:ind w:firstLine="1080" w:firstLineChars="450"/>
        <w:rPr>
          <w:rFonts w:cs="Tahoma" w:asciiTheme="majorEastAsia" w:hAnsiTheme="majorEastAsia" w:eastAsiaTheme="majorEastAsia"/>
        </w:rPr>
      </w:pP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r>
        <w:rPr>
          <w:rFonts w:hint="eastAsia" w:cs="Tahoma" w:asciiTheme="majorEastAsia" w:hAnsiTheme="majorEastAsia" w:eastAsiaTheme="majorEastAsia"/>
        </w:rPr>
        <w:t xml:space="preserve">                               </w:t>
      </w: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p>
    <w:p>
      <w:pPr>
        <w:pStyle w:val="21"/>
        <w:adjustRightInd w:val="0"/>
        <w:snapToGrid w:val="0"/>
        <w:spacing w:before="0" w:beforeAutospacing="0" w:after="0" w:afterAutospacing="0" w:line="360" w:lineRule="auto"/>
        <w:ind w:firstLine="480"/>
        <w:rPr>
          <w:rFonts w:cs="Tahoma" w:asciiTheme="majorEastAsia" w:hAnsiTheme="majorEastAsia" w:eastAsiaTheme="majorEastAsia"/>
        </w:rPr>
      </w:pPr>
      <w:r>
        <w:rPr>
          <w:rFonts w:cs="Tahoma" w:asciiTheme="majorEastAsia" w:hAnsiTheme="majorEastAsia" w:eastAsiaTheme="majorEastAsia"/>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rPr>
      </w:pPr>
      <w:bookmarkStart w:id="375" w:name="_Toc24314"/>
      <w:r>
        <w:rPr>
          <w:rFonts w:hint="eastAsia" w:cs="Times New Roman" w:asciiTheme="majorEastAsia" w:hAnsiTheme="majorEastAsia"/>
          <w:bCs w:val="0"/>
          <w:lang w:eastAsia="zh-CN"/>
        </w:rPr>
        <w:t>投标书</w:t>
      </w:r>
      <w:bookmarkEnd w:id="368"/>
      <w:bookmarkEnd w:id="375"/>
    </w:p>
    <w:p>
      <w:pPr>
        <w:spacing w:line="360" w:lineRule="auto"/>
        <w:rPr>
          <w:rFonts w:cs="Times New Roman" w:asciiTheme="minorEastAsia" w:hAnsiTheme="minorEastAsia"/>
          <w:b/>
          <w:sz w:val="28"/>
          <w:szCs w:val="28"/>
        </w:rPr>
      </w:pPr>
    </w:p>
    <w:p>
      <w:pPr>
        <w:spacing w:line="360" w:lineRule="auto"/>
        <w:rPr>
          <w:rFonts w:cs="Times New Roman" w:asciiTheme="minorEastAsia" w:hAnsiTheme="minorEastAsia"/>
          <w:sz w:val="24"/>
          <w:szCs w:val="24"/>
          <w:lang w:val="zh-CN" w:eastAsia="zh-CN"/>
        </w:rPr>
      </w:pPr>
      <w:r>
        <w:rPr>
          <w:rFonts w:hint="eastAsia" w:cs="Times New Roman" w:asciiTheme="minorEastAsia" w:hAnsiTheme="minorEastAsia"/>
          <w:sz w:val="24"/>
          <w:szCs w:val="24"/>
          <w:lang w:eastAsia="zh-CN"/>
        </w:rPr>
        <w:t>广水市政府采购中心：</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lang w:eastAsia="zh-CN"/>
        </w:rPr>
        <w:t>依据贵方</w:t>
      </w:r>
      <w:r>
        <w:rPr>
          <w:rFonts w:hint="eastAsia" w:cs="Times New Roman" w:asciiTheme="minorEastAsia" w:hAnsiTheme="minorEastAsia"/>
          <w:sz w:val="24"/>
          <w:szCs w:val="24"/>
          <w:u w:val="single"/>
          <w:lang w:eastAsia="zh-CN"/>
        </w:rPr>
        <w:t xml:space="preserve"> （项目名称） </w:t>
      </w:r>
      <w:r>
        <w:rPr>
          <w:rFonts w:hint="eastAsia" w:cs="Times New Roman" w:asciiTheme="minorEastAsia" w:hAnsiTheme="minorEastAsia"/>
          <w:sz w:val="24"/>
          <w:szCs w:val="24"/>
          <w:lang w:eastAsia="zh-CN"/>
        </w:rPr>
        <w:t>项目（项目编号：</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lang w:eastAsia="zh-CN"/>
        </w:rPr>
        <w:t>）招标的投标邀请，我方代表</w:t>
      </w:r>
      <w:r>
        <w:rPr>
          <w:rFonts w:hint="eastAsia" w:cs="Times New Roman" w:asciiTheme="minorEastAsia" w:hAnsiTheme="minorEastAsia"/>
          <w:sz w:val="24"/>
          <w:szCs w:val="24"/>
          <w:u w:val="single"/>
          <w:lang w:eastAsia="zh-CN"/>
        </w:rPr>
        <w:t xml:space="preserve"> （姓名、职务） </w:t>
      </w:r>
      <w:r>
        <w:rPr>
          <w:rFonts w:hint="eastAsia" w:cs="Times New Roman" w:asciiTheme="minorEastAsia" w:hAnsiTheme="minorEastAsia"/>
          <w:sz w:val="24"/>
          <w:szCs w:val="24"/>
          <w:lang w:eastAsia="zh-CN"/>
        </w:rPr>
        <w:t>经正式授权并代表投标人</w:t>
      </w:r>
      <w:r>
        <w:rPr>
          <w:rFonts w:hint="eastAsia" w:cs="Times New Roman" w:asciiTheme="minorEastAsia" w:hAnsiTheme="minorEastAsia"/>
          <w:sz w:val="24"/>
          <w:szCs w:val="24"/>
          <w:u w:val="single"/>
          <w:lang w:eastAsia="zh-CN"/>
        </w:rPr>
        <w:t xml:space="preserve"> （投标人全称 ） </w:t>
      </w:r>
      <w:r>
        <w:rPr>
          <w:rFonts w:hint="eastAsia" w:cs="Times New Roman" w:asciiTheme="minorEastAsia" w:hAnsiTheme="minorEastAsia"/>
          <w:sz w:val="24"/>
          <w:szCs w:val="24"/>
          <w:lang w:eastAsia="zh-CN"/>
        </w:rPr>
        <w:t>提交下述文件。</w:t>
      </w:r>
    </w:p>
    <w:p>
      <w:pPr>
        <w:numPr>
          <w:ilvl w:val="0"/>
          <w:numId w:val="100"/>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资格证明文件；</w:t>
      </w:r>
      <w:r>
        <w:rPr>
          <w:rFonts w:ascii="宋体" w:hAnsi="宋体" w:eastAsia="宋体" w:cs="Times New Roman"/>
          <w:b/>
          <w:kern w:val="0"/>
          <w:sz w:val="24"/>
          <w:szCs w:val="32"/>
        </w:rPr>
        <w:t xml:space="preserve"> </w:t>
      </w:r>
    </w:p>
    <w:p>
      <w:pPr>
        <w:numPr>
          <w:ilvl w:val="0"/>
          <w:numId w:val="100"/>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商务文件；</w:t>
      </w:r>
    </w:p>
    <w:p>
      <w:pPr>
        <w:numPr>
          <w:ilvl w:val="0"/>
          <w:numId w:val="100"/>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技术、服务文件。</w:t>
      </w:r>
    </w:p>
    <w:p>
      <w:pPr>
        <w:numPr>
          <w:ilvl w:val="0"/>
          <w:numId w:val="100"/>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投标数据文件（Excel格式）</w:t>
      </w:r>
    </w:p>
    <w:p>
      <w:pPr>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pPr>
        <w:pStyle w:val="49"/>
        <w:numPr>
          <w:ilvl w:val="0"/>
          <w:numId w:val="101"/>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应提交和交付的货物（工程或服务）投标总价为</w:t>
      </w:r>
      <w:r>
        <w:rPr>
          <w:rFonts w:hint="eastAsia" w:asciiTheme="minorEastAsia" w:hAnsiTheme="minorEastAsia"/>
          <w:sz w:val="24"/>
          <w:szCs w:val="24"/>
          <w:u w:val="single"/>
        </w:rPr>
        <w:t xml:space="preserve">  详见“投标数据文件”中开标一览表（含明细）总报价  </w:t>
      </w:r>
      <w:r>
        <w:rPr>
          <w:rFonts w:hint="eastAsia" w:asciiTheme="minorEastAsia" w:hAnsiTheme="minorEastAsia"/>
          <w:sz w:val="24"/>
          <w:szCs w:val="24"/>
        </w:rPr>
        <w:t>；</w:t>
      </w:r>
    </w:p>
    <w:p>
      <w:pPr>
        <w:pStyle w:val="49"/>
        <w:numPr>
          <w:ilvl w:val="0"/>
          <w:numId w:val="101"/>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按招标文件的约定履行合同责任和义务；</w:t>
      </w:r>
    </w:p>
    <w:p>
      <w:pPr>
        <w:pStyle w:val="49"/>
        <w:numPr>
          <w:ilvl w:val="0"/>
          <w:numId w:val="101"/>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已详细审查全部招标文件，包括 （修正或补充文件）（如果有的话） ，对此无异议；</w:t>
      </w:r>
    </w:p>
    <w:p>
      <w:pPr>
        <w:pStyle w:val="49"/>
        <w:numPr>
          <w:ilvl w:val="0"/>
          <w:numId w:val="101"/>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投标有效期为自递交投标文件截止之日起，共</w:t>
      </w:r>
      <w:r>
        <w:rPr>
          <w:rFonts w:hint="eastAsia" w:asciiTheme="minorEastAsia" w:hAnsiTheme="minorEastAsia"/>
          <w:sz w:val="24"/>
          <w:szCs w:val="24"/>
          <w:u w:val="single"/>
        </w:rPr>
        <w:t xml:space="preserve">      </w:t>
      </w:r>
      <w:r>
        <w:rPr>
          <w:rFonts w:hint="eastAsia" w:asciiTheme="minorEastAsia" w:hAnsiTheme="minorEastAsia"/>
          <w:sz w:val="24"/>
          <w:szCs w:val="24"/>
        </w:rPr>
        <w:t>个日历天；</w:t>
      </w:r>
    </w:p>
    <w:p>
      <w:pPr>
        <w:pStyle w:val="49"/>
        <w:numPr>
          <w:ilvl w:val="0"/>
          <w:numId w:val="101"/>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提供按照贵方可能要求的与投标有关的一切数据或资料；</w:t>
      </w:r>
    </w:p>
    <w:p>
      <w:pPr>
        <w:pStyle w:val="49"/>
        <w:numPr>
          <w:ilvl w:val="0"/>
          <w:numId w:val="101"/>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与投标有关的一切正式往来信函请寄：</w:t>
      </w:r>
      <w:r>
        <w:rPr>
          <w:rFonts w:hint="eastAsia" w:asciiTheme="minorEastAsia" w:hAnsiTheme="minorEastAsia"/>
          <w:sz w:val="24"/>
          <w:szCs w:val="24"/>
          <w:u w:val="single"/>
        </w:rPr>
        <w:t xml:space="preserve">                              </w:t>
      </w:r>
      <w:r>
        <w:rPr>
          <w:rFonts w:hint="eastAsia" w:asciiTheme="minorEastAsia" w:hAnsiTheme="minorEastAsia"/>
          <w:sz w:val="24"/>
          <w:szCs w:val="24"/>
        </w:rPr>
        <w:t>。</w:t>
      </w:r>
    </w:p>
    <w:p>
      <w:pPr>
        <w:autoSpaceDE w:val="0"/>
        <w:autoSpaceDN w:val="0"/>
        <w:adjustRightInd w:val="0"/>
        <w:spacing w:line="360" w:lineRule="auto"/>
        <w:ind w:right="246" w:firstLine="480" w:firstLineChars="200"/>
        <w:rPr>
          <w:rFonts w:ascii="宋体" w:hAnsi="宋体" w:eastAsia="宋体" w:cs="Times New Roman"/>
          <w:kern w:val="0"/>
          <w:sz w:val="24"/>
          <w:szCs w:val="24"/>
        </w:rPr>
      </w:pP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地  址：</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电话/传真：</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电子邮件：</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投标人(公章)：</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日    期：</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开户银行：</w:t>
      </w:r>
      <w:r>
        <w:rPr>
          <w:rFonts w:hint="eastAsia" w:asciiTheme="minorEastAsia" w:hAnsiTheme="minorEastAsia"/>
          <w:sz w:val="24"/>
          <w:szCs w:val="24"/>
          <w:u w:val="single"/>
        </w:rPr>
        <w:t xml:space="preserve">                               </w:t>
      </w:r>
    </w:p>
    <w:p>
      <w:pPr>
        <w:spacing w:line="360" w:lineRule="auto"/>
        <w:ind w:firstLine="480" w:firstLineChars="200"/>
        <w:rPr>
          <w:rFonts w:cs="Times New Roman" w:asciiTheme="minorEastAsia" w:hAnsiTheme="minorEastAsia"/>
          <w:sz w:val="24"/>
          <w:szCs w:val="24"/>
        </w:rPr>
        <w:sectPr>
          <w:pgSz w:w="11906" w:h="16838"/>
          <w:pgMar w:top="1134" w:right="1191" w:bottom="1134" w:left="1191" w:header="851" w:footer="992" w:gutter="0"/>
          <w:pgNumType w:fmt="decimal"/>
          <w:cols w:space="425" w:num="1"/>
          <w:docGrid w:type="lines" w:linePitch="312" w:charSpace="0"/>
        </w:sectPr>
      </w:pPr>
      <w:r>
        <w:rPr>
          <w:rFonts w:hint="eastAsia" w:asciiTheme="minorEastAsia" w:hAnsiTheme="minorEastAsia"/>
          <w:sz w:val="24"/>
          <w:szCs w:val="24"/>
        </w:rPr>
        <w:t>帐号/行号：</w:t>
      </w:r>
      <w:r>
        <w:rPr>
          <w:rFonts w:hint="eastAsia" w:asciiTheme="minorEastAsia" w:hAnsiTheme="minorEastAsia"/>
          <w:sz w:val="24"/>
          <w:szCs w:val="24"/>
          <w:u w:val="single"/>
        </w:rPr>
        <w:t xml:space="preserve">                              </w:t>
      </w:r>
    </w:p>
    <w:p>
      <w:pPr>
        <w:pStyle w:val="4"/>
        <w:numPr>
          <w:ilvl w:val="0"/>
          <w:numId w:val="93"/>
        </w:numPr>
        <w:spacing w:before="40" w:after="40" w:line="360" w:lineRule="auto"/>
        <w:ind w:left="1285" w:hanging="1280" w:hangingChars="400"/>
        <w:jc w:val="left"/>
        <w:rPr>
          <w:rFonts w:cs="Times New Roman" w:asciiTheme="majorEastAsia" w:hAnsiTheme="majorEastAsia"/>
          <w:bCs w:val="0"/>
          <w:lang w:eastAsia="zh-CN"/>
        </w:rPr>
      </w:pPr>
      <w:bookmarkStart w:id="376" w:name="_Toc511894529"/>
      <w:bookmarkStart w:id="377" w:name="_Toc27888"/>
      <w:r>
        <w:rPr>
          <w:rFonts w:hint="eastAsia" w:cs="Times New Roman" w:asciiTheme="majorEastAsia" w:hAnsiTheme="majorEastAsia"/>
          <w:bCs w:val="0"/>
          <w:lang w:eastAsia="zh-CN"/>
        </w:rPr>
        <w:t>中小企业声明函</w:t>
      </w:r>
      <w:bookmarkEnd w:id="376"/>
      <w:r>
        <w:rPr>
          <w:rFonts w:hint="eastAsia" w:cs="Times New Roman" w:asciiTheme="majorEastAsia" w:hAnsiTheme="majorEastAsia"/>
          <w:bCs w:val="0"/>
          <w:lang w:eastAsia="zh-CN"/>
        </w:rPr>
        <w:t>（货物）</w:t>
      </w:r>
      <w:bookmarkEnd w:id="377"/>
    </w:p>
    <w:p>
      <w:pPr>
        <w:spacing w:line="360" w:lineRule="auto"/>
        <w:rPr>
          <w:rFonts w:cs="Times New Roman" w:asciiTheme="minorEastAsia" w:hAnsiTheme="minorEastAsia"/>
          <w:b/>
          <w:sz w:val="28"/>
          <w:szCs w:val="28"/>
        </w:rPr>
      </w:pPr>
    </w:p>
    <w:p>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 xml:space="preserve">行业 ；制造商为 </w:t>
      </w:r>
      <w:r>
        <w:rPr>
          <w:rFonts w:hint="eastAsia"/>
          <w:sz w:val="24"/>
          <w:szCs w:val="24"/>
          <w:u w:val="single"/>
        </w:rPr>
        <w:t xml:space="preserve">（企业名称）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pPr>
        <w:spacing w:line="360" w:lineRule="auto"/>
        <w:ind w:left="1091" w:hanging="1087" w:hangingChars="453"/>
        <w:jc w:val="left"/>
        <w:rPr>
          <w:rFonts w:ascii="宋体" w:hAnsi="宋体" w:eastAsia="宋体" w:cs="Times New Roman"/>
          <w:b/>
          <w:bCs/>
          <w:sz w:val="24"/>
          <w:szCs w:val="24"/>
        </w:rPr>
      </w:pPr>
    </w:p>
    <w:p>
      <w:pPr>
        <w:spacing w:line="360" w:lineRule="auto"/>
        <w:ind w:left="1091" w:hanging="1087" w:hangingChars="453"/>
        <w:jc w:val="left"/>
        <w:rPr>
          <w:rFonts w:ascii="宋体" w:hAnsi="宋体" w:eastAsia="宋体" w:cs="Times New Roman"/>
          <w:b/>
          <w:bCs/>
          <w:sz w:val="24"/>
          <w:szCs w:val="24"/>
        </w:rPr>
      </w:pPr>
    </w:p>
    <w:p>
      <w:pPr>
        <w:spacing w:line="360" w:lineRule="auto"/>
        <w:ind w:left="1091" w:hanging="1087"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以联合体方式参与项目投标的供应商，应由联合体各方盖章。</w:t>
      </w:r>
    </w:p>
    <w:p>
      <w:pPr>
        <w:spacing w:before="100" w:beforeAutospacing="1" w:after="100" w:afterAutospacing="1" w:line="276" w:lineRule="auto"/>
        <w:ind w:firstLine="3436" w:firstLineChars="1432"/>
        <w:rPr>
          <w:rFonts w:ascii="宋体" w:hAnsi="宋体" w:eastAsia="宋体" w:cs="Times New Roman"/>
          <w:bCs/>
          <w:sz w:val="24"/>
          <w:szCs w:val="21"/>
          <w:lang w:val="zh-CN"/>
        </w:rPr>
      </w:pPr>
    </w:p>
    <w:p>
      <w:pPr>
        <w:spacing w:before="100" w:beforeAutospacing="1" w:after="100" w:afterAutospacing="1" w:line="276" w:lineRule="auto"/>
        <w:ind w:firstLine="3436" w:firstLineChars="1432"/>
        <w:rPr>
          <w:rFonts w:ascii="宋体" w:hAnsi="宋体" w:eastAsia="宋体" w:cs="Times New Roman"/>
          <w:bCs/>
          <w:sz w:val="24"/>
          <w:szCs w:val="21"/>
          <w:lang w:val="zh-CN" w:eastAsia="zh-CN"/>
        </w:rPr>
      </w:pPr>
      <w:r>
        <w:rPr>
          <w:rFonts w:hint="eastAsia" w:ascii="宋体" w:hAnsi="宋体" w:eastAsia="宋体" w:cs="Times New Roman"/>
          <w:bCs/>
          <w:sz w:val="24"/>
          <w:szCs w:val="21"/>
          <w:lang w:val="zh-CN"/>
        </w:rPr>
        <w:t>投标人</w:t>
      </w:r>
      <w:r>
        <w:rPr>
          <w:rFonts w:hint="eastAsia" w:ascii="宋体" w:hAnsi="宋体" w:eastAsia="宋体" w:cs="Times New Roman"/>
          <w:bCs/>
          <w:sz w:val="24"/>
          <w:szCs w:val="21"/>
          <w:lang w:val="zh-CN" w:eastAsia="zh-CN"/>
        </w:rPr>
        <w:t>（公章）：</w:t>
      </w:r>
      <w:r>
        <w:rPr>
          <w:rFonts w:hint="eastAsia" w:ascii="宋体" w:hAnsi="宋体" w:eastAsia="宋体" w:cs="Times New Roman"/>
          <w:bCs/>
          <w:sz w:val="24"/>
          <w:szCs w:val="21"/>
          <w:u w:val="single"/>
          <w:lang w:val="zh-CN" w:eastAsia="zh-CN"/>
        </w:rPr>
        <w:t xml:space="preserve">     </w:t>
      </w:r>
      <w:r>
        <w:rPr>
          <w:rFonts w:hint="eastAsia" w:ascii="宋体" w:hAnsi="宋体" w:eastAsia="宋体" w:cs="Times New Roman"/>
          <w:bCs/>
          <w:sz w:val="24"/>
          <w:szCs w:val="21"/>
          <w:u w:val="single"/>
          <w:lang w:val="zh-CN"/>
        </w:rPr>
        <w:t xml:space="preserve">                </w:t>
      </w:r>
      <w:r>
        <w:rPr>
          <w:rFonts w:hint="eastAsia" w:ascii="宋体" w:hAnsi="宋体" w:eastAsia="宋体" w:cs="Times New Roman"/>
          <w:bCs/>
          <w:sz w:val="24"/>
          <w:szCs w:val="21"/>
          <w:u w:val="single"/>
          <w:lang w:val="zh-CN" w:eastAsia="zh-CN"/>
        </w:rPr>
        <w:t xml:space="preserve">     </w:t>
      </w:r>
    </w:p>
    <w:p>
      <w:pPr>
        <w:spacing w:before="100" w:beforeAutospacing="1" w:after="100" w:afterAutospacing="1" w:line="276" w:lineRule="auto"/>
        <w:ind w:firstLine="3436" w:firstLineChars="1432"/>
        <w:rPr>
          <w:rFonts w:cs="Times New Roman" w:asciiTheme="minorEastAsia" w:hAnsiTheme="minorEastAsia"/>
          <w:sz w:val="24"/>
          <w:szCs w:val="24"/>
          <w:lang w:eastAsia="zh-CN"/>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pgNumType w:fmt="decimal"/>
          <w:cols w:space="425" w:num="1"/>
          <w:docGrid w:type="linesAndChars" w:linePitch="312" w:charSpace="0"/>
        </w:sectPr>
      </w:pPr>
    </w:p>
    <w:p>
      <w:pPr>
        <w:spacing w:line="360" w:lineRule="auto"/>
        <w:ind w:firstLine="435"/>
        <w:jc w:val="center"/>
        <w:rPr>
          <w:rFonts w:cs="Times New Roman" w:asciiTheme="majorEastAsia" w:hAnsiTheme="majorEastAsia"/>
          <w:bCs/>
          <w:lang w:eastAsia="zh-CN"/>
        </w:rPr>
      </w:pPr>
      <w:bookmarkStart w:id="378" w:name="_Toc511894530"/>
      <w:r>
        <w:rPr>
          <w:rFonts w:hint="eastAsia" w:cs="@仿宋_GB2312" w:asciiTheme="majorEastAsia" w:hAnsiTheme="majorEastAsia" w:eastAsiaTheme="majorEastAsia"/>
          <w:b/>
          <w:sz w:val="32"/>
          <w:szCs w:val="32"/>
        </w:rPr>
        <w:t>中小企业声明函</w:t>
      </w:r>
      <w:bookmarkEnd w:id="378"/>
      <w:r>
        <w:rPr>
          <w:rFonts w:hint="eastAsia" w:cs="@仿宋_GB2312" w:asciiTheme="majorEastAsia" w:hAnsiTheme="majorEastAsia" w:eastAsiaTheme="majorEastAsia"/>
          <w:b/>
          <w:sz w:val="32"/>
          <w:szCs w:val="32"/>
        </w:rPr>
        <w:t>（工程、服务）</w:t>
      </w:r>
    </w:p>
    <w:p>
      <w:pPr>
        <w:spacing w:line="360" w:lineRule="auto"/>
        <w:rPr>
          <w:rFonts w:cs="Times New Roman" w:asciiTheme="minorEastAsia" w:hAnsiTheme="minorEastAsia"/>
          <w:b/>
          <w:sz w:val="28"/>
          <w:szCs w:val="28"/>
        </w:rPr>
      </w:pPr>
    </w:p>
    <w:p>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 </w:t>
      </w:r>
      <w:r>
        <w:rPr>
          <w:rFonts w:hint="eastAsia"/>
          <w:sz w:val="24"/>
          <w:szCs w:val="24"/>
        </w:rPr>
        <w:t>；</w:t>
      </w:r>
    </w:p>
    <w:p>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pPr>
        <w:spacing w:line="360" w:lineRule="auto"/>
        <w:ind w:left="1091" w:hanging="1091" w:hangingChars="453"/>
        <w:jc w:val="left"/>
        <w:rPr>
          <w:rFonts w:ascii="宋体" w:hAnsi="宋体" w:eastAsia="宋体" w:cs="Times New Roman"/>
          <w:b/>
          <w:sz w:val="24"/>
          <w:szCs w:val="21"/>
          <w:lang w:val="zh-CN"/>
        </w:rPr>
      </w:pPr>
    </w:p>
    <w:p>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276" w:lineRule="auto"/>
        <w:ind w:firstLine="3436" w:firstLineChars="1432"/>
        <w:rPr>
          <w:rFonts w:ascii="宋体" w:hAnsi="宋体" w:eastAsia="宋体" w:cs="Times New Roman"/>
          <w:bCs/>
          <w:sz w:val="24"/>
          <w:szCs w:val="21"/>
          <w:lang w:val="zh-CN" w:eastAsia="zh-CN"/>
        </w:rPr>
      </w:pPr>
      <w:r>
        <w:rPr>
          <w:rFonts w:hint="eastAsia" w:ascii="宋体" w:hAnsi="宋体" w:eastAsia="宋体" w:cs="Times New Roman"/>
          <w:bCs/>
          <w:sz w:val="24"/>
          <w:szCs w:val="21"/>
          <w:lang w:val="zh-CN"/>
        </w:rPr>
        <w:t>投标人</w:t>
      </w:r>
      <w:r>
        <w:rPr>
          <w:rFonts w:hint="eastAsia" w:ascii="宋体" w:hAnsi="宋体" w:eastAsia="宋体" w:cs="Times New Roman"/>
          <w:bCs/>
          <w:sz w:val="24"/>
          <w:szCs w:val="21"/>
          <w:lang w:val="zh-CN" w:eastAsia="zh-CN"/>
        </w:rPr>
        <w:t>（公章）：</w:t>
      </w:r>
      <w:r>
        <w:rPr>
          <w:rFonts w:hint="eastAsia" w:ascii="宋体" w:hAnsi="宋体" w:eastAsia="宋体" w:cs="Times New Roman"/>
          <w:bCs/>
          <w:sz w:val="24"/>
          <w:szCs w:val="21"/>
          <w:u w:val="single"/>
          <w:lang w:val="zh-CN" w:eastAsia="zh-CN"/>
        </w:rPr>
        <w:t xml:space="preserve">     </w:t>
      </w:r>
      <w:r>
        <w:rPr>
          <w:rFonts w:hint="eastAsia" w:ascii="宋体" w:hAnsi="宋体" w:eastAsia="宋体" w:cs="Times New Roman"/>
          <w:bCs/>
          <w:sz w:val="24"/>
          <w:szCs w:val="21"/>
          <w:u w:val="single"/>
          <w:lang w:val="zh-CN"/>
        </w:rPr>
        <w:t xml:space="preserve">                </w:t>
      </w:r>
      <w:r>
        <w:rPr>
          <w:rFonts w:hint="eastAsia" w:ascii="宋体" w:hAnsi="宋体" w:eastAsia="宋体" w:cs="Times New Roman"/>
          <w:bCs/>
          <w:sz w:val="24"/>
          <w:szCs w:val="21"/>
          <w:u w:val="single"/>
          <w:lang w:val="zh-CN" w:eastAsia="zh-CN"/>
        </w:rPr>
        <w:t xml:space="preserve">     </w:t>
      </w:r>
    </w:p>
    <w:p>
      <w:pPr>
        <w:spacing w:before="100" w:beforeAutospacing="1" w:after="100" w:afterAutospacing="1" w:line="360" w:lineRule="auto"/>
        <w:ind w:firstLine="3436" w:firstLineChars="1432"/>
        <w:rPr>
          <w:b/>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widowControl/>
        <w:jc w:val="left"/>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br w:type="page"/>
      </w:r>
    </w:p>
    <w:p>
      <w:pPr>
        <w:keepNext/>
        <w:keepLines/>
        <w:numPr>
          <w:ilvl w:val="0"/>
          <w:numId w:val="93"/>
        </w:numPr>
        <w:spacing w:before="40" w:after="40" w:line="360" w:lineRule="auto"/>
        <w:ind w:left="1285" w:hanging="1285" w:hangingChars="400"/>
        <w:jc w:val="left"/>
        <w:outlineLvl w:val="1"/>
        <w:rPr>
          <w:rFonts w:cs="Times New Roman" w:asciiTheme="majorEastAsia" w:hAnsiTheme="majorEastAsia" w:eastAsiaTheme="majorEastAsia"/>
          <w:b/>
          <w:sz w:val="32"/>
          <w:szCs w:val="32"/>
        </w:rPr>
      </w:pPr>
      <w:bookmarkStart w:id="379" w:name="_Toc520299364"/>
      <w:bookmarkStart w:id="380" w:name="_Toc5516"/>
      <w:r>
        <w:rPr>
          <w:rFonts w:hint="eastAsia" w:cs="Times New Roman" w:asciiTheme="majorEastAsia" w:hAnsiTheme="majorEastAsia" w:eastAsiaTheme="majorEastAsia"/>
          <w:b/>
          <w:sz w:val="32"/>
          <w:szCs w:val="32"/>
        </w:rPr>
        <w:t>创新产品应用示范推荐目录内中小企业声明函</w:t>
      </w:r>
      <w:bookmarkEnd w:id="379"/>
      <w:r>
        <w:rPr>
          <w:rFonts w:hint="eastAsia" w:cs="Times New Roman" w:asciiTheme="majorEastAsia" w:hAnsiTheme="majorEastAsia" w:eastAsiaTheme="majorEastAsia"/>
          <w:b/>
          <w:sz w:val="32"/>
          <w:szCs w:val="32"/>
        </w:rPr>
        <w:t>（货物）</w:t>
      </w:r>
      <w:bookmarkEnd w:id="380"/>
    </w:p>
    <w:p>
      <w:pPr>
        <w:spacing w:line="360" w:lineRule="auto"/>
        <w:ind w:firstLine="435"/>
        <w:jc w:val="left"/>
        <w:rPr>
          <w:rFonts w:asciiTheme="majorEastAsia" w:hAnsiTheme="majorEastAsia" w:eastAsiaTheme="majorEastAsia"/>
        </w:rPr>
      </w:pPr>
      <w:r>
        <w:rPr>
          <w:rFonts w:hint="eastAsia" w:cs="@仿宋_GB2312" w:asciiTheme="majorEastAsia" w:hAnsiTheme="majorEastAsia" w:eastAsiaTheme="majorEastAsia"/>
          <w:b/>
          <w:sz w:val="24"/>
          <w:szCs w:val="24"/>
        </w:rPr>
        <w:t xml:space="preserve"> </w:t>
      </w:r>
    </w:p>
    <w:p>
      <w:pPr>
        <w:spacing w:line="360" w:lineRule="auto"/>
        <w:ind w:firstLine="435"/>
        <w:rPr>
          <w:rFonts w:cs="@仿宋_GB2312" w:asciiTheme="majorEastAsia" w:hAnsiTheme="majorEastAsia" w:eastAsiaTheme="majorEastAsia"/>
          <w:strike/>
          <w:spacing w:val="6"/>
          <w:sz w:val="24"/>
          <w:szCs w:val="24"/>
        </w:rPr>
      </w:pPr>
      <w:r>
        <w:rPr>
          <w:rFonts w:hint="eastAsia" w:cs="@仿宋_GB2312" w:asciiTheme="majorEastAsia" w:hAnsiTheme="majorEastAsia" w:eastAsiaTheme="majorEastAsia"/>
          <w:spacing w:val="6"/>
          <w:sz w:val="24"/>
          <w:szCs w:val="24"/>
        </w:rPr>
        <w:t>本公司（联合体）郑重声明，根据《政府采购促进中小企业发展管理办法》（财库[2020]46 号）和《</w:t>
      </w:r>
      <w:r>
        <w:rPr>
          <w:rFonts w:hint="eastAsia" w:cs="@仿宋_GB2312" w:asciiTheme="majorEastAsia" w:hAnsiTheme="majorEastAsia" w:eastAsiaTheme="majorEastAsia"/>
          <w:spacing w:val="6"/>
          <w:sz w:val="24"/>
          <w:szCs w:val="24"/>
          <w:lang w:eastAsia="zh-CN"/>
        </w:rPr>
        <w:t>广水市财政局</w:t>
      </w:r>
      <w:r>
        <w:rPr>
          <w:rFonts w:hint="eastAsia" w:cs="@仿宋_GB2312" w:asciiTheme="majorEastAsia" w:hAnsiTheme="majorEastAsia" w:eastAsiaTheme="majorEastAsia"/>
          <w:spacing w:val="6"/>
          <w:sz w:val="24"/>
          <w:szCs w:val="24"/>
        </w:rPr>
        <w:t xml:space="preserve"> 湖北省经济和信息化厅关于进一步加强政府采购促进中小企业发展的通知》（鄂财采发[2021]8号）的规定，本公司（联合体）参加</w:t>
      </w:r>
      <w:r>
        <w:rPr>
          <w:rFonts w:hint="eastAsia" w:cs="@仿宋_GB2312" w:asciiTheme="majorEastAsia" w:hAnsiTheme="majorEastAsia" w:eastAsiaTheme="majorEastAsia"/>
          <w:i/>
          <w:spacing w:val="6"/>
          <w:sz w:val="24"/>
          <w:szCs w:val="24"/>
          <w:u w:val="single"/>
        </w:rPr>
        <w:t xml:space="preserve"> （单位名称） </w:t>
      </w:r>
      <w:r>
        <w:rPr>
          <w:rFonts w:hint="eastAsia" w:cs="@仿宋_GB2312" w:asciiTheme="majorEastAsia" w:hAnsiTheme="majorEastAsia" w:eastAsiaTheme="majorEastAsia"/>
          <w:spacing w:val="6"/>
          <w:sz w:val="24"/>
          <w:szCs w:val="24"/>
        </w:rPr>
        <w:t>的</w:t>
      </w:r>
      <w:r>
        <w:rPr>
          <w:rFonts w:hint="eastAsia" w:cs="@仿宋_GB2312" w:asciiTheme="majorEastAsia" w:hAnsiTheme="majorEastAsia" w:eastAsiaTheme="majorEastAsia"/>
          <w:i/>
          <w:spacing w:val="6"/>
          <w:sz w:val="24"/>
          <w:szCs w:val="24"/>
          <w:u w:val="single"/>
        </w:rPr>
        <w:t xml:space="preserve"> （项目名称） </w:t>
      </w:r>
      <w:r>
        <w:rPr>
          <w:rFonts w:hint="eastAsia" w:cs="@仿宋_GB2312" w:asciiTheme="majorEastAsia" w:hAnsiTheme="majorEastAsia" w:eastAsiaTheme="majorEastAsia"/>
          <w:spacing w:val="6"/>
          <w:sz w:val="24"/>
          <w:szCs w:val="24"/>
        </w:rPr>
        <w:t>采购活动，提供的货物全部由</w:t>
      </w:r>
      <w:r>
        <w:rPr>
          <w:rFonts w:hint="eastAsia" w:ascii="宋体" w:hAnsi="宋体"/>
          <w:bCs/>
          <w:kern w:val="0"/>
          <w:sz w:val="24"/>
          <w:szCs w:val="24"/>
          <w:lang w:val="zh-CN"/>
        </w:rPr>
        <w:t>行政单位颁发的（有效期内）创新产品应用示范推荐目录内的</w:t>
      </w:r>
      <w:r>
        <w:rPr>
          <w:rFonts w:hint="eastAsia" w:cs="@仿宋_GB2312" w:asciiTheme="majorEastAsia" w:hAnsiTheme="majorEastAsia" w:eastAsiaTheme="majorEastAsia"/>
          <w:spacing w:val="6"/>
          <w:sz w:val="24"/>
          <w:szCs w:val="24"/>
        </w:rPr>
        <w:t>符合政策要求的中小企业制造（即货物符合上述条件的中小企业制造且使用该企业商号或者注册商标）。相关企业（含联合体中的企业、签订分包意向协议的企业）的具体情况如下：</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 ；属于行政单位颁发的（有效期内）创新产品应用示范推荐目录内的产品，制造商为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 ；属于行政单位颁发的（有效期内）创新产品应用示范推荐目录内的产品，制造商为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360" w:lineRule="auto"/>
        <w:ind w:left="1091" w:hanging="1091" w:hangingChars="453"/>
        <w:jc w:val="left"/>
        <w:rPr>
          <w:rFonts w:cs="Times New Roman" w:asciiTheme="majorEastAsia" w:hAnsiTheme="majorEastAsia" w:eastAsiaTheme="majorEastAsia"/>
          <w:b/>
          <w:bCs/>
          <w:sz w:val="24"/>
          <w:szCs w:val="24"/>
        </w:rPr>
      </w:pPr>
    </w:p>
    <w:p>
      <w:pPr>
        <w:spacing w:line="360" w:lineRule="auto"/>
        <w:ind w:left="1091" w:hanging="1091" w:hangingChars="453"/>
        <w:jc w:val="left"/>
        <w:rPr>
          <w:rFonts w:cs="Courier New" w:asciiTheme="majorEastAsia" w:hAnsiTheme="majorEastAsia" w:eastAsiaTheme="majorEastAsia"/>
          <w:sz w:val="24"/>
          <w:szCs w:val="21"/>
        </w:rPr>
      </w:pPr>
      <w:r>
        <w:rPr>
          <w:rFonts w:hint="eastAsia" w:cs="Times New Roman" w:asciiTheme="majorEastAsia" w:hAnsiTheme="majorEastAsia" w:eastAsiaTheme="majorEastAsia"/>
          <w:b/>
          <w:bCs/>
          <w:sz w:val="24"/>
          <w:szCs w:val="24"/>
        </w:rPr>
        <w:t>说明：</w:t>
      </w:r>
      <w:r>
        <w:rPr>
          <w:rFonts w:hint="eastAsia" w:cs="Times New Roman" w:asciiTheme="majorEastAsia" w:hAnsiTheme="majorEastAsia" w:eastAsiaTheme="majorEastAsia"/>
          <w:bCs/>
          <w:sz w:val="24"/>
          <w:szCs w:val="24"/>
        </w:rPr>
        <w:t>1、</w:t>
      </w:r>
      <w:r>
        <w:rPr>
          <w:rFonts w:hint="eastAsia" w:cs="Courier New" w:asciiTheme="majorEastAsia" w:hAnsiTheme="majorEastAsia" w:eastAsiaTheme="majorEastAsia"/>
          <w:sz w:val="24"/>
          <w:szCs w:val="21"/>
        </w:rPr>
        <w:t>以联合体方式参与项目投标的供应商，应由联合体各方盖章；</w:t>
      </w:r>
    </w:p>
    <w:p>
      <w:pPr>
        <w:spacing w:line="360" w:lineRule="auto"/>
        <w:ind w:left="982" w:leftChars="350" w:hanging="247" w:hangingChars="103"/>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2、行政单位颁发的（有效期内）创新产品应用示范推荐目录。</w:t>
      </w:r>
    </w:p>
    <w:p>
      <w:pPr>
        <w:spacing w:before="100" w:beforeAutospacing="1" w:after="100" w:afterAutospacing="1" w:line="276" w:lineRule="auto"/>
        <w:ind w:firstLine="3436" w:firstLineChars="1432"/>
        <w:rPr>
          <w:rFonts w:cs="Times New Roman" w:asciiTheme="majorEastAsia" w:hAnsiTheme="majorEastAsia" w:eastAsiaTheme="majorEastAsia"/>
          <w:bCs/>
          <w:strike/>
          <w:sz w:val="24"/>
          <w:szCs w:val="21"/>
          <w:lang w:val="zh-CN"/>
        </w:rPr>
      </w:pP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r>
        <w:rPr>
          <w:rFonts w:hint="eastAsia" w:cs="Times New Roman" w:asciiTheme="majorEastAsia" w:hAnsiTheme="majorEastAsia" w:eastAsiaTheme="majorEastAsia"/>
          <w:bCs/>
          <w:sz w:val="24"/>
          <w:szCs w:val="21"/>
          <w:lang w:val="zh-CN"/>
        </w:rPr>
        <w:t>投标人（电子公章）：</w:t>
      </w:r>
      <w:r>
        <w:rPr>
          <w:rFonts w:hint="eastAsia" w:cs="Times New Roman" w:asciiTheme="majorEastAsia" w:hAnsiTheme="majorEastAsia" w:eastAsiaTheme="majorEastAsia"/>
          <w:bCs/>
          <w:sz w:val="24"/>
          <w:szCs w:val="21"/>
          <w:u w:val="single"/>
          <w:lang w:val="zh-CN"/>
        </w:rPr>
        <w:t xml:space="preserve">                          </w:t>
      </w:r>
    </w:p>
    <w:p>
      <w:pPr>
        <w:spacing w:before="100" w:beforeAutospacing="1" w:after="100" w:afterAutospacing="1" w:line="276" w:lineRule="auto"/>
        <w:ind w:firstLine="3436" w:firstLineChars="1432"/>
        <w:rPr>
          <w:rFonts w:asciiTheme="majorEastAsia" w:hAnsiTheme="majorEastAsia" w:eastAsiaTheme="majorEastAsia"/>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r>
        <w:rPr>
          <w:rFonts w:asciiTheme="majorEastAsia" w:hAnsiTheme="majorEastAsia" w:eastAsiaTheme="majorEastAsia"/>
        </w:rPr>
        <w:br w:type="page"/>
      </w: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4"/>
          <w:u w:val="single"/>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p>
    <w:p>
      <w:pPr>
        <w:keepNext/>
        <w:keepLines/>
        <w:numPr>
          <w:ilvl w:val="0"/>
          <w:numId w:val="93"/>
        </w:numPr>
        <w:spacing w:before="40" w:after="40" w:line="360" w:lineRule="auto"/>
        <w:ind w:left="1285" w:hanging="1285" w:hangingChars="400"/>
        <w:jc w:val="left"/>
        <w:outlineLvl w:val="1"/>
        <w:rPr>
          <w:rFonts w:cs="Times New Roman" w:asciiTheme="majorEastAsia" w:hAnsiTheme="majorEastAsia" w:eastAsiaTheme="majorEastAsia"/>
          <w:b/>
          <w:sz w:val="32"/>
          <w:szCs w:val="32"/>
        </w:rPr>
      </w:pPr>
      <w:bookmarkStart w:id="381" w:name="_Toc25264"/>
      <w:r>
        <w:rPr>
          <w:rFonts w:hint="eastAsia" w:cs="Times New Roman" w:asciiTheme="majorEastAsia" w:hAnsiTheme="majorEastAsia" w:eastAsiaTheme="majorEastAsia"/>
          <w:b/>
          <w:sz w:val="32"/>
          <w:szCs w:val="32"/>
        </w:rPr>
        <w:t>节能环保产品中小企业声明函(货物)</w:t>
      </w:r>
      <w:bookmarkEnd w:id="381"/>
    </w:p>
    <w:p>
      <w:pPr>
        <w:spacing w:line="360" w:lineRule="auto"/>
        <w:ind w:firstLine="435"/>
        <w:rPr>
          <w:rFonts w:cs="Arial" w:asciiTheme="majorEastAsia" w:hAnsiTheme="majorEastAsia" w:eastAsiaTheme="majorEastAsia"/>
          <w:sz w:val="24"/>
          <w:szCs w:val="24"/>
        </w:rPr>
      </w:pPr>
      <w:r>
        <w:rPr>
          <w:rFonts w:hint="eastAsia" w:cs="@仿宋_GB2312" w:asciiTheme="majorEastAsia" w:hAnsiTheme="majorEastAsia" w:eastAsiaTheme="majorEastAsia"/>
          <w:b/>
          <w:sz w:val="24"/>
          <w:szCs w:val="24"/>
        </w:rPr>
        <w:t xml:space="preserve"> </w:t>
      </w:r>
    </w:p>
    <w:p>
      <w:pPr>
        <w:spacing w:line="360" w:lineRule="auto"/>
        <w:ind w:firstLine="435"/>
        <w:rPr>
          <w:rFonts w:cs="@仿宋_GB2312" w:asciiTheme="majorEastAsia" w:hAnsiTheme="majorEastAsia" w:eastAsiaTheme="majorEastAsia"/>
          <w:spacing w:val="6"/>
          <w:sz w:val="24"/>
          <w:szCs w:val="24"/>
        </w:rPr>
      </w:pPr>
      <w:r>
        <w:rPr>
          <w:rFonts w:hint="eastAsia" w:cs="@仿宋_GB2312" w:asciiTheme="majorEastAsia" w:hAnsiTheme="majorEastAsia" w:eastAsiaTheme="majorEastAsia"/>
          <w:spacing w:val="6"/>
          <w:sz w:val="24"/>
          <w:szCs w:val="24"/>
        </w:rPr>
        <w:t>本公司（联合体）郑重声明，根据《政府采购促进中小企业发展管理办法》（财库[2020]46 号）和《</w:t>
      </w:r>
      <w:r>
        <w:rPr>
          <w:rFonts w:hint="eastAsia" w:cs="@仿宋_GB2312" w:asciiTheme="majorEastAsia" w:hAnsiTheme="majorEastAsia" w:eastAsiaTheme="majorEastAsia"/>
          <w:spacing w:val="6"/>
          <w:sz w:val="24"/>
          <w:szCs w:val="24"/>
          <w:lang w:eastAsia="zh-CN"/>
        </w:rPr>
        <w:t>广水市财政局</w:t>
      </w:r>
      <w:r>
        <w:rPr>
          <w:rFonts w:hint="eastAsia" w:cs="@仿宋_GB2312" w:asciiTheme="majorEastAsia" w:hAnsiTheme="majorEastAsia" w:eastAsiaTheme="majorEastAsia"/>
          <w:spacing w:val="6"/>
          <w:sz w:val="24"/>
          <w:szCs w:val="24"/>
        </w:rPr>
        <w:t xml:space="preserve"> 湖北省经济和信息化厅关于进一步加强政府采购促进中小企业发展的通知》（鄂财采发[2021]8号）的规定，本公司（联合体）参加</w:t>
      </w:r>
      <w:r>
        <w:rPr>
          <w:rFonts w:hint="eastAsia" w:cs="@仿宋_GB2312" w:asciiTheme="majorEastAsia" w:hAnsiTheme="majorEastAsia" w:eastAsiaTheme="majorEastAsia"/>
          <w:i/>
          <w:spacing w:val="6"/>
          <w:sz w:val="24"/>
          <w:szCs w:val="24"/>
          <w:u w:val="single"/>
        </w:rPr>
        <w:t xml:space="preserve"> （单位名称） </w:t>
      </w:r>
      <w:r>
        <w:rPr>
          <w:rFonts w:hint="eastAsia" w:cs="@仿宋_GB2312" w:asciiTheme="majorEastAsia" w:hAnsiTheme="majorEastAsia" w:eastAsiaTheme="majorEastAsia"/>
          <w:spacing w:val="6"/>
          <w:sz w:val="24"/>
          <w:szCs w:val="24"/>
        </w:rPr>
        <w:t>的</w:t>
      </w:r>
      <w:r>
        <w:rPr>
          <w:rFonts w:hint="eastAsia" w:cs="@仿宋_GB2312" w:asciiTheme="majorEastAsia" w:hAnsiTheme="majorEastAsia" w:eastAsiaTheme="majorEastAsia"/>
          <w:i/>
          <w:spacing w:val="6"/>
          <w:sz w:val="24"/>
          <w:szCs w:val="24"/>
          <w:u w:val="single"/>
        </w:rPr>
        <w:t xml:space="preserve"> （项目名称） </w:t>
      </w:r>
      <w:r>
        <w:rPr>
          <w:rFonts w:hint="eastAsia" w:cs="@仿宋_GB2312" w:asciiTheme="majorEastAsia" w:hAnsiTheme="majorEastAsia" w:eastAsiaTheme="majorEastAsia"/>
          <w:spacing w:val="6"/>
          <w:sz w:val="24"/>
          <w:szCs w:val="24"/>
        </w:rPr>
        <w:t>采购活动，提供的货物全部是政府优先采购《节能产品政府采购品目清单》《环境标志产品政府采购品目清单》范围内且获得相关证书符合政策要求的中小企业制造（即货物符合上述条件的中小企业制造且使用该企业商号或者注册商标）。相关企业（含联合体中的企业、签订分包意向协议的企业）的具体情况如下：</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行业，属于《节能产品政府采购品目清单》《环境标志产品政府采购品目清单》范围内且获得相关证书的产品；制造商为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行业，属于《节能产品政府采购品目清单》《环境标志产品政府采购品目清单》范围内且获得相关证书的产品；制造疝为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360" w:lineRule="auto"/>
        <w:ind w:left="1091" w:hanging="1091" w:hangingChars="453"/>
        <w:jc w:val="left"/>
        <w:rPr>
          <w:rFonts w:cs="Times New Roman" w:asciiTheme="majorEastAsia" w:hAnsiTheme="majorEastAsia" w:eastAsiaTheme="majorEastAsia"/>
          <w:b/>
          <w:bCs/>
          <w:sz w:val="24"/>
          <w:szCs w:val="24"/>
        </w:rPr>
      </w:pPr>
    </w:p>
    <w:p>
      <w:pPr>
        <w:spacing w:line="360" w:lineRule="auto"/>
        <w:ind w:left="1091" w:hanging="1091" w:hangingChars="453"/>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
          <w:bCs/>
          <w:sz w:val="24"/>
          <w:szCs w:val="24"/>
        </w:rPr>
        <w:t>说明：</w:t>
      </w:r>
      <w:r>
        <w:rPr>
          <w:rFonts w:hint="eastAsia" w:cs="Courier New" w:asciiTheme="majorEastAsia" w:hAnsiTheme="majorEastAsia" w:eastAsiaTheme="majorEastAsia"/>
          <w:sz w:val="24"/>
          <w:szCs w:val="21"/>
        </w:rPr>
        <w:t>以联合体方式参与项目投标的供应商，应由联合体各方盖章。</w:t>
      </w: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r>
        <w:rPr>
          <w:rFonts w:hint="eastAsia" w:cs="Times New Roman" w:asciiTheme="majorEastAsia" w:hAnsiTheme="majorEastAsia" w:eastAsiaTheme="majorEastAsia"/>
          <w:bCs/>
          <w:sz w:val="24"/>
          <w:szCs w:val="21"/>
          <w:lang w:val="zh-CN"/>
        </w:rPr>
        <w:t>投标人（电子公章）：</w:t>
      </w:r>
      <w:r>
        <w:rPr>
          <w:rFonts w:hint="eastAsia" w:cs="Times New Roman" w:asciiTheme="majorEastAsia" w:hAnsiTheme="majorEastAsia" w:eastAsiaTheme="majorEastAsia"/>
          <w:bCs/>
          <w:sz w:val="24"/>
          <w:szCs w:val="21"/>
          <w:u w:val="single"/>
          <w:lang w:val="zh-CN"/>
        </w:rPr>
        <w:t xml:space="preserve">                          </w:t>
      </w:r>
    </w:p>
    <w:p>
      <w:pPr>
        <w:spacing w:before="100" w:beforeAutospacing="1" w:after="100" w:afterAutospacing="1" w:line="276" w:lineRule="auto"/>
        <w:ind w:firstLine="3436" w:firstLineChars="1432"/>
        <w:rPr>
          <w:rFonts w:asciiTheme="majorEastAsia" w:hAnsiTheme="majorEastAsia" w:eastAsiaTheme="majorEastAsia"/>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p>
    <w:p>
      <w:pPr>
        <w:sectPr>
          <w:pgSz w:w="11906" w:h="16838"/>
          <w:pgMar w:top="1134" w:right="1191" w:bottom="1134" w:left="1191" w:header="851" w:footer="992" w:gutter="0"/>
          <w:pgNumType w:fmt="decimal"/>
          <w:cols w:space="425" w:num="1"/>
          <w:docGrid w:type="lines" w:linePitch="312" w:charSpace="0"/>
        </w:sectPr>
      </w:pPr>
    </w:p>
    <w:p>
      <w:pPr>
        <w:spacing w:line="360" w:lineRule="auto"/>
        <w:ind w:firstLine="435"/>
        <w:jc w:val="center"/>
        <w:rPr>
          <w:rFonts w:cs="Times New Roman" w:asciiTheme="majorEastAsia" w:hAnsiTheme="majorEastAsia"/>
          <w:bCs/>
          <w:lang w:eastAsia="zh-CN"/>
        </w:rPr>
      </w:pPr>
      <w:bookmarkStart w:id="382" w:name="_Toc511894531"/>
      <w:bookmarkStart w:id="383" w:name="_Toc476153619"/>
      <w:r>
        <w:rPr>
          <w:rFonts w:hint="eastAsia" w:cs="@仿宋_GB2312" w:asciiTheme="majorEastAsia" w:hAnsiTheme="majorEastAsia" w:eastAsiaTheme="majorEastAsia"/>
          <w:b/>
          <w:sz w:val="32"/>
          <w:szCs w:val="32"/>
        </w:rPr>
        <w:t>中小企业划型标准</w:t>
      </w:r>
      <w:bookmarkEnd w:id="382"/>
      <w:bookmarkEnd w:id="383"/>
    </w:p>
    <w:p>
      <w:pPr>
        <w:adjustRightInd w:val="0"/>
        <w:snapToGrid w:val="0"/>
        <w:spacing w:line="360" w:lineRule="auto"/>
        <w:rPr>
          <w:sz w:val="24"/>
          <w:szCs w:val="24"/>
        </w:rPr>
      </w:pPr>
    </w:p>
    <w:p>
      <w:pPr>
        <w:adjustRightInd w:val="0"/>
        <w:snapToGrid w:val="0"/>
        <w:spacing w:line="360" w:lineRule="auto"/>
        <w:ind w:left="723" w:hanging="723" w:hangingChars="300"/>
        <w:rPr>
          <w:sz w:val="24"/>
          <w:szCs w:val="24"/>
        </w:rPr>
      </w:pPr>
      <w:r>
        <w:rPr>
          <w:rFonts w:hint="eastAsia"/>
          <w:b/>
          <w:sz w:val="24"/>
          <w:szCs w:val="24"/>
        </w:rPr>
        <w:t>依据：</w:t>
      </w:r>
      <w:r>
        <w:rPr>
          <w:sz w:val="24"/>
          <w:szCs w:val="24"/>
        </w:rPr>
        <w:t>工业和信息化部 国家统计局 国家发改委 财政部</w:t>
      </w:r>
      <w:r>
        <w:rPr>
          <w:rFonts w:hint="eastAsia"/>
          <w:sz w:val="24"/>
          <w:szCs w:val="24"/>
        </w:rPr>
        <w:t>《</w:t>
      </w:r>
      <w:r>
        <w:rPr>
          <w:sz w:val="24"/>
          <w:szCs w:val="24"/>
        </w:rPr>
        <w:t>关于印发中小企业划型标准规定的通知</w:t>
      </w:r>
      <w:bookmarkStart w:id="384" w:name="_Toc31869"/>
      <w:r>
        <w:rPr>
          <w:rFonts w:hint="eastAsia"/>
          <w:sz w:val="24"/>
          <w:szCs w:val="24"/>
        </w:rPr>
        <w:t>》</w:t>
      </w:r>
      <w:r>
        <w:rPr>
          <w:sz w:val="24"/>
          <w:szCs w:val="24"/>
        </w:rPr>
        <w:t>（工信部联企业</w:t>
      </w:r>
      <w:r>
        <w:rPr>
          <w:rFonts w:hint="eastAsia" w:asciiTheme="minorEastAsia" w:hAnsiTheme="minorEastAsia"/>
          <w:sz w:val="24"/>
          <w:szCs w:val="24"/>
        </w:rPr>
        <w:t>〔2011〕</w:t>
      </w:r>
      <w:r>
        <w:rPr>
          <w:rFonts w:asciiTheme="minorEastAsia" w:hAnsiTheme="minorEastAsia"/>
          <w:sz w:val="24"/>
          <w:szCs w:val="24"/>
        </w:rPr>
        <w:t>300</w:t>
      </w:r>
      <w:r>
        <w:rPr>
          <w:sz w:val="24"/>
          <w:szCs w:val="24"/>
        </w:rPr>
        <w:t>号）</w:t>
      </w:r>
      <w:bookmarkEnd w:id="384"/>
      <w:bookmarkStart w:id="385" w:name="_Toc494665004"/>
      <w:bookmarkStart w:id="386" w:name="_Toc494702274"/>
      <w:bookmarkStart w:id="387" w:name="_Toc494665557"/>
      <w:bookmarkStart w:id="388" w:name="_Toc494721104"/>
      <w:bookmarkStart w:id="389" w:name="_Toc494745321"/>
      <w:bookmarkStart w:id="390" w:name="_Toc511894532"/>
      <w:bookmarkStart w:id="391" w:name="_Toc494665954"/>
      <w:r>
        <w:rPr>
          <w:rFonts w:hint="eastAsia"/>
          <w:sz w:val="24"/>
          <w:szCs w:val="24"/>
        </w:rPr>
        <w:t>，投标人可通过工业和信息化部开发的中小企业规模类型自测小程序在线自测，国务院客户端和工业和信息化部网站上均有小程序链接。</w:t>
      </w:r>
    </w:p>
    <w:p>
      <w:pPr>
        <w:spacing w:line="360" w:lineRule="auto"/>
        <w:ind w:left="720" w:hanging="720" w:hangingChars="300"/>
        <w:rPr>
          <w:sz w:val="24"/>
          <w:szCs w:val="24"/>
        </w:rPr>
      </w:pPr>
    </w:p>
    <w:p>
      <w:pPr>
        <w:spacing w:line="360" w:lineRule="auto"/>
        <w:ind w:left="720" w:hanging="720" w:hangingChars="300"/>
        <w:rPr>
          <w:sz w:val="24"/>
          <w:szCs w:val="24"/>
        </w:rPr>
      </w:pPr>
    </w:p>
    <w:p>
      <w:pPr>
        <w:spacing w:line="360" w:lineRule="auto"/>
        <w:ind w:firstLine="435"/>
        <w:jc w:val="center"/>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创新产品应用示范推荐目录</w:t>
      </w:r>
    </w:p>
    <w:p>
      <w:pPr>
        <w:spacing w:line="360" w:lineRule="auto"/>
        <w:ind w:firstLine="435"/>
        <w:jc w:val="center"/>
        <w:rPr>
          <w:rFonts w:cs="@仿宋_GB2312" w:asciiTheme="majorEastAsia" w:hAnsiTheme="majorEastAsia" w:eastAsiaTheme="majorEastAsia"/>
          <w:b/>
          <w:sz w:val="32"/>
          <w:szCs w:val="32"/>
        </w:rPr>
      </w:pPr>
    </w:p>
    <w:p>
      <w:pPr>
        <w:adjustRightInd w:val="0"/>
        <w:snapToGrid w:val="0"/>
        <w:spacing w:line="360" w:lineRule="auto"/>
        <w:ind w:left="723" w:hanging="723" w:hangingChars="300"/>
        <w:rPr>
          <w:rFonts w:asciiTheme="minorEastAsia" w:hAnsiTheme="minorEastAsia"/>
          <w:sz w:val="24"/>
          <w:szCs w:val="24"/>
        </w:rPr>
      </w:pPr>
      <w:r>
        <w:rPr>
          <w:rFonts w:hint="eastAsia" w:asciiTheme="minorEastAsia" w:hAnsiTheme="minorEastAsia"/>
          <w:b/>
          <w:sz w:val="24"/>
          <w:szCs w:val="24"/>
        </w:rPr>
        <w:t>依据：</w:t>
      </w:r>
      <w:r>
        <w:rPr>
          <w:rFonts w:hint="eastAsia" w:asciiTheme="minorEastAsia" w:hAnsiTheme="minorEastAsia"/>
          <w:sz w:val="24"/>
          <w:szCs w:val="24"/>
        </w:rPr>
        <w:t xml:space="preserve">湖北省经济和信息化厅 湖北省科学技术厅 湖北省发展和改革委员会 </w:t>
      </w:r>
      <w:r>
        <w:rPr>
          <w:rFonts w:hint="eastAsia" w:asciiTheme="minorEastAsia" w:hAnsiTheme="minorEastAsia"/>
          <w:sz w:val="24"/>
          <w:szCs w:val="24"/>
          <w:lang w:eastAsia="zh-CN"/>
        </w:rPr>
        <w:t>广水市财政局</w:t>
      </w:r>
      <w:r>
        <w:rPr>
          <w:rFonts w:hint="eastAsia" w:asciiTheme="minorEastAsia" w:hAnsiTheme="minorEastAsia"/>
          <w:sz w:val="24"/>
          <w:szCs w:val="24"/>
        </w:rPr>
        <w:t xml:space="preserve"> 湖北省卫生健康委员会 湖北省市场监督管理局 湖北省医疗保障局 湖北省药品监督管理局 湖北省知识产权局 中国银行保险监督管理委员会湖北监管局“关于印发《2020年湖北省创新产品应用示范推荐目录》的通知”。</w:t>
      </w:r>
    </w:p>
    <w:p>
      <w:pPr>
        <w:adjustRightInd w:val="0"/>
        <w:snapToGrid w:val="0"/>
        <w:spacing w:line="360" w:lineRule="auto"/>
        <w:rPr>
          <w:rFonts w:asciiTheme="minorEastAsia" w:hAnsiTheme="minorEastAsia"/>
          <w:sz w:val="24"/>
          <w:szCs w:val="24"/>
        </w:rPr>
      </w:pPr>
    </w:p>
    <w:p>
      <w:pPr>
        <w:spacing w:line="360" w:lineRule="auto"/>
        <w:ind w:left="720" w:hanging="720" w:hangingChars="300"/>
        <w:rPr>
          <w:sz w:val="24"/>
          <w:szCs w:val="24"/>
        </w:rPr>
      </w:pPr>
    </w:p>
    <w:p>
      <w:pPr>
        <w:spacing w:line="360" w:lineRule="auto"/>
        <w:ind w:firstLine="435"/>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节能</w:t>
      </w:r>
      <w:r>
        <w:rPr>
          <w:rFonts w:hint="eastAsia" w:cs="@仿宋_GB2312" w:asciiTheme="majorEastAsia" w:hAnsiTheme="majorEastAsia" w:eastAsiaTheme="majorEastAsia"/>
          <w:b/>
          <w:sz w:val="32"/>
          <w:szCs w:val="32"/>
        </w:rPr>
        <w:t>环保</w:t>
      </w:r>
      <w:r>
        <w:rPr>
          <w:rFonts w:hint="eastAsia" w:cs="Times New Roman" w:asciiTheme="majorEastAsia" w:hAnsiTheme="majorEastAsia" w:eastAsiaTheme="majorEastAsia"/>
          <w:b/>
          <w:sz w:val="32"/>
          <w:szCs w:val="32"/>
        </w:rPr>
        <w:t>产品</w:t>
      </w:r>
    </w:p>
    <w:p>
      <w:pPr>
        <w:spacing w:line="360" w:lineRule="auto"/>
        <w:ind w:firstLine="435"/>
        <w:jc w:val="center"/>
        <w:rPr>
          <w:rFonts w:cs="Times New Roman" w:asciiTheme="majorEastAsia" w:hAnsiTheme="majorEastAsia" w:eastAsiaTheme="majorEastAsia"/>
          <w:b/>
          <w:sz w:val="32"/>
          <w:szCs w:val="32"/>
        </w:rPr>
      </w:pPr>
    </w:p>
    <w:p>
      <w:pPr>
        <w:spacing w:line="360" w:lineRule="auto"/>
        <w:ind w:left="723" w:hanging="723" w:hangingChars="300"/>
        <w:rPr>
          <w:rFonts w:asciiTheme="majorEastAsia" w:hAnsiTheme="majorEastAsia" w:eastAsiaTheme="majorEastAsia"/>
          <w:sz w:val="24"/>
          <w:szCs w:val="24"/>
        </w:rPr>
      </w:pPr>
      <w:r>
        <w:rPr>
          <w:rFonts w:hint="eastAsia" w:asciiTheme="majorEastAsia" w:hAnsiTheme="majorEastAsia" w:eastAsiaTheme="majorEastAsia"/>
          <w:b/>
          <w:sz w:val="24"/>
          <w:szCs w:val="24"/>
        </w:rPr>
        <w:t>依据：</w:t>
      </w:r>
      <w:r>
        <w:rPr>
          <w:rFonts w:hint="eastAsia" w:asciiTheme="majorEastAsia" w:hAnsiTheme="majorEastAsia" w:eastAsiaTheme="majorEastAsia"/>
          <w:sz w:val="24"/>
          <w:szCs w:val="24"/>
        </w:rPr>
        <w:t>财政部《关于印发节能产品政府采购品目清单的通知》（财库〔2019〕19号）、《关于印发环境标志产品政府采购品目清单的通知》（财库〔2019〕18号）。</w:t>
      </w:r>
    </w:p>
    <w:p>
      <w:pPr>
        <w:widowControl/>
        <w:jc w:val="left"/>
        <w:rPr>
          <w:rFonts w:cs="Times New Roman" w:asciiTheme="majorEastAsia" w:hAnsiTheme="majorEastAsia"/>
          <w:bCs/>
        </w:rPr>
      </w:pPr>
      <w:r>
        <w:rPr>
          <w:rFonts w:cs="Times New Roman" w:asciiTheme="majorEastAsia" w:hAnsiTheme="majorEastAsia"/>
          <w:bCs/>
          <w:lang w:eastAsia="zh-CN"/>
        </w:rPr>
        <w:br w:type="page"/>
      </w: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92" w:name="_Toc11018"/>
      <w:r>
        <w:rPr>
          <w:rFonts w:hint="eastAsia" w:cs="Times New Roman" w:asciiTheme="majorEastAsia" w:hAnsiTheme="majorEastAsia"/>
          <w:bCs w:val="0"/>
          <w:lang w:eastAsia="zh-CN"/>
        </w:rPr>
        <w:t>残疾人福利性单位声明函</w:t>
      </w:r>
      <w:bookmarkEnd w:id="385"/>
      <w:bookmarkEnd w:id="386"/>
      <w:bookmarkEnd w:id="387"/>
      <w:bookmarkEnd w:id="388"/>
      <w:bookmarkEnd w:id="389"/>
      <w:bookmarkEnd w:id="390"/>
      <w:bookmarkEnd w:id="391"/>
      <w:r>
        <w:rPr>
          <w:rFonts w:hint="eastAsia" w:cs="Times New Roman" w:asciiTheme="majorEastAsia" w:hAnsiTheme="majorEastAsia"/>
          <w:bCs w:val="0"/>
          <w:lang w:eastAsia="zh-CN"/>
        </w:rPr>
        <w:t>（适用于货物类项目）</w:t>
      </w:r>
      <w:bookmarkEnd w:id="392"/>
    </w:p>
    <w:p>
      <w:pPr>
        <w:spacing w:line="360" w:lineRule="auto"/>
        <w:rPr>
          <w:rFonts w:cs="Times New Roman" w:asciiTheme="minorEastAsia" w:hAnsiTheme="minorEastAsia"/>
          <w:b/>
          <w:sz w:val="28"/>
          <w:szCs w:val="28"/>
        </w:rPr>
      </w:pPr>
    </w:p>
    <w:p>
      <w:pPr>
        <w:spacing w:line="360" w:lineRule="auto"/>
        <w:rPr>
          <w:rFonts w:cs="Times New Roman" w:asciiTheme="minorEastAsia" w:hAnsiTheme="minorEastAsia"/>
          <w:sz w:val="24"/>
          <w:szCs w:val="24"/>
          <w:lang w:val="zh-CN" w:eastAsia="zh-CN"/>
        </w:rPr>
      </w:pPr>
      <w:r>
        <w:rPr>
          <w:rFonts w:hint="eastAsia" w:cs="Times New Roman" w:asciiTheme="minorEastAsia" w:hAnsiTheme="minorEastAsia"/>
          <w:sz w:val="24"/>
          <w:szCs w:val="24"/>
          <w:lang w:eastAsia="zh-CN"/>
        </w:rPr>
        <w:t>广水市政府采购中心：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本公司（联合体）郑重声明，根据《财政部 民政部 中国残疾人联合会关于促进残疾人就业政府采购政策的通知》（财库〔2017〕141号）的规定，本公司（联合体）参加</w:t>
      </w:r>
      <w:r>
        <w:rPr>
          <w:rFonts w:hint="eastAsia" w:asciiTheme="minorEastAsia" w:hAnsiTheme="minorEastAsia"/>
          <w:sz w:val="24"/>
          <w:szCs w:val="24"/>
          <w:u w:val="single"/>
        </w:rPr>
        <w:t xml:space="preserve"> （单位名称） </w:t>
      </w:r>
      <w:r>
        <w:rPr>
          <w:rFonts w:hint="eastAsia" w:asciiTheme="minorEastAsia" w:hAnsiTheme="minorEastAsia"/>
          <w:sz w:val="24"/>
          <w:szCs w:val="24"/>
        </w:rPr>
        <w:t>的</w:t>
      </w:r>
      <w:r>
        <w:rPr>
          <w:rFonts w:hint="eastAsia" w:asciiTheme="minorEastAsia" w:hAnsiTheme="minorEastAsia"/>
          <w:sz w:val="24"/>
          <w:szCs w:val="24"/>
          <w:u w:val="single"/>
        </w:rPr>
        <w:t xml:space="preserve"> （项目名称） </w:t>
      </w:r>
      <w:r>
        <w:rPr>
          <w:rFonts w:hint="eastAsia" w:asciiTheme="minorEastAsia" w:hAnsiTheme="minorEastAsia"/>
          <w:sz w:val="24"/>
          <w:szCs w:val="24"/>
        </w:rPr>
        <w:t>采购活动，提供的货物全部由符合政策要求的残疾人福利性单位制造。相关企业（含联合体中的残疾人福利性单位、签订分包意向协议的残疾人福利性单位）的具体情况如下：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 xml:space="preserve"> （标的名称） </w:t>
      </w:r>
      <w:r>
        <w:rPr>
          <w:rFonts w:hint="eastAsia" w:asciiTheme="minorEastAsia" w:hAnsiTheme="minorEastAsia"/>
          <w:sz w:val="24"/>
          <w:szCs w:val="24"/>
        </w:rPr>
        <w:t xml:space="preserve">，制造商为 </w:t>
      </w:r>
      <w:r>
        <w:rPr>
          <w:rFonts w:hint="eastAsia" w:asciiTheme="minorEastAsia" w:hAnsiTheme="minorEastAsia"/>
          <w:sz w:val="24"/>
          <w:szCs w:val="24"/>
          <w:u w:val="single"/>
        </w:rPr>
        <w:t xml:space="preserve">（企业名称） </w:t>
      </w:r>
      <w:r>
        <w:rPr>
          <w:rFonts w:hint="eastAsia" w:asciiTheme="minorEastAsia" w:hAnsiTheme="minorEastAsia"/>
          <w:sz w:val="24"/>
          <w:szCs w:val="24"/>
        </w:rPr>
        <w:t>，属于</w:t>
      </w:r>
      <w:r>
        <w:rPr>
          <w:rFonts w:hint="eastAsia" w:asciiTheme="minorEastAsia" w:hAnsiTheme="minorEastAsia"/>
          <w:sz w:val="24"/>
          <w:szCs w:val="24"/>
          <w:u w:val="single"/>
        </w:rPr>
        <w:t xml:space="preserve"> （残疾人福利性单位） </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sz w:val="24"/>
          <w:szCs w:val="24"/>
          <w:u w:val="single"/>
        </w:rPr>
        <w:t xml:space="preserve">（标的名称） </w:t>
      </w:r>
      <w:r>
        <w:rPr>
          <w:rFonts w:hint="eastAsia" w:asciiTheme="minorEastAsia" w:hAnsiTheme="minorEastAsia"/>
          <w:sz w:val="24"/>
          <w:szCs w:val="24"/>
        </w:rPr>
        <w:t xml:space="preserve">，制造商为 </w:t>
      </w:r>
      <w:r>
        <w:rPr>
          <w:rFonts w:hint="eastAsia" w:asciiTheme="minorEastAsia" w:hAnsiTheme="minorEastAsia"/>
          <w:sz w:val="24"/>
          <w:szCs w:val="24"/>
          <w:u w:val="single"/>
        </w:rPr>
        <w:t xml:space="preserve">（企业名称） </w:t>
      </w:r>
      <w:r>
        <w:rPr>
          <w:rFonts w:hint="eastAsia" w:asciiTheme="minorEastAsia" w:hAnsiTheme="minorEastAsia"/>
          <w:sz w:val="24"/>
          <w:szCs w:val="24"/>
        </w:rPr>
        <w:t>，属于</w:t>
      </w:r>
      <w:r>
        <w:rPr>
          <w:rFonts w:hint="eastAsia" w:asciiTheme="minorEastAsia" w:hAnsiTheme="minorEastAsia"/>
          <w:sz w:val="24"/>
          <w:szCs w:val="24"/>
          <w:u w:val="single"/>
        </w:rPr>
        <w:t xml:space="preserve"> （残疾人福利性单位） </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pPr>
        <w:spacing w:line="360" w:lineRule="auto"/>
        <w:ind w:left="1091" w:hanging="1091" w:hangingChars="453"/>
        <w:jc w:val="left"/>
        <w:rPr>
          <w:rFonts w:ascii="宋体" w:hAnsi="宋体" w:eastAsia="宋体" w:cs="Times New Roman"/>
          <w:b/>
          <w:bCs/>
          <w:sz w:val="24"/>
          <w:szCs w:val="24"/>
        </w:rPr>
      </w:pPr>
    </w:p>
    <w:p>
      <w:pPr>
        <w:spacing w:line="360" w:lineRule="auto"/>
        <w:ind w:left="1091" w:hanging="1091" w:hangingChars="453"/>
        <w:jc w:val="left"/>
        <w:rPr>
          <w:rFonts w:ascii="宋体" w:hAnsi="宋体" w:eastAsia="宋体" w:cs="Times New Roman"/>
          <w:b/>
          <w:bCs/>
          <w:sz w:val="24"/>
          <w:szCs w:val="24"/>
        </w:rPr>
      </w:pPr>
    </w:p>
    <w:p>
      <w:pPr>
        <w:spacing w:line="360" w:lineRule="auto"/>
        <w:ind w:left="1091" w:hanging="1091"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以联合体方式参与项目投标的供应商，则应由联合体各方盖章。</w:t>
      </w:r>
    </w:p>
    <w:p>
      <w:pPr>
        <w:spacing w:before="100" w:beforeAutospacing="1" w:after="100" w:afterAutospacing="1" w:line="276" w:lineRule="auto"/>
        <w:ind w:firstLine="3316" w:firstLineChars="1382"/>
        <w:rPr>
          <w:rFonts w:ascii="宋体" w:hAnsi="宋体" w:eastAsia="宋体" w:cs="Times New Roman"/>
          <w:bCs/>
          <w:sz w:val="24"/>
          <w:szCs w:val="21"/>
          <w:lang w:val="zh-CN"/>
        </w:rPr>
      </w:pPr>
    </w:p>
    <w:p>
      <w:pPr>
        <w:spacing w:before="100" w:beforeAutospacing="1" w:after="100" w:afterAutospacing="1" w:line="276" w:lineRule="auto"/>
        <w:ind w:firstLine="3316" w:firstLineChars="1382"/>
        <w:rPr>
          <w:rFonts w:ascii="宋体" w:hAnsi="宋体" w:eastAsia="宋体" w:cs="Times New Roman"/>
          <w:bCs/>
          <w:sz w:val="24"/>
          <w:szCs w:val="21"/>
          <w:lang w:val="zh-CN" w:eastAsia="zh-CN"/>
        </w:rPr>
      </w:pPr>
      <w:r>
        <w:rPr>
          <w:rFonts w:hint="eastAsia" w:ascii="宋体" w:hAnsi="宋体" w:eastAsia="宋体" w:cs="Times New Roman"/>
          <w:bCs/>
          <w:sz w:val="24"/>
          <w:szCs w:val="21"/>
          <w:lang w:val="zh-CN"/>
        </w:rPr>
        <w:t>投标人</w:t>
      </w:r>
      <w:r>
        <w:rPr>
          <w:rFonts w:hint="eastAsia" w:ascii="宋体" w:hAnsi="宋体" w:eastAsia="宋体" w:cs="Times New Roman"/>
          <w:bCs/>
          <w:sz w:val="24"/>
          <w:szCs w:val="21"/>
          <w:lang w:val="zh-CN" w:eastAsia="zh-CN"/>
        </w:rPr>
        <w:t>（公章）：</w:t>
      </w:r>
      <w:r>
        <w:rPr>
          <w:rFonts w:hint="eastAsia" w:ascii="宋体" w:hAnsi="宋体" w:eastAsia="宋体" w:cs="Times New Roman"/>
          <w:bCs/>
          <w:sz w:val="24"/>
          <w:szCs w:val="21"/>
          <w:u w:val="single"/>
          <w:lang w:val="zh-CN" w:eastAsia="zh-CN"/>
        </w:rPr>
        <w:t xml:space="preserve">     </w:t>
      </w:r>
      <w:r>
        <w:rPr>
          <w:rFonts w:hint="eastAsia" w:ascii="宋体" w:hAnsi="宋体" w:eastAsia="宋体" w:cs="Times New Roman"/>
          <w:bCs/>
          <w:sz w:val="24"/>
          <w:szCs w:val="21"/>
          <w:u w:val="single"/>
          <w:lang w:val="zh-CN"/>
        </w:rPr>
        <w:t xml:space="preserve">               </w:t>
      </w:r>
      <w:r>
        <w:rPr>
          <w:rFonts w:hint="eastAsia" w:ascii="宋体" w:hAnsi="宋体" w:eastAsia="宋体" w:cs="Times New Roman"/>
          <w:bCs/>
          <w:sz w:val="24"/>
          <w:szCs w:val="21"/>
          <w:u w:val="single"/>
          <w:lang w:val="zh-CN" w:eastAsia="zh-CN"/>
        </w:rPr>
        <w:t xml:space="preserve">     </w:t>
      </w:r>
    </w:p>
    <w:p>
      <w:pPr>
        <w:spacing w:before="100" w:beforeAutospacing="1" w:after="100" w:afterAutospacing="1" w:line="276" w:lineRule="auto"/>
        <w:ind w:firstLine="3316" w:firstLineChars="1382"/>
        <w:rPr>
          <w:rFonts w:cs="Times New Roman" w:asciiTheme="majorEastAsia" w:hAnsiTheme="majorEastAsia"/>
          <w:bCs/>
          <w:lang w:eastAsia="zh-CN"/>
        </w:rPr>
        <w:sectPr>
          <w:footerReference r:id="rId10" w:type="default"/>
          <w:pgSz w:w="11906" w:h="16838"/>
          <w:pgMar w:top="1134" w:right="1191" w:bottom="1134" w:left="1191" w:header="851" w:footer="992" w:gutter="0"/>
          <w:pgNumType w:fmt="decimal"/>
          <w:cols w:space="425" w:num="1"/>
          <w:docGrid w:type="lines" w:linePitch="312" w:charSpace="0"/>
        </w:sect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spacing w:line="360" w:lineRule="auto"/>
        <w:ind w:firstLine="435"/>
        <w:jc w:val="center"/>
        <w:rPr>
          <w:rFonts w:cs="Times New Roman" w:asciiTheme="majorEastAsia" w:hAnsiTheme="majorEastAsia"/>
          <w:bCs/>
          <w:lang w:eastAsia="zh-CN"/>
        </w:rPr>
      </w:pPr>
      <w:bookmarkStart w:id="393" w:name="_Toc68535351"/>
      <w:r>
        <w:rPr>
          <w:rFonts w:hint="eastAsia" w:cs="@仿宋_GB2312" w:asciiTheme="majorEastAsia" w:hAnsiTheme="majorEastAsia" w:eastAsiaTheme="majorEastAsia"/>
          <w:b/>
          <w:sz w:val="32"/>
          <w:szCs w:val="32"/>
        </w:rPr>
        <w:t>残疾人福利性单位声明函（适用于工程类、服务类项目）</w:t>
      </w:r>
      <w:bookmarkEnd w:id="393"/>
    </w:p>
    <w:p>
      <w:pPr>
        <w:spacing w:line="360" w:lineRule="auto"/>
        <w:rPr>
          <w:rFonts w:cs="Times New Roman" w:asciiTheme="minorEastAsia" w:hAnsiTheme="minorEastAsia"/>
          <w:b/>
          <w:sz w:val="28"/>
          <w:szCs w:val="28"/>
        </w:rPr>
      </w:pPr>
    </w:p>
    <w:p>
      <w:pPr>
        <w:spacing w:line="360" w:lineRule="auto"/>
        <w:rPr>
          <w:rFonts w:cs="Times New Roman" w:asciiTheme="majorEastAsia" w:hAnsiTheme="majorEastAsia" w:eastAsiaTheme="majorEastAsia"/>
          <w:sz w:val="24"/>
          <w:szCs w:val="24"/>
          <w:lang w:eastAsia="zh-CN"/>
        </w:rPr>
      </w:pPr>
      <w:r>
        <w:rPr>
          <w:rFonts w:hint="eastAsia" w:cs="Times New Roman" w:asciiTheme="majorEastAsia" w:hAnsiTheme="majorEastAsia" w:eastAsiaTheme="majorEastAsia"/>
          <w:sz w:val="24"/>
          <w:szCs w:val="24"/>
          <w:lang w:eastAsia="zh-CN"/>
        </w:rPr>
        <w:t>广水市政府采购中心：</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本公司（联合体）郑重声明，根据《财政部 民政部 中国残疾人联合会关于促进残疾人就业政府采购政策的通知》（财库〔2017〕141号）的规定，本公司（联合体）参加</w:t>
      </w:r>
      <w:r>
        <w:rPr>
          <w:rFonts w:hint="eastAsia" w:asciiTheme="majorEastAsia" w:hAnsiTheme="majorEastAsia" w:eastAsiaTheme="majorEastAsia"/>
          <w:sz w:val="24"/>
          <w:szCs w:val="24"/>
          <w:u w:val="single"/>
        </w:rPr>
        <w:t xml:space="preserve"> （单位名称） </w:t>
      </w:r>
      <w:r>
        <w:rPr>
          <w:rFonts w:hint="eastAsia" w:asciiTheme="majorEastAsia" w:hAnsiTheme="majorEastAsia" w:eastAsiaTheme="majorEastAsia"/>
          <w:sz w:val="24"/>
          <w:szCs w:val="24"/>
        </w:rPr>
        <w:t>的</w:t>
      </w:r>
      <w:r>
        <w:rPr>
          <w:rFonts w:hint="eastAsia" w:asciiTheme="majorEastAsia" w:hAnsiTheme="majorEastAsia" w:eastAsiaTheme="majorEastAsia"/>
          <w:sz w:val="24"/>
          <w:szCs w:val="24"/>
          <w:u w:val="single"/>
        </w:rPr>
        <w:t xml:space="preserve"> （项目名称） </w:t>
      </w:r>
      <w:r>
        <w:rPr>
          <w:rFonts w:hint="eastAsia" w:asciiTheme="majorEastAsia" w:hAnsiTheme="majorEastAsia" w:eastAsiaTheme="majorEastAsia"/>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（标的名称） </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z w:val="24"/>
          <w:szCs w:val="24"/>
          <w:u w:val="single"/>
        </w:rPr>
        <w:t xml:space="preserve"> （企业名称）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（残疾人福利性单位） </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（标的名称） </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z w:val="24"/>
          <w:szCs w:val="24"/>
          <w:u w:val="single"/>
        </w:rPr>
        <w:t xml:space="preserve"> （企业名称）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（残疾人福利性单位）</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360" w:lineRule="auto"/>
        <w:ind w:left="1087" w:hanging="1087" w:hangingChars="453"/>
        <w:jc w:val="left"/>
        <w:rPr>
          <w:rFonts w:asciiTheme="majorEastAsia" w:hAnsiTheme="majorEastAsia" w:eastAsiaTheme="majorEastAsia"/>
          <w:sz w:val="24"/>
          <w:szCs w:val="24"/>
        </w:rPr>
      </w:pPr>
    </w:p>
    <w:p>
      <w:pPr>
        <w:spacing w:line="360" w:lineRule="auto"/>
        <w:ind w:left="1091" w:hanging="1091" w:hangingChars="453"/>
        <w:jc w:val="left"/>
        <w:rPr>
          <w:rFonts w:ascii="宋体" w:hAnsi="宋体" w:eastAsia="宋体" w:cs="Times New Roman"/>
          <w:b/>
          <w:sz w:val="24"/>
          <w:szCs w:val="21"/>
          <w:lang w:val="zh-CN"/>
        </w:rPr>
      </w:pPr>
    </w:p>
    <w:p>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276" w:lineRule="auto"/>
        <w:ind w:firstLine="3316" w:firstLineChars="1382"/>
        <w:rPr>
          <w:rFonts w:ascii="宋体" w:hAnsi="宋体" w:eastAsia="宋体" w:cs="Times New Roman"/>
          <w:bCs/>
          <w:sz w:val="24"/>
          <w:szCs w:val="21"/>
          <w:lang w:val="zh-CN" w:eastAsia="zh-CN"/>
        </w:rPr>
      </w:pPr>
      <w:r>
        <w:rPr>
          <w:rFonts w:hint="eastAsia" w:ascii="宋体" w:hAnsi="宋体" w:eastAsia="宋体" w:cs="Times New Roman"/>
          <w:bCs/>
          <w:sz w:val="24"/>
          <w:szCs w:val="21"/>
          <w:lang w:val="zh-CN"/>
        </w:rPr>
        <w:t>投标人</w:t>
      </w:r>
      <w:r>
        <w:rPr>
          <w:rFonts w:hint="eastAsia" w:ascii="宋体" w:hAnsi="宋体" w:eastAsia="宋体" w:cs="Times New Roman"/>
          <w:bCs/>
          <w:sz w:val="24"/>
          <w:szCs w:val="21"/>
          <w:lang w:val="zh-CN" w:eastAsia="zh-CN"/>
        </w:rPr>
        <w:t>（公章）：</w:t>
      </w:r>
      <w:r>
        <w:rPr>
          <w:rFonts w:hint="eastAsia" w:ascii="宋体" w:hAnsi="宋体" w:eastAsia="宋体" w:cs="Times New Roman"/>
          <w:bCs/>
          <w:sz w:val="24"/>
          <w:szCs w:val="21"/>
          <w:u w:val="single"/>
          <w:lang w:val="zh-CN" w:eastAsia="zh-CN"/>
        </w:rPr>
        <w:t xml:space="preserve">     </w:t>
      </w:r>
      <w:r>
        <w:rPr>
          <w:rFonts w:hint="eastAsia" w:ascii="宋体" w:hAnsi="宋体" w:eastAsia="宋体" w:cs="Times New Roman"/>
          <w:bCs/>
          <w:sz w:val="24"/>
          <w:szCs w:val="21"/>
          <w:u w:val="single"/>
          <w:lang w:val="zh-CN"/>
        </w:rPr>
        <w:t xml:space="preserve">               </w:t>
      </w:r>
      <w:r>
        <w:rPr>
          <w:rFonts w:hint="eastAsia" w:ascii="宋体" w:hAnsi="宋体" w:eastAsia="宋体" w:cs="Times New Roman"/>
          <w:bCs/>
          <w:sz w:val="24"/>
          <w:szCs w:val="21"/>
          <w:u w:val="single"/>
          <w:lang w:val="zh-CN" w:eastAsia="zh-CN"/>
        </w:rPr>
        <w:t xml:space="preserve">     </w:t>
      </w:r>
    </w:p>
    <w:p>
      <w:pPr>
        <w:spacing w:before="100" w:beforeAutospacing="1" w:after="100" w:afterAutospacing="1" w:line="360" w:lineRule="auto"/>
        <w:ind w:firstLine="3316" w:firstLineChars="1382"/>
        <w:rPr>
          <w:rFonts w:ascii="宋体" w:hAnsi="宋体" w:eastAsia="宋体" w:cs="Times New Roman"/>
          <w:b/>
          <w:bCs/>
          <w:kern w:val="0"/>
          <w:sz w:val="24"/>
          <w:szCs w:val="21"/>
          <w:u w:val="single"/>
          <w:lang w:val="zh-CN"/>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widowControl/>
        <w:jc w:val="left"/>
        <w:rPr>
          <w:b/>
        </w:rPr>
      </w:pPr>
      <w:r>
        <w:rPr>
          <w:b/>
        </w:rPr>
        <w:br w:type="page"/>
      </w:r>
    </w:p>
    <w:p>
      <w:pPr>
        <w:spacing w:line="360" w:lineRule="auto"/>
        <w:ind w:firstLine="435"/>
        <w:jc w:val="center"/>
        <w:rPr>
          <w:rFonts w:cs="Times New Roman" w:asciiTheme="majorEastAsia" w:hAnsiTheme="majorEastAsia"/>
          <w:bCs/>
          <w:lang w:eastAsia="zh-CN"/>
        </w:rPr>
      </w:pPr>
      <w:bookmarkStart w:id="394" w:name="_Toc68535352"/>
      <w:r>
        <w:rPr>
          <w:rFonts w:hint="eastAsia" w:cs="@仿宋_GB2312" w:asciiTheme="majorEastAsia" w:hAnsiTheme="majorEastAsia" w:eastAsiaTheme="majorEastAsia"/>
          <w:b/>
          <w:sz w:val="32"/>
          <w:szCs w:val="32"/>
        </w:rPr>
        <w:t>享受政府采购支持政策的残疾人福利性单位的标准</w:t>
      </w:r>
      <w:bookmarkEnd w:id="394"/>
    </w:p>
    <w:p>
      <w:pPr>
        <w:spacing w:before="312" w:beforeLines="100" w:after="312" w:afterLines="100"/>
        <w:jc w:val="left"/>
        <w:rPr>
          <w:rFonts w:ascii="宋体" w:hAnsi="宋体" w:eastAsia="宋体"/>
          <w:sz w:val="24"/>
          <w:szCs w:val="24"/>
        </w:rPr>
      </w:pPr>
      <w:r>
        <w:rPr>
          <w:rFonts w:hint="eastAsia" w:ascii="宋体" w:hAnsi="宋体" w:eastAsia="宋体"/>
          <w:sz w:val="24"/>
          <w:szCs w:val="24"/>
        </w:rPr>
        <w:t>享受政府采购支持政策的残疾人福利性单位应当同时满足以下条件：</w:t>
      </w:r>
    </w:p>
    <w:p>
      <w:pPr>
        <w:pStyle w:val="49"/>
        <w:numPr>
          <w:ilvl w:val="0"/>
          <w:numId w:val="102"/>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安置的残疾人占本单位在职职工人数的比例不低于25%（含25%），并且安置的残疾人人数不少于10人（含10人）；</w:t>
      </w:r>
    </w:p>
    <w:p>
      <w:pPr>
        <w:pStyle w:val="49"/>
        <w:numPr>
          <w:ilvl w:val="0"/>
          <w:numId w:val="102"/>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依法与安置的每位残疾人签订了一年以上（含一年）的劳动合同或服务协议；</w:t>
      </w:r>
    </w:p>
    <w:p>
      <w:pPr>
        <w:pStyle w:val="49"/>
        <w:numPr>
          <w:ilvl w:val="0"/>
          <w:numId w:val="102"/>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为安置的每位残疾人按月足额缴纳了基本养老保险、基本医疗保险、失业保险、工伤保险和生育保险等社会保险费；</w:t>
      </w:r>
    </w:p>
    <w:p>
      <w:pPr>
        <w:pStyle w:val="49"/>
        <w:numPr>
          <w:ilvl w:val="0"/>
          <w:numId w:val="102"/>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通过银行等金融机构向安置的每位残疾人，按月支付了不低于单位所在区县适用的经省级人民政府批准的月最低工资标准的工资；</w:t>
      </w:r>
    </w:p>
    <w:p>
      <w:pPr>
        <w:pStyle w:val="49"/>
        <w:numPr>
          <w:ilvl w:val="0"/>
          <w:numId w:val="102"/>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pPr>
        <w:pStyle w:val="4"/>
        <w:numPr>
          <w:ilvl w:val="0"/>
          <w:numId w:val="103"/>
        </w:numPr>
        <w:spacing w:before="40" w:after="40" w:line="360" w:lineRule="auto"/>
        <w:ind w:left="1285" w:hanging="1285"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395" w:name="_Toc511895474"/>
      <w:bookmarkStart w:id="396" w:name="_Toc511894533"/>
      <w:bookmarkStart w:id="397" w:name="_Toc23069"/>
      <w:r>
        <w:rPr>
          <w:rFonts w:hint="eastAsia" w:cs="Times New Roman" w:asciiTheme="majorEastAsia" w:hAnsiTheme="majorEastAsia"/>
          <w:bCs w:val="0"/>
          <w:lang w:eastAsia="zh-CN"/>
        </w:rPr>
        <w:t>开标一览表</w:t>
      </w:r>
      <w:bookmarkEnd w:id="395"/>
      <w:bookmarkEnd w:id="396"/>
      <w:bookmarkEnd w:id="397"/>
    </w:p>
    <w:p>
      <w:pPr>
        <w:spacing w:line="360" w:lineRule="auto"/>
        <w:jc w:val="left"/>
        <w:rPr>
          <w:rFonts w:ascii="宋体" w:hAnsi="宋体"/>
          <w:b/>
          <w:sz w:val="24"/>
          <w:szCs w:val="21"/>
          <w:u w:val="single"/>
        </w:rPr>
      </w:pPr>
      <w:bookmarkStart w:id="398" w:name="_Toc511895475"/>
      <w:bookmarkStart w:id="399" w:name="_Toc511894534"/>
      <w:r>
        <w:rPr>
          <w:rFonts w:hint="eastAsia" w:ascii="宋体" w:hAnsi="宋体"/>
          <w:b/>
          <w:sz w:val="24"/>
          <w:szCs w:val="21"/>
        </w:rPr>
        <w:t>投 标 人：</w:t>
      </w:r>
    </w:p>
    <w:p>
      <w:pPr>
        <w:spacing w:line="360" w:lineRule="auto"/>
        <w:jc w:val="left"/>
        <w:rPr>
          <w:rFonts w:ascii="宋体" w:hAnsi="宋体"/>
          <w:b/>
          <w:sz w:val="24"/>
          <w:szCs w:val="21"/>
        </w:rPr>
      </w:pPr>
      <w:r>
        <w:rPr>
          <w:rFonts w:hint="eastAsia" w:ascii="宋体" w:hAnsi="宋体"/>
          <w:b/>
          <w:sz w:val="24"/>
          <w:szCs w:val="21"/>
        </w:rPr>
        <w:t>项目名称：</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bCs/>
          <w:sz w:val="24"/>
          <w:szCs w:val="21"/>
        </w:rPr>
        <w:t xml:space="preserve">                所投包号：</w:t>
      </w:r>
    </w:p>
    <w:tbl>
      <w:tblPr>
        <w:tblStyle w:val="24"/>
        <w:tblW w:w="95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shd w:val="clear" w:color="auto" w:fill="EEECE1"/>
            <w:vAlign w:val="center"/>
          </w:tcPr>
          <w:p>
            <w:pPr>
              <w:ind w:left="-105" w:leftChars="-50" w:right="-105" w:rightChars="-50"/>
              <w:jc w:val="center"/>
              <w:rPr>
                <w:rFonts w:ascii="宋体" w:hAnsi="宋体" w:cs="宋体"/>
                <w:b/>
                <w:kern w:val="0"/>
                <w:sz w:val="24"/>
              </w:rPr>
            </w:pPr>
            <w:r>
              <w:rPr>
                <w:rFonts w:hint="eastAsia" w:ascii="宋体" w:hAnsi="宋体" w:cs="仿宋_GB2312"/>
                <w:b/>
                <w:sz w:val="24"/>
                <w:szCs w:val="24"/>
              </w:rPr>
              <w:t>序号</w:t>
            </w:r>
          </w:p>
        </w:tc>
        <w:tc>
          <w:tcPr>
            <w:tcW w:w="1913"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名称</w:t>
            </w:r>
          </w:p>
        </w:tc>
        <w:tc>
          <w:tcPr>
            <w:tcW w:w="3022"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品牌、型号</w:t>
            </w:r>
          </w:p>
        </w:tc>
        <w:tc>
          <w:tcPr>
            <w:tcW w:w="1119"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数量</w:t>
            </w:r>
          </w:p>
        </w:tc>
        <w:tc>
          <w:tcPr>
            <w:tcW w:w="1134"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单价(元)</w:t>
            </w:r>
          </w:p>
        </w:tc>
        <w:tc>
          <w:tcPr>
            <w:tcW w:w="1708"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numPr>
                <w:ilvl w:val="0"/>
                <w:numId w:val="104"/>
              </w:numPr>
              <w:tabs>
                <w:tab w:val="left" w:pos="61"/>
              </w:tabs>
              <w:adjustRightInd w:val="0"/>
              <w:snapToGrid w:val="0"/>
              <w:ind w:left="-63" w:leftChars="-30" w:firstLine="0"/>
              <w:jc w:val="center"/>
              <w:rPr>
                <w:rFonts w:ascii="宋体" w:hAnsi="宋体"/>
                <w:sz w:val="24"/>
              </w:rPr>
            </w:pPr>
          </w:p>
        </w:tc>
        <w:tc>
          <w:tcPr>
            <w:tcW w:w="1913" w:type="dxa"/>
            <w:vAlign w:val="center"/>
          </w:tcPr>
          <w:p>
            <w:pPr>
              <w:spacing w:line="240" w:lineRule="atLeast"/>
              <w:ind w:left="-48" w:leftChars="-23" w:right="-65" w:rightChars="-31"/>
              <w:jc w:val="center"/>
              <w:rPr>
                <w:rFonts w:ascii="宋体" w:hAnsi="宋体" w:cs="宋体"/>
                <w:kern w:val="0"/>
                <w:sz w:val="24"/>
                <w:szCs w:val="24"/>
              </w:rPr>
            </w:pPr>
          </w:p>
        </w:tc>
        <w:tc>
          <w:tcPr>
            <w:tcW w:w="3022" w:type="dxa"/>
            <w:vAlign w:val="center"/>
          </w:tcPr>
          <w:p>
            <w:pPr>
              <w:spacing w:line="240" w:lineRule="atLeast"/>
              <w:ind w:left="-48" w:leftChars="-23" w:right="-65" w:rightChars="-31"/>
              <w:jc w:val="center"/>
              <w:rPr>
                <w:rFonts w:ascii="宋体" w:hAnsi="宋体" w:cs="宋体"/>
                <w:kern w:val="0"/>
                <w:sz w:val="24"/>
                <w:szCs w:val="24"/>
              </w:rPr>
            </w:pPr>
          </w:p>
        </w:tc>
        <w:tc>
          <w:tcPr>
            <w:tcW w:w="1119" w:type="dxa"/>
            <w:vAlign w:val="center"/>
          </w:tcPr>
          <w:p>
            <w:pPr>
              <w:spacing w:line="240" w:lineRule="atLeast"/>
              <w:ind w:left="-48" w:leftChars="-23" w:right="-65" w:rightChars="-31"/>
              <w:jc w:val="center"/>
              <w:rPr>
                <w:rFonts w:ascii="宋体" w:hAnsi="宋体" w:cs="宋体"/>
                <w:kern w:val="0"/>
                <w:sz w:val="24"/>
                <w:szCs w:val="24"/>
              </w:rPr>
            </w:pPr>
          </w:p>
        </w:tc>
        <w:tc>
          <w:tcPr>
            <w:tcW w:w="1134" w:type="dxa"/>
            <w:vAlign w:val="center"/>
          </w:tcPr>
          <w:p>
            <w:pPr>
              <w:spacing w:line="240" w:lineRule="atLeast"/>
              <w:ind w:left="-48" w:leftChars="-23" w:right="-65" w:rightChars="-31"/>
              <w:jc w:val="center"/>
              <w:rPr>
                <w:rFonts w:ascii="宋体" w:hAnsi="宋体" w:cs="宋体"/>
                <w:kern w:val="0"/>
                <w:sz w:val="24"/>
                <w:szCs w:val="24"/>
              </w:rPr>
            </w:pPr>
          </w:p>
        </w:tc>
        <w:tc>
          <w:tcPr>
            <w:tcW w:w="1708" w:type="dxa"/>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1913" w:type="dxa"/>
            <w:vAlign w:val="center"/>
          </w:tcPr>
          <w:p>
            <w:pPr>
              <w:spacing w:line="240" w:lineRule="atLeast"/>
              <w:ind w:left="-48" w:leftChars="-23" w:right="-65" w:rightChars="-31"/>
              <w:jc w:val="center"/>
              <w:rPr>
                <w:rFonts w:ascii="宋体" w:hAnsi="宋体" w:cs="宋体"/>
                <w:kern w:val="0"/>
                <w:sz w:val="24"/>
                <w:szCs w:val="24"/>
              </w:rPr>
            </w:pPr>
          </w:p>
        </w:tc>
        <w:tc>
          <w:tcPr>
            <w:tcW w:w="3022" w:type="dxa"/>
            <w:vAlign w:val="center"/>
          </w:tcPr>
          <w:p>
            <w:pPr>
              <w:spacing w:line="240" w:lineRule="atLeast"/>
              <w:ind w:left="-48" w:leftChars="-23" w:right="-65" w:rightChars="-31"/>
              <w:jc w:val="center"/>
              <w:rPr>
                <w:rFonts w:ascii="宋体" w:hAnsi="宋体" w:cs="宋体"/>
                <w:kern w:val="0"/>
                <w:sz w:val="24"/>
                <w:szCs w:val="24"/>
              </w:rPr>
            </w:pPr>
          </w:p>
        </w:tc>
        <w:tc>
          <w:tcPr>
            <w:tcW w:w="1119" w:type="dxa"/>
            <w:vAlign w:val="center"/>
          </w:tcPr>
          <w:p>
            <w:pPr>
              <w:spacing w:line="240" w:lineRule="atLeast"/>
              <w:ind w:left="-48" w:leftChars="-23" w:right="-65" w:rightChars="-31"/>
              <w:jc w:val="center"/>
              <w:rPr>
                <w:rFonts w:ascii="宋体" w:hAnsi="宋体" w:cs="宋体"/>
                <w:kern w:val="0"/>
                <w:sz w:val="24"/>
                <w:szCs w:val="24"/>
              </w:rPr>
            </w:pPr>
          </w:p>
        </w:tc>
        <w:tc>
          <w:tcPr>
            <w:tcW w:w="1134" w:type="dxa"/>
            <w:vAlign w:val="center"/>
          </w:tcPr>
          <w:p>
            <w:pPr>
              <w:spacing w:line="240" w:lineRule="atLeast"/>
              <w:ind w:left="-48" w:leftChars="-23" w:right="-65" w:rightChars="-31"/>
              <w:jc w:val="center"/>
              <w:rPr>
                <w:rFonts w:ascii="宋体" w:hAnsi="宋体" w:cs="宋体"/>
                <w:kern w:val="0"/>
                <w:sz w:val="24"/>
                <w:szCs w:val="24"/>
              </w:rPr>
            </w:pPr>
          </w:p>
        </w:tc>
        <w:tc>
          <w:tcPr>
            <w:tcW w:w="1708" w:type="dxa"/>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投标总报价</w:t>
            </w:r>
          </w:p>
        </w:tc>
        <w:tc>
          <w:tcPr>
            <w:tcW w:w="6983" w:type="dxa"/>
            <w:gridSpan w:val="4"/>
            <w:vAlign w:val="center"/>
          </w:tcPr>
          <w:p>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小写：</w:t>
            </w:r>
          </w:p>
          <w:p>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kern w:val="0"/>
                <w:sz w:val="24"/>
                <w:szCs w:val="24"/>
              </w:rPr>
            </w:pPr>
            <w:r>
              <w:rPr>
                <w:rFonts w:hint="eastAsia" w:ascii="宋体" w:hAnsi="宋体" w:cs="宋体"/>
                <w:b/>
                <w:kern w:val="0"/>
                <w:sz w:val="24"/>
                <w:szCs w:val="24"/>
              </w:rPr>
              <w:t>项目工期/交货期</w:t>
            </w:r>
          </w:p>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（服务期限）</w:t>
            </w:r>
          </w:p>
        </w:tc>
        <w:tc>
          <w:tcPr>
            <w:tcW w:w="6983" w:type="dxa"/>
            <w:gridSpan w:val="4"/>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质保期</w:t>
            </w:r>
          </w:p>
        </w:tc>
        <w:tc>
          <w:tcPr>
            <w:tcW w:w="6983" w:type="dxa"/>
            <w:gridSpan w:val="4"/>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备注</w:t>
            </w:r>
          </w:p>
        </w:tc>
        <w:tc>
          <w:tcPr>
            <w:tcW w:w="6983" w:type="dxa"/>
            <w:gridSpan w:val="4"/>
            <w:vAlign w:val="center"/>
          </w:tcPr>
          <w:p>
            <w:pPr>
              <w:ind w:left="-48" w:leftChars="-23" w:right="-48" w:rightChars="-23"/>
              <w:jc w:val="left"/>
              <w:rPr>
                <w:rFonts w:asciiTheme="minorEastAsia" w:hAnsiTheme="minorEastAsia"/>
                <w:sz w:val="24"/>
                <w:szCs w:val="24"/>
              </w:rPr>
            </w:pPr>
            <w:r>
              <w:rPr>
                <w:rFonts w:hint="eastAsia" w:asciiTheme="minorEastAsia" w:hAnsiTheme="minorEastAsia"/>
                <w:sz w:val="24"/>
                <w:szCs w:val="24"/>
              </w:rPr>
              <w:t>1）符合小型和微型企业、监狱企业、残疾人福利性单位进行价格扣除情形的，</w:t>
            </w:r>
            <w:r>
              <w:rPr>
                <w:rFonts w:hint="eastAsia" w:asciiTheme="minorEastAsia" w:hAnsiTheme="minorEastAsia"/>
                <w:b/>
                <w:sz w:val="24"/>
                <w:szCs w:val="24"/>
              </w:rPr>
              <w:t>需扣除的价格</w:t>
            </w:r>
            <w:r>
              <w:rPr>
                <w:rFonts w:hint="eastAsia" w:asciiTheme="minorEastAsia" w:hAnsiTheme="minorEastAsia"/>
                <w:sz w:val="24"/>
                <w:szCs w:val="24"/>
              </w:rPr>
              <w:t>合计（大写）：</w:t>
            </w:r>
          </w:p>
          <w:p>
            <w:pPr>
              <w:ind w:left="-48" w:leftChars="-23" w:right="-48" w:rightChars="-23"/>
              <w:jc w:val="left"/>
              <w:rPr>
                <w:rFonts w:asciiTheme="minorEastAsia" w:hAnsiTheme="minorEastAsia"/>
                <w:sz w:val="24"/>
                <w:szCs w:val="24"/>
              </w:rPr>
            </w:pPr>
            <w:r>
              <w:rPr>
                <w:rFonts w:hint="eastAsia" w:asciiTheme="minorEastAsia" w:hAnsiTheme="minorEastAsia"/>
                <w:sz w:val="24"/>
                <w:szCs w:val="24"/>
              </w:rPr>
              <w:t>2）价格扣除后，</w:t>
            </w:r>
            <w:r>
              <w:rPr>
                <w:rFonts w:hint="eastAsia" w:asciiTheme="minorEastAsia" w:hAnsiTheme="minorEastAsia"/>
                <w:b/>
                <w:sz w:val="24"/>
                <w:szCs w:val="24"/>
              </w:rPr>
              <w:t>参与评审的价格</w:t>
            </w:r>
            <w:r>
              <w:rPr>
                <w:rFonts w:hint="eastAsia" w:asciiTheme="minorEastAsia" w:hAnsiTheme="minorEastAsia"/>
                <w:sz w:val="24"/>
                <w:szCs w:val="24"/>
              </w:rPr>
              <w:t>合计（大写）：</w:t>
            </w:r>
          </w:p>
          <w:p>
            <w:pPr>
              <w:ind w:left="-48" w:leftChars="-23" w:right="-48" w:rightChars="-23"/>
              <w:jc w:val="left"/>
              <w:rPr>
                <w:rFonts w:asciiTheme="minorEastAsia" w:hAnsiTheme="minorEastAsia"/>
                <w:sz w:val="24"/>
                <w:szCs w:val="24"/>
              </w:rPr>
            </w:pPr>
            <w:r>
              <w:rPr>
                <w:rFonts w:hint="eastAsia" w:asciiTheme="minorEastAsia" w:hAnsiTheme="minorEastAsia"/>
                <w:sz w:val="24"/>
                <w:szCs w:val="24"/>
              </w:rPr>
              <w:t>3）以联合体投标的，</w:t>
            </w:r>
            <w:r>
              <w:rPr>
                <w:rFonts w:asciiTheme="minorEastAsia" w:hAnsiTheme="minorEastAsia"/>
                <w:sz w:val="24"/>
                <w:szCs w:val="24"/>
              </w:rPr>
              <w:t>联合协议中约定小型、微型企业的协议合同金额占到联合体协议合同总金额的</w:t>
            </w:r>
            <w:r>
              <w:rPr>
                <w:rFonts w:hint="eastAsia" w:asciiTheme="minorEastAsia" w:hAnsiTheme="minorEastAsia"/>
                <w:sz w:val="24"/>
                <w:szCs w:val="24"/>
              </w:rPr>
              <w:t>%</w:t>
            </w:r>
          </w:p>
        </w:tc>
      </w:tr>
    </w:tbl>
    <w:p>
      <w:pPr>
        <w:spacing w:line="360" w:lineRule="auto"/>
        <w:ind w:left="1087" w:hanging="1087" w:hangingChars="453"/>
        <w:jc w:val="left"/>
        <w:rPr>
          <w:rFonts w:ascii="宋体" w:hAnsi="宋体"/>
          <w:sz w:val="24"/>
        </w:rPr>
      </w:pPr>
      <w:r>
        <w:rPr>
          <w:rFonts w:hint="eastAsia" w:ascii="宋体" w:hAnsi="宋体"/>
          <w:sz w:val="24"/>
        </w:rPr>
        <w:t>1、所有</w:t>
      </w:r>
      <w:r>
        <w:rPr>
          <w:rFonts w:hint="eastAsia" w:ascii="宋体" w:hAnsi="宋体" w:cs="Courier New"/>
          <w:sz w:val="24"/>
          <w:szCs w:val="21"/>
        </w:rPr>
        <w:t>价格</w:t>
      </w:r>
      <w:r>
        <w:rPr>
          <w:rFonts w:hint="eastAsia" w:ascii="宋体" w:hAnsi="宋体"/>
          <w:sz w:val="24"/>
        </w:rPr>
        <w:t>均用人民币表示。</w:t>
      </w:r>
    </w:p>
    <w:p>
      <w:pPr>
        <w:spacing w:line="360" w:lineRule="auto"/>
        <w:jc w:val="left"/>
        <w:rPr>
          <w:rFonts w:ascii="宋体" w:hAnsi="宋体"/>
          <w:sz w:val="24"/>
          <w:szCs w:val="24"/>
        </w:rPr>
      </w:pPr>
      <w:r>
        <w:rPr>
          <w:rFonts w:hint="eastAsia" w:ascii="宋体" w:hAnsi="宋体"/>
          <w:sz w:val="24"/>
          <w:szCs w:val="24"/>
        </w:rPr>
        <w:t>2、价格应按照招标文件第二章“投标人须知”中第12条的要求进行报价。</w:t>
      </w:r>
    </w:p>
    <w:p>
      <w:pPr>
        <w:spacing w:line="360" w:lineRule="auto"/>
        <w:jc w:val="left"/>
        <w:rPr>
          <w:rFonts w:ascii="宋体" w:hAnsi="宋体"/>
          <w:sz w:val="24"/>
          <w:szCs w:val="24"/>
        </w:rPr>
      </w:pPr>
      <w:r>
        <w:rPr>
          <w:rFonts w:hint="eastAsia" w:ascii="宋体" w:hAnsi="宋体"/>
          <w:sz w:val="24"/>
          <w:szCs w:val="24"/>
        </w:rPr>
        <w:t>3、“备注”栏适用于存在价格扣除的情形，投标人可视自身实际情况如实进行填报。</w:t>
      </w:r>
    </w:p>
    <w:p>
      <w:pPr>
        <w:spacing w:line="360" w:lineRule="auto"/>
        <w:jc w:val="left"/>
        <w:rPr>
          <w:rFonts w:ascii="宋体" w:hAnsi="宋体"/>
          <w:sz w:val="24"/>
          <w:szCs w:val="24"/>
        </w:rPr>
      </w:pPr>
      <w:r>
        <w:rPr>
          <w:rFonts w:hint="eastAsia" w:ascii="宋体" w:hAnsi="宋体"/>
          <w:sz w:val="24"/>
          <w:szCs w:val="24"/>
        </w:rPr>
        <w:t>5、本表应按要求由投标人法人或法人授权代表签字，并加盖投标人公章，否则将按照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2168" w:firstLineChars="900"/>
        <w:rPr>
          <w:rFonts w:ascii="宋体" w:hAnsi="宋体"/>
          <w:b/>
          <w:bCs/>
          <w:sz w:val="24"/>
          <w:szCs w:val="21"/>
          <w:u w:val="single"/>
        </w:rPr>
      </w:pPr>
      <w:r>
        <w:rPr>
          <w:rFonts w:hint="eastAsia" w:ascii="宋体" w:hAnsi="宋体"/>
          <w:b/>
          <w:bCs/>
          <w:sz w:val="24"/>
          <w:szCs w:val="21"/>
        </w:rPr>
        <w:t>投标人（公章）：</w:t>
      </w:r>
    </w:p>
    <w:p>
      <w:pPr>
        <w:spacing w:before="100" w:beforeAutospacing="1" w:after="100" w:afterAutospacing="1" w:line="360" w:lineRule="auto"/>
        <w:ind w:firstLine="2168" w:firstLineChars="900"/>
        <w:rPr>
          <w:rFonts w:ascii="宋体" w:hAnsi="宋体"/>
          <w:b/>
          <w:bCs/>
          <w:sz w:val="24"/>
          <w:szCs w:val="21"/>
          <w:u w:val="single"/>
        </w:rPr>
      </w:pPr>
      <w:r>
        <w:rPr>
          <w:rFonts w:hint="eastAsia" w:ascii="宋体" w:hAnsi="宋体"/>
          <w:b/>
          <w:bCs/>
          <w:sz w:val="24"/>
          <w:szCs w:val="21"/>
        </w:rPr>
        <w:t>法定代表人(签章）：</w:t>
      </w:r>
    </w:p>
    <w:p>
      <w:pPr>
        <w:spacing w:line="360" w:lineRule="auto"/>
        <w:ind w:firstLine="2168" w:firstLineChars="900"/>
        <w:rPr>
          <w:rFonts w:hint="eastAsia" w:hAnsi="宋体"/>
          <w:b/>
          <w:sz w:val="24"/>
          <w:szCs w:val="24"/>
        </w:rPr>
      </w:pPr>
      <w:r>
        <w:rPr>
          <w:rFonts w:hint="eastAsia" w:hAnsi="宋体"/>
          <w:b/>
          <w:sz w:val="24"/>
          <w:szCs w:val="24"/>
        </w:rPr>
        <w:t>日    期：</w:t>
      </w:r>
    </w:p>
    <w:p>
      <w:pPr>
        <w:rPr>
          <w:rFonts w:hint="eastAsia" w:hAnsi="宋体"/>
          <w:b/>
          <w:sz w:val="24"/>
          <w:szCs w:val="24"/>
        </w:rPr>
      </w:pPr>
      <w:r>
        <w:rPr>
          <w:rFonts w:hint="eastAsia" w:hAnsi="宋体"/>
          <w:b/>
          <w:sz w:val="24"/>
          <w:szCs w:val="24"/>
        </w:rPr>
        <w:br w:type="page"/>
      </w:r>
    </w:p>
    <w:p>
      <w:pPr>
        <w:pStyle w:val="2"/>
      </w:pP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400" w:name="_Toc9299"/>
      <w:r>
        <w:rPr>
          <w:rFonts w:hint="eastAsia" w:cs="Times New Roman" w:asciiTheme="majorEastAsia" w:hAnsiTheme="majorEastAsia"/>
          <w:bCs w:val="0"/>
          <w:lang w:eastAsia="zh-CN"/>
        </w:rPr>
        <w:t>投标报价明细表</w:t>
      </w:r>
      <w:bookmarkEnd w:id="398"/>
      <w:bookmarkEnd w:id="399"/>
      <w:bookmarkEnd w:id="400"/>
    </w:p>
    <w:p>
      <w:pPr>
        <w:spacing w:line="360" w:lineRule="auto"/>
        <w:jc w:val="left"/>
        <w:rPr>
          <w:rFonts w:ascii="宋体" w:hAnsi="宋体" w:eastAsia="宋体" w:cs="Times New Roman"/>
          <w:b/>
          <w:sz w:val="24"/>
          <w:szCs w:val="21"/>
          <w:u w:val="single"/>
          <w:lang w:val="zh-CN" w:eastAsia="zh-CN"/>
        </w:rPr>
      </w:pPr>
      <w:r>
        <w:rPr>
          <w:rFonts w:hint="eastAsia" w:ascii="宋体" w:hAnsi="宋体" w:eastAsia="宋体" w:cs="Times New Roman"/>
          <w:b/>
          <w:sz w:val="24"/>
          <w:szCs w:val="21"/>
          <w:lang w:val="zh-CN" w:eastAsia="zh-CN"/>
        </w:rPr>
        <w:t>投 标 人：</w:t>
      </w: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lang w:val="zh-CN" w:eastAsia="zh-CN"/>
        </w:rPr>
      </w:pPr>
      <w:r>
        <w:rPr>
          <w:rFonts w:hint="eastAsia" w:ascii="宋体" w:hAnsi="宋体" w:eastAsia="宋体" w:cs="Times New Roman"/>
          <w:b/>
          <w:sz w:val="24"/>
          <w:szCs w:val="21"/>
          <w:lang w:val="zh-CN" w:eastAsia="zh-CN"/>
        </w:rPr>
        <w:t>项目名称：</w:t>
      </w: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05" w:leftChars="-50" w:right="-105" w:rightChars="-50"/>
              <w:jc w:val="center"/>
              <w:rPr>
                <w:rFonts w:ascii="宋体" w:hAnsi="宋体" w:cs="宋体"/>
                <w:kern w:val="0"/>
                <w:sz w:val="24"/>
              </w:rPr>
            </w:pPr>
            <w:r>
              <w:rPr>
                <w:rFonts w:hint="eastAsia" w:ascii="宋体" w:hAnsi="宋体" w:eastAsia="宋体" w:cs="仿宋_GB2312"/>
                <w:sz w:val="24"/>
                <w:szCs w:val="24"/>
              </w:rPr>
              <w:t>序号</w:t>
            </w:r>
          </w:p>
        </w:tc>
        <w:tc>
          <w:tcPr>
            <w:tcW w:w="2673" w:type="dxa"/>
            <w:shd w:val="pct10" w:color="C3BD96" w:themeColor="background2" w:themeShade="BF" w:fill="DDD9C4" w:themeFill="background2" w:themeFillShade="E6"/>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pct10" w:color="C3BD96" w:themeColor="background2" w:themeShade="BF" w:fill="DDD9C4" w:themeFill="background2" w:themeFillShade="E6"/>
            <w:vAlign w:val="center"/>
          </w:tcPr>
          <w:p>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pct10" w:color="C3BD96" w:themeColor="background2" w:themeShade="BF" w:fill="DDD9C4" w:themeFill="background2" w:themeFillShade="E6"/>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pct10" w:color="C3BD96" w:themeColor="background2" w:themeShade="BF" w:fill="DDD9C4" w:themeFill="background2" w:themeFillShade="E6"/>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105"/>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376" w:rightChars="-179"/>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105"/>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105"/>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105"/>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105"/>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105"/>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7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r>
    </w:tbl>
    <w:p>
      <w:pPr>
        <w:spacing w:line="360" w:lineRule="auto"/>
        <w:ind w:left="1091" w:hanging="1091" w:hangingChars="453"/>
        <w:jc w:val="left"/>
        <w:rPr>
          <w:rFonts w:ascii="宋体" w:hAnsi="宋体"/>
          <w:sz w:val="24"/>
        </w:rPr>
      </w:pPr>
      <w:r>
        <w:rPr>
          <w:rFonts w:hint="eastAsia" w:ascii="宋体" w:hAnsi="宋体"/>
          <w:b/>
          <w:sz w:val="24"/>
        </w:rPr>
        <w:t>说明：</w:t>
      </w:r>
      <w:r>
        <w:rPr>
          <w:rFonts w:hint="eastAsia" w:ascii="宋体" w:hAnsi="宋体"/>
          <w:sz w:val="24"/>
        </w:rPr>
        <w:t>1、</w:t>
      </w:r>
      <w:r>
        <w:rPr>
          <w:rFonts w:hint="eastAsia" w:ascii="宋体" w:hAnsi="宋体" w:cs="Courier New"/>
          <w:sz w:val="24"/>
          <w:szCs w:val="21"/>
        </w:rPr>
        <w:t>所有</w:t>
      </w:r>
      <w:r>
        <w:rPr>
          <w:rFonts w:hint="eastAsia" w:ascii="宋体" w:hAnsi="宋体"/>
          <w:sz w:val="24"/>
        </w:rPr>
        <w:t>价</w:t>
      </w:r>
      <w:r>
        <w:rPr>
          <w:rFonts w:hint="eastAsia" w:ascii="宋体" w:hAnsi="宋体" w:cs="Courier New"/>
          <w:sz w:val="24"/>
          <w:szCs w:val="21"/>
        </w:rPr>
        <w:t>格</w:t>
      </w:r>
      <w:r>
        <w:rPr>
          <w:rFonts w:hint="eastAsia" w:ascii="宋体" w:hAnsi="宋体"/>
          <w:sz w:val="24"/>
        </w:rPr>
        <w:t>均用人民币表示，单位为元。</w:t>
      </w:r>
    </w:p>
    <w:p>
      <w:pPr>
        <w:spacing w:line="360" w:lineRule="auto"/>
        <w:ind w:left="1132" w:leftChars="360" w:hanging="376" w:hangingChars="157"/>
        <w:jc w:val="left"/>
        <w:rPr>
          <w:rFonts w:ascii="宋体" w:hAnsi="宋体"/>
          <w:sz w:val="24"/>
        </w:rPr>
      </w:pPr>
      <w:r>
        <w:rPr>
          <w:rFonts w:hint="eastAsia" w:ascii="宋体" w:hAnsi="宋体"/>
          <w:sz w:val="24"/>
        </w:rPr>
        <w:t>2、报价</w:t>
      </w:r>
      <w:r>
        <w:rPr>
          <w:rFonts w:hint="eastAsia" w:ascii="宋体" w:hAnsi="宋体" w:cs="Courier New"/>
          <w:sz w:val="24"/>
          <w:szCs w:val="21"/>
        </w:rPr>
        <w:t>明细表</w:t>
      </w:r>
      <w:r>
        <w:rPr>
          <w:rFonts w:hint="eastAsia" w:ascii="宋体" w:hAnsi="宋体"/>
          <w:sz w:val="24"/>
        </w:rPr>
        <w:t>合计应与《开标一览表》中的投标总报价一致。</w:t>
      </w:r>
    </w:p>
    <w:p>
      <w:pPr>
        <w:spacing w:line="360" w:lineRule="auto"/>
        <w:ind w:left="1132" w:leftChars="360" w:hanging="376" w:hangingChars="157"/>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5"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widowControl/>
        <w:jc w:val="left"/>
        <w:rPr>
          <w:rFonts w:cs="Times New Roman" w:asciiTheme="minorEastAsia" w:hAnsiTheme="minorEastAsia"/>
          <w:b/>
          <w:sz w:val="28"/>
          <w:szCs w:val="28"/>
          <w:lang w:eastAsia="zh-CN"/>
        </w:rPr>
      </w:pPr>
    </w:p>
    <w:p>
      <w:pPr>
        <w:pStyle w:val="4"/>
        <w:numPr>
          <w:ilvl w:val="0"/>
          <w:numId w:val="93"/>
        </w:numPr>
        <w:tabs>
          <w:tab w:val="left" w:pos="1302"/>
        </w:tabs>
        <w:spacing w:before="40" w:after="40" w:line="360" w:lineRule="auto"/>
        <w:jc w:val="left"/>
        <w:rPr>
          <w:rFonts w:ascii="宋体" w:hAnsi="宋体" w:eastAsia="宋体"/>
          <w:sz w:val="31"/>
          <w:szCs w:val="31"/>
        </w:rPr>
      </w:pPr>
      <w:bookmarkStart w:id="401" w:name="_Toc29725"/>
      <w:bookmarkStart w:id="402" w:name="_Toc511895477"/>
      <w:bookmarkStart w:id="403" w:name="_Toc511894536"/>
      <w:r>
        <w:rPr>
          <w:rFonts w:hint="eastAsia" w:ascii="宋体" w:hAnsi="宋体" w:eastAsia="宋体"/>
          <w:sz w:val="31"/>
          <w:szCs w:val="31"/>
        </w:rPr>
        <w:t>投标货物（工程或服务）清单</w:t>
      </w:r>
      <w:bookmarkEnd w:id="401"/>
      <w:bookmarkEnd w:id="402"/>
      <w:bookmarkEnd w:id="403"/>
    </w:p>
    <w:p>
      <w:pPr>
        <w:adjustRightInd w:val="0"/>
        <w:snapToGrid w:val="0"/>
        <w:spacing w:line="360" w:lineRule="auto"/>
        <w:rPr>
          <w:rFonts w:ascii="宋体" w:hAnsi="宋体"/>
          <w:b/>
          <w:sz w:val="24"/>
        </w:rPr>
      </w:pPr>
      <w:r>
        <w:rPr>
          <w:rFonts w:hint="eastAsia" w:ascii="宋体" w:hAnsi="宋体"/>
          <w:b/>
          <w:sz w:val="24"/>
        </w:rPr>
        <w:t>投 标 人：</w:t>
      </w:r>
      <w:r>
        <w:rPr>
          <w:rFonts w:hint="eastAsia" w:ascii="宋体" w:hAnsi="宋体"/>
          <w:b/>
          <w:sz w:val="24"/>
          <w:u w:val="single"/>
        </w:rPr>
        <w:t xml:space="preserve">                     </w:t>
      </w:r>
    </w:p>
    <w:p>
      <w:pPr>
        <w:adjustRightInd w:val="0"/>
        <w:snapToGrid w:val="0"/>
        <w:spacing w:line="360" w:lineRule="auto"/>
        <w:rPr>
          <w:rFonts w:ascii="宋体"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3BD96" w:themeColor="background2" w:themeShade="BF" w:fill="DDD9C4" w:themeFill="background2" w:themeFillShade="E6"/>
            <w:vAlign w:val="center"/>
          </w:tcPr>
          <w:p>
            <w:pPr>
              <w:ind w:left="-105" w:leftChars="-50" w:right="-105" w:rightChars="-50"/>
              <w:jc w:val="center"/>
              <w:rPr>
                <w:rFonts w:ascii="宋体" w:hAnsi="宋体" w:cs="宋体"/>
                <w:kern w:val="0"/>
                <w:sz w:val="24"/>
              </w:rPr>
            </w:pPr>
            <w:r>
              <w:rPr>
                <w:rFonts w:hint="eastAsia" w:ascii="宋体" w:hAnsi="宋体" w:eastAsia="宋体" w:cs="仿宋_GB2312"/>
                <w:sz w:val="24"/>
                <w:szCs w:val="24"/>
              </w:rPr>
              <w:t>序号</w:t>
            </w:r>
          </w:p>
        </w:tc>
        <w:tc>
          <w:tcPr>
            <w:tcW w:w="2872"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693"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106"/>
              </w:numPr>
              <w:tabs>
                <w:tab w:val="left" w:pos="61"/>
              </w:tabs>
              <w:adjustRightInd w:val="0"/>
              <w:snapToGrid w:val="0"/>
              <w:ind w:left="-63" w:leftChars="-30" w:firstLine="0"/>
              <w:jc w:val="center"/>
              <w:rPr>
                <w:rFonts w:ascii="宋体" w:hAnsi="宋体"/>
                <w:sz w:val="24"/>
              </w:rPr>
            </w:pPr>
          </w:p>
        </w:tc>
        <w:tc>
          <w:tcPr>
            <w:tcW w:w="2872" w:type="dxa"/>
            <w:tcBorders>
              <w:top w:val="single" w:color="auto" w:sz="2" w:space="0"/>
            </w:tcBorders>
            <w:vAlign w:val="center"/>
          </w:tcPr>
          <w:p>
            <w:pPr>
              <w:adjustRightInd w:val="0"/>
              <w:snapToGrid w:val="0"/>
              <w:ind w:left="-88" w:leftChars="-42"/>
              <w:jc w:val="center"/>
              <w:rPr>
                <w:rFonts w:ascii="宋体" w:hAnsi="宋体"/>
                <w:sz w:val="24"/>
              </w:rPr>
            </w:pPr>
          </w:p>
        </w:tc>
        <w:tc>
          <w:tcPr>
            <w:tcW w:w="2459" w:type="dxa"/>
            <w:tcBorders>
              <w:top w:val="single" w:color="auto" w:sz="2" w:space="0"/>
            </w:tcBorders>
            <w:vAlign w:val="center"/>
          </w:tcPr>
          <w:p>
            <w:pPr>
              <w:adjustRightInd w:val="0"/>
              <w:snapToGrid w:val="0"/>
              <w:jc w:val="center"/>
              <w:rPr>
                <w:rFonts w:ascii="宋体" w:hAnsi="宋体"/>
                <w:sz w:val="24"/>
              </w:rPr>
            </w:pPr>
          </w:p>
        </w:tc>
        <w:tc>
          <w:tcPr>
            <w:tcW w:w="851" w:type="dxa"/>
            <w:tcBorders>
              <w:top w:val="single" w:color="auto" w:sz="2" w:space="0"/>
            </w:tcBorders>
            <w:vAlign w:val="center"/>
          </w:tcPr>
          <w:p>
            <w:pPr>
              <w:adjustRightInd w:val="0"/>
              <w:snapToGrid w:val="0"/>
              <w:jc w:val="center"/>
              <w:rPr>
                <w:rFonts w:ascii="宋体" w:hAnsi="宋体"/>
                <w:sz w:val="24"/>
              </w:rPr>
            </w:pPr>
          </w:p>
        </w:tc>
        <w:tc>
          <w:tcPr>
            <w:tcW w:w="2693" w:type="dxa"/>
            <w:tcBorders>
              <w:top w:val="single" w:color="auto" w:sz="2"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106"/>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106"/>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6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106"/>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106"/>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106"/>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b/>
                <w:sz w:val="24"/>
              </w:rPr>
            </w:pPr>
            <w:r>
              <w:rPr>
                <w:rFonts w:hint="eastAsia" w:ascii="宋体" w:hAnsi="宋体"/>
                <w:b/>
                <w:sz w:val="24"/>
              </w:rPr>
              <w:t>…</w:t>
            </w: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bl>
    <w:p>
      <w:pPr>
        <w:spacing w:line="360" w:lineRule="auto"/>
        <w:ind w:left="1118" w:hanging="1118" w:hangingChars="464"/>
        <w:jc w:val="left"/>
        <w:rPr>
          <w:rFonts w:ascii="宋体" w:hAnsi="宋体"/>
          <w:sz w:val="24"/>
        </w:rPr>
      </w:pPr>
      <w:r>
        <w:rPr>
          <w:rFonts w:hint="eastAsia" w:ascii="宋体" w:hAnsi="宋体"/>
          <w:b/>
          <w:sz w:val="24"/>
        </w:rPr>
        <w:t>说明：</w:t>
      </w:r>
      <w:r>
        <w:rPr>
          <w:rFonts w:hint="eastAsia" w:ascii="宋体" w:hAnsi="宋体"/>
          <w:sz w:val="24"/>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sz w:val="24"/>
        </w:rPr>
      </w:pPr>
      <w:r>
        <w:rPr>
          <w:rFonts w:hint="eastAsia" w:ascii="宋体" w:hAnsi="宋体"/>
          <w:sz w:val="24"/>
        </w:rPr>
        <w:t>2、各项货物（工程或服务）详细技术规格、参数及要求性能，应另页描述。</w:t>
      </w: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5"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pStyle w:val="4"/>
        <w:numPr>
          <w:ilvl w:val="0"/>
          <w:numId w:val="93"/>
        </w:numPr>
        <w:spacing w:before="40" w:after="40" w:line="360" w:lineRule="auto"/>
        <w:ind w:left="1285" w:hanging="1280" w:hangingChars="400"/>
        <w:jc w:val="left"/>
        <w:rPr>
          <w:rFonts w:ascii="宋体" w:hAnsi="宋体" w:eastAsia="宋体"/>
        </w:rPr>
      </w:pPr>
      <w:bookmarkStart w:id="404" w:name="_Toc511894537"/>
      <w:bookmarkStart w:id="405" w:name="_Toc511895478"/>
      <w:bookmarkStart w:id="406" w:name="_Toc12143"/>
      <w:r>
        <w:rPr>
          <w:rFonts w:hint="eastAsia" w:ascii="宋体" w:hAnsi="宋体" w:eastAsia="宋体"/>
        </w:rPr>
        <w:t>交纳投标保证金的银行凭证</w:t>
      </w:r>
      <w:bookmarkEnd w:id="404"/>
      <w:bookmarkEnd w:id="405"/>
      <w:bookmarkEnd w:id="406"/>
    </w:p>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Pr>
        <w:spacing w:line="480" w:lineRule="auto"/>
        <w:rPr>
          <w:rFonts w:ascii="宋体" w:hAnsi="宋体" w:cs="Courier New"/>
          <w:sz w:val="24"/>
          <w:szCs w:val="24"/>
        </w:rPr>
      </w:pPr>
      <w:r>
        <w:rPr>
          <w:rFonts w:hint="eastAsia" w:ascii="宋体" w:hAnsi="宋体" w:cs="Courier New"/>
          <w:sz w:val="24"/>
          <w:szCs w:val="24"/>
          <w:lang w:eastAsia="zh-CN"/>
        </w:rPr>
        <w:t>广水市政府采购中心</w:t>
      </w:r>
      <w:r>
        <w:rPr>
          <w:rFonts w:hint="eastAsia" w:ascii="宋体" w:hAnsi="宋体" w:cs="Courier New"/>
          <w:sz w:val="24"/>
          <w:szCs w:val="24"/>
        </w:rPr>
        <w:t>：</w:t>
      </w:r>
    </w:p>
    <w:p>
      <w:pPr>
        <w:spacing w:line="360" w:lineRule="auto"/>
        <w:ind w:firstLine="489" w:firstLineChars="204"/>
        <w:jc w:val="left"/>
        <w:rPr>
          <w:rFonts w:ascii="宋体" w:hAnsi="宋体" w:eastAsia="宋体" w:cs="Times New Roman"/>
          <w:sz w:val="24"/>
          <w:szCs w:val="21"/>
          <w:lang w:val="zh-CN" w:eastAsia="zh-CN"/>
        </w:rPr>
      </w:pPr>
      <w:r>
        <w:rPr>
          <w:rFonts w:hint="eastAsia" w:ascii="宋体" w:hAnsi="宋体" w:eastAsia="宋体" w:cs="Times New Roman"/>
          <w:sz w:val="24"/>
          <w:szCs w:val="21"/>
          <w:u w:val="single"/>
          <w:lang w:val="zh-CN" w:eastAsia="zh-CN"/>
        </w:rPr>
        <w:t xml:space="preserve">  （投标人全称）  </w:t>
      </w:r>
      <w:r>
        <w:rPr>
          <w:rFonts w:hint="eastAsia" w:ascii="宋体" w:hAnsi="宋体" w:eastAsia="宋体" w:cs="Times New Roman"/>
          <w:sz w:val="24"/>
          <w:szCs w:val="21"/>
          <w:lang w:val="zh-CN" w:eastAsia="zh-CN"/>
        </w:rPr>
        <w:t>参加贵方组织的</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eastAsia="zh-CN"/>
        </w:rPr>
        <w:t>项目（项目编号：</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eastAsia="zh-CN"/>
        </w:rPr>
        <w:t>）的政府采购活动。按招标文件的规定，已递交人民币（大写）</w:t>
      </w:r>
      <w:r>
        <w:rPr>
          <w:rFonts w:hint="eastAsia" w:ascii="宋体" w:hAnsi="宋体" w:eastAsia="宋体" w:cs="Times New Roman"/>
          <w:sz w:val="24"/>
          <w:szCs w:val="21"/>
          <w:u w:val="single"/>
          <w:lang w:val="zh-CN" w:eastAsia="zh-CN"/>
        </w:rPr>
        <w:t xml:space="preserve"> </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u w:val="single"/>
          <w:lang w:val="zh-CN" w:eastAsia="zh-CN"/>
        </w:rPr>
        <w:t xml:space="preserve">     </w:t>
      </w:r>
      <w:r>
        <w:rPr>
          <w:rFonts w:hint="eastAsia" w:ascii="宋体" w:hAnsi="宋体" w:eastAsia="宋体" w:cs="Times New Roman"/>
          <w:sz w:val="24"/>
          <w:szCs w:val="21"/>
          <w:lang w:val="zh-CN" w:eastAsia="zh-CN"/>
        </w:rPr>
        <w:t>万元的投标保证金。</w:t>
      </w:r>
    </w:p>
    <w:tbl>
      <w:tblPr>
        <w:tblStyle w:val="24"/>
        <w:tblW w:w="95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hAnsi="宋体"/>
          <w:bCs/>
          <w:sz w:val="24"/>
          <w:u w:val="single"/>
        </w:rPr>
        <w:t xml:space="preserve">                               </w:t>
      </w:r>
    </w:p>
    <w:tbl>
      <w:tblPr>
        <w:tblStyle w:val="24"/>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5000" w:type="pct"/>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sz w:val="24"/>
                <w:szCs w:val="20"/>
                <w:lang w:val="zh-CN" w:eastAsia="zh-CN"/>
              </w:rPr>
            </w:pPr>
            <w:r>
              <w:rPr>
                <w:rFonts w:hint="eastAsia" w:ascii="宋体" w:hAnsi="宋体" w:eastAsia="宋体" w:cs="Times New Roman"/>
                <w:sz w:val="24"/>
                <w:szCs w:val="20"/>
                <w:lang w:val="zh-CN" w:eastAsia="zh-CN"/>
              </w:rPr>
              <w:t>注：在</w:t>
            </w:r>
            <w:r>
              <w:rPr>
                <w:rFonts w:hint="eastAsia" w:ascii="宋体" w:hAnsi="宋体" w:eastAsia="宋体" w:cs="Times New Roman"/>
                <w:sz w:val="24"/>
                <w:szCs w:val="20"/>
                <w:lang w:val="zh-CN"/>
              </w:rPr>
              <w:t>交款凭证</w:t>
            </w:r>
            <w:r>
              <w:rPr>
                <w:rFonts w:hint="eastAsia" w:ascii="宋体" w:hAnsi="宋体" w:eastAsia="宋体" w:cs="Times New Roman"/>
                <w:sz w:val="24"/>
                <w:szCs w:val="20"/>
                <w:lang w:val="zh-CN" w:eastAsia="zh-CN"/>
              </w:rPr>
              <w:t>备注中说明项目编号及开标时间</w:t>
            </w:r>
          </w:p>
        </w:tc>
      </w:tr>
    </w:tbl>
    <w:p>
      <w:pPr>
        <w:spacing w:line="360" w:lineRule="auto"/>
        <w:ind w:left="769" w:hanging="765" w:hangingChars="319"/>
        <w:jc w:val="left"/>
        <w:rPr>
          <w:rFonts w:cs="Times New Roman" w:asciiTheme="majorEastAsia" w:hAnsiTheme="majorEastAsia"/>
          <w:bCs/>
          <w:lang w:eastAsia="zh-CN"/>
        </w:rPr>
        <w:sectPr>
          <w:pgSz w:w="11906" w:h="16838"/>
          <w:pgMar w:top="1134" w:right="1191" w:bottom="1134" w:left="1191" w:header="851" w:footer="992" w:gutter="0"/>
          <w:pgNumType w:fmt="decimal"/>
          <w:cols w:space="425" w:num="1"/>
          <w:docGrid w:type="linesAndChars" w:linePitch="312" w:charSpace="0"/>
        </w:sectPr>
      </w:pPr>
      <w:r>
        <w:rPr>
          <w:rFonts w:hint="eastAsia" w:ascii="宋体" w:hAnsi="宋体" w:eastAsia="宋体" w:cs="Times New Roman"/>
          <w:b/>
          <w:sz w:val="24"/>
          <w:szCs w:val="24"/>
        </w:rPr>
        <w:t>说明：</w:t>
      </w:r>
      <w:r>
        <w:rPr>
          <w:rFonts w:hint="eastAsia" w:ascii="宋体" w:hAnsi="宋体"/>
          <w:sz w:val="24"/>
        </w:rPr>
        <w:t>投标人应认真填写银行信息，与转帐或电汇银行凭证的相关信息一致，集中采购机构将依据此凭证信息查退投标保证金。</w:t>
      </w:r>
    </w:p>
    <w:p>
      <w:pPr>
        <w:pStyle w:val="4"/>
        <w:numPr>
          <w:ilvl w:val="0"/>
          <w:numId w:val="93"/>
        </w:numPr>
        <w:spacing w:before="40" w:after="40" w:line="360" w:lineRule="auto"/>
        <w:ind w:left="1285" w:hanging="1285" w:hangingChars="400"/>
        <w:jc w:val="left"/>
        <w:rPr>
          <w:rFonts w:ascii="宋体" w:hAnsi="宋体" w:eastAsia="宋体"/>
        </w:rPr>
      </w:pPr>
      <w:bookmarkStart w:id="407" w:name="_Toc5202"/>
      <w:bookmarkStart w:id="408" w:name="_Toc511894538"/>
      <w:bookmarkStart w:id="409" w:name="_Toc511895479"/>
      <w:r>
        <w:rPr>
          <w:rFonts w:hint="eastAsia" w:ascii="宋体" w:hAnsi="宋体" w:eastAsia="宋体"/>
        </w:rPr>
        <w:t>法定代表人授权书</w:t>
      </w:r>
      <w:bookmarkEnd w:id="407"/>
      <w:bookmarkEnd w:id="408"/>
      <w:bookmarkEnd w:id="409"/>
    </w:p>
    <w:p/>
    <w:p>
      <w:pPr>
        <w:spacing w:line="360" w:lineRule="auto"/>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广水市政府采购中心：</w:t>
      </w:r>
    </w:p>
    <w:p>
      <w:pPr>
        <w:spacing w:line="360" w:lineRule="auto"/>
        <w:ind w:firstLine="480" w:firstLineChars="200"/>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兹授权</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u w:val="single"/>
        </w:rPr>
        <w:t>XXX</w:t>
      </w:r>
      <w:r>
        <w:rPr>
          <w:rFonts w:hint="eastAsia" w:cs="Times New Roman" w:asciiTheme="minorEastAsia" w:hAnsiTheme="minorEastAsia"/>
          <w:sz w:val="24"/>
          <w:szCs w:val="24"/>
          <w:lang w:eastAsia="zh-CN"/>
        </w:rPr>
        <w:t>同志为我单位参加贵方组织的</w:t>
      </w:r>
      <w:r>
        <w:rPr>
          <w:rFonts w:hint="eastAsia" w:cs="Times New Roman" w:asciiTheme="minorEastAsia" w:hAnsiTheme="minorEastAsia"/>
          <w:i/>
          <w:sz w:val="24"/>
          <w:szCs w:val="24"/>
          <w:u w:val="single"/>
          <w:lang w:eastAsia="zh-CN"/>
        </w:rPr>
        <w:t xml:space="preserve">      项目</w:t>
      </w:r>
      <w:r>
        <w:rPr>
          <w:rFonts w:hint="eastAsia" w:cs="Times New Roman" w:asciiTheme="minorEastAsia" w:hAnsiTheme="minorEastAsia"/>
          <w:i/>
          <w:sz w:val="24"/>
          <w:szCs w:val="24"/>
          <w:u w:val="single"/>
        </w:rPr>
        <w:t xml:space="preserve">名称  </w:t>
      </w:r>
      <w:r>
        <w:rPr>
          <w:rFonts w:hint="eastAsia" w:cs="Times New Roman" w:asciiTheme="minorEastAsia" w:hAnsiTheme="minorEastAsia"/>
          <w:i/>
          <w:sz w:val="24"/>
          <w:szCs w:val="24"/>
          <w:u w:val="single"/>
          <w:lang w:eastAsia="zh-CN"/>
        </w:rPr>
        <w:t>（项目编号：</w:t>
      </w:r>
      <w:r>
        <w:rPr>
          <w:rFonts w:hint="eastAsia" w:cs="Times New Roman" w:asciiTheme="minorEastAsia" w:hAnsiTheme="minorEastAsia"/>
          <w:i/>
          <w:sz w:val="24"/>
          <w:szCs w:val="24"/>
          <w:u w:val="single"/>
        </w:rPr>
        <w:t xml:space="preserve">      </w:t>
      </w:r>
      <w:r>
        <w:rPr>
          <w:rFonts w:hint="eastAsia" w:cs="Times New Roman" w:asciiTheme="minorEastAsia" w:hAnsiTheme="minorEastAsia"/>
          <w:sz w:val="24"/>
          <w:szCs w:val="24"/>
          <w:lang w:eastAsia="zh-CN"/>
        </w:rPr>
        <w:t>）采购活动的投标人授权代表，全权代表我公司处理在项目采购活动中的一切事宜。代理期限从</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lang w:eastAsia="zh-CN"/>
        </w:rPr>
        <w:t>年</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lang w:eastAsia="zh-CN"/>
        </w:rPr>
        <w:t>月</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lang w:eastAsia="zh-CN"/>
        </w:rPr>
        <w:t>日起至</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lang w:eastAsia="zh-CN"/>
        </w:rPr>
        <w:t>年</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lang w:eastAsia="zh-CN"/>
        </w:rPr>
        <w:t>月</w:t>
      </w:r>
      <w:r>
        <w:rPr>
          <w:rFonts w:hint="eastAsia" w:cs="Times New Roman" w:asciiTheme="minorEastAsia" w:hAnsiTheme="minorEastAsia"/>
          <w:sz w:val="24"/>
          <w:szCs w:val="24"/>
          <w:u w:val="single"/>
          <w:lang w:eastAsia="zh-CN"/>
        </w:rPr>
        <w:t xml:space="preserve">   </w:t>
      </w:r>
      <w:r>
        <w:rPr>
          <w:rFonts w:hint="eastAsia" w:cs="Times New Roman" w:asciiTheme="minorEastAsia" w:hAnsiTheme="minorEastAsia"/>
          <w:sz w:val="24"/>
          <w:szCs w:val="24"/>
          <w:lang w:eastAsia="zh-CN"/>
        </w:rPr>
        <w:t xml:space="preserve">日止。 </w:t>
      </w:r>
    </w:p>
    <w:p>
      <w:pPr>
        <w:spacing w:line="360" w:lineRule="auto"/>
        <w:ind w:firstLine="480" w:firstLineChars="200"/>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被授权代表无转委托权</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在得到授权后方可签署投标文件</w:t>
      </w:r>
      <w:r>
        <w:rPr>
          <w:rFonts w:hint="eastAsia" w:cs="Times New Roman" w:asciiTheme="minorEastAsia" w:hAnsiTheme="minorEastAsia"/>
          <w:sz w:val="24"/>
          <w:szCs w:val="24"/>
        </w:rPr>
        <w:t>。</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r>
        <w:rPr>
          <w:rFonts w:hint="eastAsia" w:hAnsi="宋体"/>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ascii="宋体" w:hAnsi="宋体" w:eastAsia="宋体" w:cs="Times New Roman"/>
          <w:b/>
          <w:bCs/>
          <w:sz w:val="24"/>
          <w:szCs w:val="21"/>
          <w:lang w:val="zh-CN" w:eastAsia="zh-CN"/>
        </w:rPr>
        <w:t>法定代表人（签字或盖章）</w:t>
      </w:r>
      <w:r>
        <w:rPr>
          <w:rFonts w:hint="eastAsia" w:hAnsi="宋体"/>
          <w:b/>
          <w:bCs/>
          <w:sz w:val="24"/>
        </w:rPr>
        <w:t>：</w:t>
      </w:r>
      <w:r>
        <w:rPr>
          <w:rFonts w:hint="eastAsia" w:hAnsi="宋体"/>
          <w:b/>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ascii="宋体" w:hAnsi="宋体" w:eastAsia="宋体" w:cs="Times New Roman"/>
          <w:sz w:val="24"/>
          <w:szCs w:val="21"/>
          <w:u w:val="single"/>
          <w:lang w:val="zh-CN" w:eastAsia="zh-CN"/>
        </w:rPr>
        <w:t xml:space="preserve">      </w:t>
      </w:r>
      <w:r>
        <w:rPr>
          <w:rFonts w:hint="eastAsia" w:ascii="宋体" w:hAnsi="宋体" w:eastAsia="宋体" w:cs="Times New Roman"/>
          <w:sz w:val="24"/>
          <w:szCs w:val="21"/>
          <w:lang w:val="zh-CN" w:eastAsia="zh-CN"/>
        </w:rPr>
        <w:t>年</w:t>
      </w:r>
      <w:r>
        <w:rPr>
          <w:rFonts w:hint="eastAsia" w:ascii="宋体" w:hAnsi="宋体" w:eastAsia="宋体" w:cs="Times New Roman"/>
          <w:sz w:val="24"/>
          <w:szCs w:val="21"/>
          <w:u w:val="single"/>
          <w:lang w:val="zh-CN" w:eastAsia="zh-CN"/>
        </w:rPr>
        <w:t xml:space="preserve">    </w:t>
      </w:r>
      <w:r>
        <w:rPr>
          <w:rFonts w:hint="eastAsia" w:ascii="宋体" w:hAnsi="宋体" w:eastAsia="宋体" w:cs="Times New Roman"/>
          <w:sz w:val="24"/>
          <w:szCs w:val="21"/>
          <w:lang w:val="zh-CN" w:eastAsia="zh-CN"/>
        </w:rPr>
        <w:t>月</w:t>
      </w:r>
      <w:r>
        <w:rPr>
          <w:rFonts w:hint="eastAsia" w:ascii="宋体" w:hAnsi="宋体" w:eastAsia="宋体" w:cs="Times New Roman"/>
          <w:sz w:val="24"/>
          <w:szCs w:val="21"/>
          <w:u w:val="single"/>
          <w:lang w:val="zh-CN" w:eastAsia="zh-CN"/>
        </w:rPr>
        <w:t xml:space="preserve">  </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u w:val="single"/>
          <w:lang w:val="zh-CN" w:eastAsia="zh-CN"/>
        </w:rPr>
        <w:t xml:space="preserve"> </w:t>
      </w:r>
      <w:r>
        <w:rPr>
          <w:rFonts w:hint="eastAsia" w:ascii="宋体" w:hAnsi="宋体" w:eastAsia="宋体" w:cs="Times New Roman"/>
          <w:sz w:val="24"/>
          <w:szCs w:val="21"/>
          <w:lang w:val="zh-CN" w:eastAsia="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性别：</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434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法定代表人身份证</w:t>
            </w:r>
          </w:p>
          <w:p>
            <w:pPr>
              <w:spacing w:line="300" w:lineRule="auto"/>
              <w:rPr>
                <w:rFonts w:ascii="宋体" w:hAnsi="宋体" w:eastAsia="宋体" w:cs="Times New Roman"/>
                <w:sz w:val="24"/>
                <w:szCs w:val="24"/>
              </w:rPr>
            </w:pPr>
            <w:r>
              <w:rPr>
                <w:rFonts w:hint="eastAsia" w:ascii="宋体" w:hAnsi="宋体" w:eastAsia="宋体" w:cs="Times New Roman"/>
                <w:sz w:val="24"/>
                <w:szCs w:val="24"/>
              </w:rPr>
              <w:t>（正反清晰彩色影印件）</w:t>
            </w:r>
          </w:p>
        </w:tc>
        <w:tc>
          <w:tcPr>
            <w:tcW w:w="4509"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被授权人身份证</w:t>
            </w:r>
          </w:p>
          <w:p>
            <w:pPr>
              <w:spacing w:line="300" w:lineRule="auto"/>
              <w:rPr>
                <w:rFonts w:ascii="宋体" w:hAnsi="宋体" w:eastAsia="宋体" w:cs="Times New Roman"/>
                <w:sz w:val="24"/>
                <w:szCs w:val="24"/>
              </w:rPr>
            </w:pPr>
            <w:r>
              <w:rPr>
                <w:rFonts w:hint="eastAsia" w:ascii="宋体" w:hAnsi="宋体" w:eastAsia="宋体" w:cs="Times New Roman"/>
                <w:sz w:val="24"/>
                <w:szCs w:val="24"/>
              </w:rPr>
              <w:t>（正反清晰彩色影印件）</w:t>
            </w:r>
          </w:p>
        </w:tc>
      </w:tr>
    </w:tbl>
    <w:p>
      <w:pPr>
        <w:pStyle w:val="4"/>
        <w:spacing w:before="40" w:after="40" w:line="360" w:lineRule="auto"/>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pStyle w:val="4"/>
        <w:numPr>
          <w:ilvl w:val="0"/>
          <w:numId w:val="93"/>
        </w:numPr>
        <w:spacing w:before="40" w:after="40" w:line="360" w:lineRule="auto"/>
        <w:ind w:left="1285" w:hanging="1280" w:hangingChars="400"/>
        <w:jc w:val="left"/>
        <w:rPr>
          <w:rFonts w:ascii="宋体" w:hAnsi="宋体" w:eastAsia="宋体"/>
        </w:rPr>
      </w:pPr>
      <w:bookmarkStart w:id="410" w:name="_Toc511895480"/>
      <w:bookmarkStart w:id="411" w:name="_Toc1720"/>
      <w:bookmarkStart w:id="412" w:name="_Toc511894539"/>
      <w:r>
        <w:rPr>
          <w:rFonts w:hint="eastAsia" w:ascii="宋体" w:hAnsi="宋体" w:eastAsia="宋体"/>
        </w:rPr>
        <w:t>投标人的资格声明</w:t>
      </w:r>
      <w:bookmarkEnd w:id="410"/>
      <w:bookmarkEnd w:id="411"/>
      <w:bookmarkEnd w:id="412"/>
    </w:p>
    <w:p>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邮编：</w:t>
      </w:r>
      <w:r>
        <w:rPr>
          <w:rFonts w:hint="eastAsia" w:ascii="宋体" w:hAnsi="宋体" w:eastAsia="宋体" w:cs="Times New Roman"/>
          <w:sz w:val="24"/>
          <w:szCs w:val="24"/>
          <w:u w:val="single"/>
        </w:rPr>
        <w:t xml:space="preserve">                   </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传真：</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1084" w:firstLineChars="452"/>
        <w:rPr>
          <w:rFonts w:ascii="宋体" w:hAnsi="宋体" w:eastAsia="宋体" w:cs="Times New Roman"/>
          <w:sz w:val="24"/>
          <w:szCs w:val="24"/>
        </w:rPr>
      </w:pPr>
      <w:r>
        <w:rPr>
          <w:rFonts w:hint="eastAsia" w:ascii="宋体" w:hAnsi="宋体" w:eastAsia="宋体" w:cs="Times New Roman"/>
          <w:sz w:val="24"/>
          <w:szCs w:val="24"/>
        </w:rPr>
        <w:t>原  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净  值：</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r>
        <w:rPr>
          <w:rFonts w:hint="eastAsia" w:ascii="宋体" w:hAnsi="宋体" w:eastAsia="宋体" w:cs="Times New Roman"/>
          <w:sz w:val="24"/>
          <w:szCs w:val="24"/>
          <w:u w:val="single"/>
        </w:rPr>
        <w:t xml:space="preserve">                      </w:t>
      </w:r>
    </w:p>
    <w:p>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51"/>
        <w:gridCol w:w="1701"/>
        <w:gridCol w:w="20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551"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1701"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01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5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0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01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5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0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01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36"/>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6"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536"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3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3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投标人</w:t>
      </w:r>
      <w:r>
        <w:rPr>
          <w:rFonts w:hint="eastAsia" w:ascii="Times New Roman" w:hAnsi="宋体" w:eastAsia="宋体" w:cs="Times New Roman"/>
          <w:sz w:val="24"/>
          <w:szCs w:val="24"/>
        </w:rPr>
        <w:t>（公章）</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p>
    <w:p>
      <w:pPr>
        <w:spacing w:line="360" w:lineRule="auto"/>
        <w:ind w:firstLine="3316" w:firstLineChars="1382"/>
        <w:rPr>
          <w:rFonts w:ascii="宋体" w:hAnsi="宋体" w:eastAsia="宋体" w:cs="Times New Roman"/>
          <w:b/>
          <w:sz w:val="24"/>
          <w:szCs w:val="24"/>
        </w:rPr>
      </w:pPr>
      <w:r>
        <w:rPr>
          <w:rFonts w:hint="eastAsia" w:ascii="Times New Roman" w:hAnsi="宋体" w:eastAsia="宋体" w:cs="Times New Roman"/>
          <w:b/>
          <w:sz w:val="24"/>
          <w:szCs w:val="24"/>
        </w:rPr>
        <w:t>法定代表人</w:t>
      </w:r>
      <w:r>
        <w:rPr>
          <w:rFonts w:hint="eastAsia" w:ascii="宋体" w:hAnsi="宋体" w:eastAsia="宋体" w:cs="Times New Roman"/>
          <w:b/>
          <w:sz w:val="24"/>
          <w:szCs w:val="24"/>
        </w:rPr>
        <w:t>：</w:t>
      </w:r>
      <w:r>
        <w:rPr>
          <w:rFonts w:hint="eastAsia" w:ascii="宋体" w:hAnsi="宋体" w:eastAsia="宋体" w:cs="Times New Roman"/>
          <w:b/>
          <w:sz w:val="24"/>
          <w:szCs w:val="24"/>
          <w:u w:val="single"/>
        </w:rPr>
        <w:t xml:space="preserve">                        </w:t>
      </w:r>
    </w:p>
    <w:p>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w:t>
      </w:r>
    </w:p>
    <w:p>
      <w:pPr>
        <w:spacing w:line="360" w:lineRule="auto"/>
        <w:ind w:firstLine="3316" w:firstLineChars="1382"/>
        <w:rPr>
          <w:rFonts w:ascii="宋体" w:hAnsi="宋体" w:eastAsia="宋体" w:cs="Times New Roman"/>
          <w:sz w:val="24"/>
          <w:szCs w:val="24"/>
          <w:u w:val="single"/>
        </w:rPr>
      </w:pPr>
      <w:r>
        <w:rPr>
          <w:rFonts w:hint="eastAsia" w:ascii="宋体" w:hAnsi="宋体" w:eastAsia="宋体" w:cs="Times New Roman"/>
          <w:sz w:val="24"/>
          <w:szCs w:val="24"/>
        </w:rPr>
        <w:t>传    真：</w:t>
      </w:r>
      <w:r>
        <w:rPr>
          <w:rFonts w:hint="eastAsia" w:ascii="宋体" w:hAnsi="宋体" w:eastAsia="宋体" w:cs="Times New Roman"/>
          <w:sz w:val="24"/>
          <w:szCs w:val="24"/>
          <w:u w:val="single"/>
        </w:rPr>
        <w:t xml:space="preserve">                    </w:t>
      </w:r>
    </w:p>
    <w:p>
      <w:pPr>
        <w:spacing w:line="360" w:lineRule="auto"/>
        <w:ind w:firstLine="3316" w:firstLineChars="1382"/>
        <w:rPr>
          <w:rFonts w:ascii="宋体" w:hAnsi="宋体" w:eastAsia="宋体" w:cs="Times New Roman"/>
          <w:sz w:val="24"/>
          <w:szCs w:val="24"/>
        </w:rPr>
        <w:sectPr>
          <w:pgSz w:w="11906" w:h="16838"/>
          <w:pgMar w:top="1134" w:right="1191" w:bottom="1134" w:left="1191" w:header="851" w:footer="992" w:gutter="0"/>
          <w:pgNumType w:fmt="decimal"/>
          <w:cols w:space="425" w:num="1"/>
          <w:docGrid w:type="linesAndChars" w:linePitch="312" w:charSpace="0"/>
        </w:sect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pStyle w:val="4"/>
        <w:numPr>
          <w:ilvl w:val="0"/>
          <w:numId w:val="93"/>
        </w:numPr>
        <w:spacing w:before="40" w:after="40" w:line="360" w:lineRule="auto"/>
        <w:ind w:left="1285" w:hanging="1285" w:hangingChars="400"/>
        <w:jc w:val="left"/>
        <w:rPr>
          <w:rFonts w:ascii="宋体" w:hAnsi="宋体" w:eastAsia="宋体"/>
        </w:rPr>
      </w:pPr>
      <w:bookmarkStart w:id="413" w:name="_Toc511894540"/>
      <w:bookmarkStart w:id="414" w:name="_Toc511895481"/>
      <w:bookmarkStart w:id="415" w:name="_Toc1158"/>
      <w:r>
        <w:rPr>
          <w:rFonts w:hint="eastAsia" w:ascii="宋体" w:hAnsi="宋体" w:eastAsia="宋体"/>
        </w:rPr>
        <w:t>项目负责人、技术负责人简历表</w:t>
      </w:r>
      <w:bookmarkEnd w:id="413"/>
      <w:bookmarkEnd w:id="414"/>
      <w:bookmarkEnd w:id="415"/>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3" w:hanging="723" w:hangingChars="300"/>
        <w:jc w:val="left"/>
        <w:rPr>
          <w:rFonts w:ascii="宋体" w:hAnsi="宋体" w:eastAsia="宋体" w:cs="Times New Roman"/>
          <w:sz w:val="24"/>
          <w:szCs w:val="24"/>
          <w:lang w:val="zh-CN" w:eastAsia="zh-CN"/>
        </w:rPr>
      </w:pPr>
      <w:r>
        <w:rPr>
          <w:rFonts w:hint="eastAsia" w:ascii="宋体" w:hAnsi="宋体" w:eastAsia="宋体" w:cs="Times New Roman"/>
          <w:b/>
          <w:sz w:val="24"/>
          <w:szCs w:val="24"/>
          <w:lang w:val="zh-CN" w:eastAsia="zh-CN"/>
        </w:rPr>
        <w:t>说明：</w:t>
      </w:r>
      <w:r>
        <w:rPr>
          <w:rFonts w:hint="eastAsia" w:ascii="宋体" w:hAnsi="宋体" w:eastAsia="宋体" w:cs="Times New Roman"/>
          <w:sz w:val="24"/>
          <w:szCs w:val="24"/>
          <w:lang w:val="zh-CN" w:eastAsia="zh-CN"/>
        </w:rPr>
        <w:t>投标文件应附完整的相关证明材料清晰影印件，未按照要求详细完整填写此表，导致的后果由投标人自行承担。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5"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pStyle w:val="4"/>
        <w:numPr>
          <w:ilvl w:val="0"/>
          <w:numId w:val="93"/>
        </w:numPr>
        <w:spacing w:before="40" w:after="40" w:line="360" w:lineRule="auto"/>
        <w:ind w:left="1285" w:hanging="1280" w:hangingChars="400"/>
        <w:jc w:val="left"/>
        <w:rPr>
          <w:rFonts w:ascii="宋体" w:hAnsi="宋体" w:eastAsia="宋体"/>
        </w:rPr>
      </w:pPr>
      <w:bookmarkStart w:id="416" w:name="_Toc511894541"/>
      <w:bookmarkStart w:id="417" w:name="_Toc30414"/>
      <w:bookmarkStart w:id="418" w:name="_Toc511895482"/>
      <w:r>
        <w:rPr>
          <w:rFonts w:hint="eastAsia" w:ascii="宋体" w:hAnsi="宋体" w:eastAsia="宋体"/>
        </w:rPr>
        <w:t>项目班子成员情况表</w:t>
      </w:r>
      <w:bookmarkEnd w:id="416"/>
      <w:bookmarkEnd w:id="417"/>
      <w:bookmarkEnd w:id="418"/>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Times New Roman"/>
                <w:sz w:val="24"/>
                <w:szCs w:val="24"/>
              </w:rPr>
            </w:pPr>
            <w:r>
              <w:rPr>
                <w:rFonts w:hint="eastAsia" w:ascii="宋体" w:hAnsi="宋体" w:eastAsia="宋体" w:cs="仿宋_GB2312"/>
                <w:sz w:val="24"/>
                <w:szCs w:val="24"/>
              </w:rPr>
              <w:t>序号</w:t>
            </w:r>
          </w:p>
        </w:tc>
        <w:tc>
          <w:tcPr>
            <w:tcW w:w="1113"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533"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91"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107"/>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107"/>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107"/>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107"/>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107"/>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107"/>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宋体" w:cs="Times New Roman"/>
                <w:sz w:val="24"/>
                <w:szCs w:val="24"/>
              </w:rPr>
            </w:pPr>
            <w:r>
              <w:rPr>
                <w:rFonts w:ascii="宋体" w:hAnsi="宋体" w:eastAsia="宋体" w:cs="Times New Roman"/>
                <w:sz w:val="24"/>
                <w:szCs w:val="24"/>
              </w:rPr>
              <w:t>…</w:t>
            </w: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bl>
    <w:p>
      <w:pPr>
        <w:spacing w:line="360" w:lineRule="auto"/>
        <w:ind w:left="754" w:hanging="751" w:hangingChars="313"/>
        <w:jc w:val="left"/>
        <w:rPr>
          <w:rFonts w:ascii="宋体" w:hAnsi="宋体" w:eastAsia="宋体" w:cs="Times New Roman"/>
          <w:sz w:val="24"/>
          <w:szCs w:val="24"/>
          <w:lang w:val="zh-CN"/>
        </w:rPr>
      </w:pPr>
      <w:r>
        <w:rPr>
          <w:rFonts w:hint="eastAsia" w:ascii="宋体" w:hAnsi="宋体" w:eastAsia="宋体" w:cs="Times New Roman"/>
          <w:b/>
          <w:sz w:val="24"/>
          <w:szCs w:val="24"/>
          <w:lang w:val="zh-CN" w:eastAsia="zh-CN"/>
        </w:rPr>
        <w:t>说明：</w:t>
      </w:r>
      <w:r>
        <w:rPr>
          <w:rFonts w:hint="eastAsia" w:ascii="宋体" w:hAnsi="宋体"/>
          <w:sz w:val="24"/>
        </w:rPr>
        <w:t>投标文件应附完整的相关证明材料清晰影印件</w:t>
      </w:r>
      <w:r>
        <w:rPr>
          <w:rFonts w:hint="eastAsia" w:ascii="宋体" w:hAnsi="宋体" w:eastAsia="宋体" w:cs="Times New Roman"/>
          <w:sz w:val="24"/>
          <w:szCs w:val="24"/>
          <w:lang w:val="zh-CN" w:eastAsia="zh-CN"/>
        </w:rPr>
        <w:t>，</w:t>
      </w:r>
      <w:r>
        <w:rPr>
          <w:rFonts w:hint="eastAsia" w:ascii="宋体" w:hAnsi="宋体" w:eastAsia="宋体" w:cs="Corbel"/>
          <w:sz w:val="24"/>
          <w:szCs w:val="21"/>
          <w:lang w:val="zh-CN" w:eastAsia="zh-CN"/>
        </w:rPr>
        <w:t>未按照要求详细完整填写此表，</w:t>
      </w:r>
      <w:r>
        <w:rPr>
          <w:rFonts w:hint="eastAsia" w:ascii="宋体" w:hAnsi="宋体" w:eastAsia="宋体" w:cs="Times New Roman"/>
          <w:sz w:val="24"/>
          <w:szCs w:val="21"/>
          <w:lang w:val="zh-CN" w:eastAsia="zh-CN"/>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0"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AndChars" w:linePitch="312" w:charSpace="0"/>
        </w:sectPr>
      </w:pPr>
    </w:p>
    <w:p>
      <w:pPr>
        <w:pStyle w:val="4"/>
        <w:numPr>
          <w:ilvl w:val="0"/>
          <w:numId w:val="93"/>
        </w:numPr>
        <w:spacing w:before="40" w:after="40" w:line="360" w:lineRule="auto"/>
        <w:ind w:left="1285" w:hanging="1285" w:hangingChars="400"/>
        <w:jc w:val="left"/>
        <w:rPr>
          <w:rFonts w:ascii="宋体" w:hAnsi="宋体" w:eastAsia="宋体"/>
        </w:rPr>
      </w:pPr>
      <w:bookmarkStart w:id="419" w:name="_Toc511894542"/>
      <w:bookmarkStart w:id="420" w:name="_Toc511895483"/>
      <w:bookmarkStart w:id="421" w:name="_Toc26616"/>
      <w:r>
        <w:rPr>
          <w:rFonts w:hint="eastAsia" w:ascii="宋体" w:hAnsi="宋体" w:eastAsia="宋体"/>
        </w:rPr>
        <w:t>投标人类似项目业绩表</w:t>
      </w:r>
      <w:bookmarkEnd w:id="419"/>
      <w:bookmarkEnd w:id="420"/>
      <w:bookmarkEnd w:id="421"/>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Times New Roman"/>
          <w:sz w:val="24"/>
          <w:szCs w:val="24"/>
        </w:rPr>
        <w:t>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5"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pStyle w:val="4"/>
        <w:numPr>
          <w:ilvl w:val="0"/>
          <w:numId w:val="93"/>
        </w:numPr>
        <w:spacing w:before="40" w:after="40" w:line="360" w:lineRule="auto"/>
        <w:ind w:left="1285" w:hanging="1280" w:hangingChars="400"/>
        <w:jc w:val="left"/>
        <w:rPr>
          <w:rFonts w:ascii="宋体" w:hAnsi="宋体" w:eastAsia="宋体"/>
        </w:rPr>
      </w:pPr>
      <w:bookmarkStart w:id="422" w:name="_Toc511894543"/>
      <w:bookmarkStart w:id="423" w:name="_Toc24721"/>
      <w:bookmarkStart w:id="424" w:name="_Toc511895484"/>
      <w:r>
        <w:rPr>
          <w:rFonts w:hint="eastAsia" w:ascii="宋体" w:hAnsi="宋体" w:eastAsia="宋体"/>
        </w:rPr>
        <w:t>符合性审查对照表</w:t>
      </w:r>
      <w:bookmarkEnd w:id="422"/>
      <w:bookmarkEnd w:id="423"/>
      <w:bookmarkEnd w:id="424"/>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07"/>
        <w:gridCol w:w="3121"/>
        <w:gridCol w:w="1203"/>
        <w:gridCol w:w="15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25" w:type="pct"/>
            <w:shd w:val="pct10" w:color="C3BD96" w:themeColor="background2" w:themeShade="BF" w:fill="DDD9C4" w:themeFill="background2" w:themeFillShade="E6"/>
            <w:vAlign w:val="center"/>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招标文件符合性审查条款的序号及内容</w:t>
            </w:r>
          </w:p>
        </w:tc>
        <w:tc>
          <w:tcPr>
            <w:tcW w:w="1632" w:type="pct"/>
            <w:shd w:val="pct10" w:color="C3BD96" w:themeColor="background2" w:themeShade="BF" w:fill="DDD9C4" w:themeFill="background2" w:themeFillShade="E6"/>
            <w:vAlign w:val="center"/>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29" w:type="pct"/>
            <w:shd w:val="pct10" w:color="C3BD96" w:themeColor="background2" w:themeShade="BF" w:fill="DDD9C4" w:themeFill="background2" w:themeFillShade="E6"/>
            <w:vAlign w:val="center"/>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9" w:type="pct"/>
            <w:shd w:val="pct10" w:color="C3BD96" w:themeColor="background2" w:themeShade="BF" w:fill="DDD9C4" w:themeFill="background2" w:themeFillShade="E6"/>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108"/>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108"/>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108"/>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108"/>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108"/>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108"/>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bl>
    <w:p>
      <w:pPr>
        <w:spacing w:line="360" w:lineRule="auto"/>
        <w:ind w:left="1132" w:hanging="1128" w:hangingChars="470"/>
        <w:jc w:val="left"/>
        <w:rPr>
          <w:rFonts w:ascii="宋体" w:hAnsi="宋体" w:eastAsia="宋体" w:cs="Times New Roman"/>
          <w:b/>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118" w:leftChars="366"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0"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AndChars" w:linePitch="312" w:charSpace="0"/>
        </w:sectPr>
      </w:pPr>
    </w:p>
    <w:p>
      <w:pPr>
        <w:pStyle w:val="4"/>
        <w:numPr>
          <w:ilvl w:val="0"/>
          <w:numId w:val="93"/>
        </w:numPr>
        <w:spacing w:before="40" w:after="40" w:line="360" w:lineRule="auto"/>
        <w:ind w:left="1285" w:hanging="1285" w:hangingChars="400"/>
        <w:jc w:val="left"/>
        <w:rPr>
          <w:rFonts w:ascii="宋体" w:hAnsi="宋体" w:eastAsia="宋体"/>
        </w:rPr>
      </w:pPr>
      <w:bookmarkStart w:id="425" w:name="_Toc511895485"/>
      <w:bookmarkStart w:id="426" w:name="_Toc511894544"/>
      <w:bookmarkStart w:id="427" w:name="_Toc7555"/>
      <w:r>
        <w:rPr>
          <w:rFonts w:hint="eastAsia" w:ascii="宋体" w:hAnsi="宋体" w:eastAsia="宋体"/>
        </w:rPr>
        <w:t>商务要求响应、偏离说明表</w:t>
      </w:r>
      <w:bookmarkEnd w:id="425"/>
      <w:bookmarkEnd w:id="426"/>
      <w:bookmarkEnd w:id="427"/>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09"/>
        <w:gridCol w:w="3121"/>
        <w:gridCol w:w="1205"/>
        <w:gridCol w:w="15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26"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招标文件商务要求条款的序号及内容</w:t>
            </w:r>
          </w:p>
        </w:tc>
        <w:tc>
          <w:tcPr>
            <w:tcW w:w="1632"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30"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8" w:type="pct"/>
            <w:shd w:val="pct10" w:color="C3BD96" w:themeColor="background2" w:themeShade="BF" w:fill="DDD9C4" w:themeFill="background2" w:themeFillShade="E6"/>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109"/>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109"/>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109"/>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109"/>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109"/>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109"/>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bl>
    <w:p>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4"/>
        <w:numPr>
          <w:ilvl w:val="0"/>
          <w:numId w:val="103"/>
        </w:numPr>
        <w:spacing w:before="40" w:after="40" w:line="360" w:lineRule="auto"/>
        <w:ind w:left="1285" w:hanging="1285" w:hangingChars="400"/>
        <w:jc w:val="left"/>
        <w:rPr>
          <w:rFonts w:cs="Times New Roman" w:asciiTheme="majorEastAsia" w:hAnsiTheme="majorEastAsia"/>
          <w:bCs w:val="0"/>
          <w:lang w:eastAsia="zh-CN"/>
        </w:rPr>
        <w:sectPr>
          <w:pgSz w:w="11906" w:h="16838"/>
          <w:pgMar w:top="1134" w:right="1191" w:bottom="1134" w:left="1191" w:header="851" w:footer="992" w:gutter="0"/>
          <w:pgNumType w:fmt="decimal"/>
          <w:cols w:space="425" w:num="1"/>
          <w:docGrid w:type="lines" w:linePitch="312" w:charSpace="0"/>
        </w:sectPr>
      </w:pPr>
    </w:p>
    <w:p>
      <w:pPr>
        <w:pStyle w:val="4"/>
        <w:numPr>
          <w:ilvl w:val="0"/>
          <w:numId w:val="93"/>
        </w:numPr>
        <w:spacing w:before="40" w:after="40" w:line="360" w:lineRule="auto"/>
        <w:ind w:left="1285" w:hanging="1285" w:hangingChars="400"/>
        <w:jc w:val="left"/>
        <w:rPr>
          <w:rFonts w:cs="Times New Roman" w:asciiTheme="majorEastAsia" w:hAnsiTheme="majorEastAsia"/>
          <w:bCs w:val="0"/>
          <w:lang w:eastAsia="zh-CN"/>
        </w:rPr>
      </w:pPr>
      <w:bookmarkStart w:id="428" w:name="_Toc511895488"/>
      <w:bookmarkStart w:id="429" w:name="_Toc21146"/>
      <w:bookmarkStart w:id="430" w:name="_Toc511894547"/>
      <w:r>
        <w:rPr>
          <w:rFonts w:hint="eastAsia" w:cs="Times New Roman" w:asciiTheme="majorEastAsia" w:hAnsiTheme="majorEastAsia"/>
          <w:bCs w:val="0"/>
          <w:lang w:eastAsia="zh-CN"/>
        </w:rPr>
        <w:t>技术、服务要求响应、偏离说明表</w:t>
      </w:r>
      <w:bookmarkEnd w:id="428"/>
      <w:bookmarkEnd w:id="429"/>
      <w:bookmarkEnd w:id="430"/>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所投包号：</w:t>
      </w:r>
      <w:r>
        <w:rPr>
          <w:rFonts w:hint="eastAsia" w:ascii="宋体" w:hAnsi="宋体" w:eastAsia="宋体" w:cs="Times New Roman"/>
          <w:b/>
          <w:bCs/>
          <w:sz w:val="24"/>
          <w:szCs w:val="21"/>
          <w:u w:val="single"/>
          <w:lang w:val="zh-CN"/>
        </w:rPr>
        <w:t xml:space="preserve">           </w:t>
      </w:r>
    </w:p>
    <w:tbl>
      <w:tblPr>
        <w:tblStyle w:val="24"/>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77"/>
        <w:gridCol w:w="3177"/>
        <w:gridCol w:w="1236"/>
        <w:gridCol w:w="13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61"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招标文件技术、服务要求条款的序号及内容</w:t>
            </w:r>
          </w:p>
        </w:tc>
        <w:tc>
          <w:tcPr>
            <w:tcW w:w="1661"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46"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16" w:type="pct"/>
            <w:shd w:val="pct10" w:color="C3BD96" w:themeColor="background2" w:themeShade="BF" w:fill="DDD9C4" w:themeFill="background2" w:themeFillShade="E6"/>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110"/>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110"/>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110"/>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110"/>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110"/>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110"/>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bl>
    <w:p>
      <w:pPr>
        <w:spacing w:line="360" w:lineRule="auto"/>
        <w:ind w:left="1132" w:hanging="1132" w:hangingChars="470"/>
        <w:jc w:val="left"/>
        <w:rPr>
          <w:rFonts w:ascii="宋体" w:hAnsi="宋体" w:eastAsia="宋体" w:cs="Times New Roman"/>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119"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lang w:eastAsia="zh-CN"/>
        </w:rPr>
      </w:pPr>
      <w:r>
        <w:rPr>
          <w:rFonts w:hint="eastAsia" w:ascii="Times New Roman" w:hAnsi="宋体" w:eastAsia="宋体" w:cs="Times New Roman"/>
          <w:sz w:val="24"/>
          <w:szCs w:val="24"/>
        </w:rPr>
        <w:t>日   期：</w:t>
      </w:r>
      <w:r>
        <w:rPr>
          <w:rFonts w:hint="eastAsia" w:hAnsi="宋体"/>
          <w:bCs/>
          <w:sz w:val="24"/>
          <w:u w:val="single"/>
        </w:rPr>
        <w:t xml:space="preserve">                               </w:t>
      </w:r>
    </w:p>
    <w:sectPr>
      <w:pgSz w:w="11906" w:h="16838"/>
      <w:pgMar w:top="11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spacing w:before="960" w:beforeLines="400"/>
      <w:jc w:val="right"/>
      <w:rPr>
        <w:rFonts w:ascii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000000" w:themeColor="text1" w:sz="0" w:space="1"/>
        <w:left w:val="none" w:color="auto" w:sz="0" w:space="0"/>
        <w:bottom w:val="none" w:color="auto" w:sz="0" w:space="0"/>
        <w:right w:val="none" w:color="auto" w:sz="0" w:space="0"/>
        <w:between w:val="none" w:color="auto" w:sz="0" w:space="0"/>
      </w:pBdr>
      <w:tabs>
        <w:tab w:val="clear" w:pos="4153"/>
        <w:tab w:val="clear" w:pos="8306"/>
      </w:tabs>
      <w:ind w:right="-9"/>
      <w:rPr>
        <w:rFonts w:asciiTheme="minorEastAsia" w:hAnsiTheme="minorEastAsia"/>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000000" w:sz="0" w:space="1"/>
        <w:left w:val="none" w:color="auto" w:sz="0" w:space="0"/>
        <w:bottom w:val="none" w:color="auto" w:sz="0" w:space="0"/>
        <w:right w:val="none" w:color="auto" w:sz="0" w:space="0"/>
        <w:between w:val="none" w:color="auto" w:sz="0" w:space="0"/>
      </w:pBdr>
      <w:tabs>
        <w:tab w:val="clear" w:pos="4153"/>
        <w:tab w:val="clear" w:pos="8306"/>
      </w:tabs>
      <w:ind w:right="-9"/>
      <w:jc w:val="center"/>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000000" w:themeColor="text1" w:sz="0" w:space="1"/>
        <w:left w:val="none" w:color="auto" w:sz="0" w:space="0"/>
        <w:bottom w:val="none" w:color="auto" w:sz="0" w:space="0"/>
        <w:right w:val="none" w:color="auto" w:sz="0" w:space="0"/>
        <w:between w:val="none" w:color="auto" w:sz="0" w:space="0"/>
      </w:pBdr>
      <w:tabs>
        <w:tab w:val="clear" w:pos="4153"/>
        <w:tab w:val="clear" w:pos="8306"/>
      </w:tabs>
      <w:ind w:right="-9"/>
      <w:rPr>
        <w:rFonts w:asciiTheme="minorEastAsia" w:hAnsiTheme="minor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tabs>
        <w:tab w:val="left" w:pos="3148"/>
        <w:tab w:val="center" w:pos="4762"/>
        <w:tab w:val="clear" w:pos="4153"/>
        <w:tab w:val="clear" w:pos="8306"/>
      </w:tabs>
      <w:jc w:val="right"/>
      <w:rPr>
        <w:rFonts w:hint="eastAsia" w:eastAsiaTheme="minor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A09AB"/>
    <w:multiLevelType w:val="multilevel"/>
    <w:tmpl w:val="9AFA09AB"/>
    <w:lvl w:ilvl="0" w:tentative="0">
      <w:start w:val="1"/>
      <w:numFmt w:val="decimal"/>
      <w:lvlText w:val="18.%1"/>
      <w:lvlJc w:val="left"/>
      <w:pPr>
        <w:ind w:left="425" w:hanging="425"/>
      </w:pPr>
      <w:rPr>
        <w:rFonts w:hint="eastAsia"/>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E8F5689"/>
    <w:multiLevelType w:val="singleLevel"/>
    <w:tmpl w:val="9E8F5689"/>
    <w:lvl w:ilvl="0" w:tentative="0">
      <w:start w:val="1"/>
      <w:numFmt w:val="decimal"/>
      <w:suff w:val="nothing"/>
      <w:lvlText w:val="%1、"/>
      <w:lvlJc w:val="left"/>
    </w:lvl>
  </w:abstractNum>
  <w:abstractNum w:abstractNumId="2">
    <w:nsid w:val="B88FBAE5"/>
    <w:multiLevelType w:val="singleLevel"/>
    <w:tmpl w:val="B88FBAE5"/>
    <w:lvl w:ilvl="0" w:tentative="0">
      <w:start w:val="1"/>
      <w:numFmt w:val="decimal"/>
      <w:suff w:val="nothing"/>
      <w:lvlText w:val="%1．"/>
      <w:lvlJc w:val="left"/>
      <w:pPr>
        <w:ind w:left="0" w:firstLine="400"/>
      </w:pPr>
      <w:rPr>
        <w:rFonts w:hint="default"/>
      </w:rPr>
    </w:lvl>
  </w:abstractNum>
  <w:abstractNum w:abstractNumId="3">
    <w:nsid w:val="F8493756"/>
    <w:multiLevelType w:val="singleLevel"/>
    <w:tmpl w:val="F8493756"/>
    <w:lvl w:ilvl="0" w:tentative="0">
      <w:start w:val="1"/>
      <w:numFmt w:val="decimal"/>
      <w:suff w:val="nothing"/>
      <w:lvlText w:val="%1、"/>
      <w:lvlJc w:val="left"/>
    </w:lvl>
  </w:abstractNum>
  <w:abstractNum w:abstractNumId="4">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
    <w:nsid w:val="0068509E"/>
    <w:multiLevelType w:val="multilevel"/>
    <w:tmpl w:val="0068509E"/>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E45745"/>
    <w:multiLevelType w:val="multilevel"/>
    <w:tmpl w:val="00E45745"/>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2BE6067"/>
    <w:multiLevelType w:val="multilevel"/>
    <w:tmpl w:val="02BE6067"/>
    <w:lvl w:ilvl="0" w:tentative="0">
      <w:start w:val="1"/>
      <w:numFmt w:val="decimal"/>
      <w:lvlText w:val="2.4.%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4AB537D"/>
    <w:multiLevelType w:val="multilevel"/>
    <w:tmpl w:val="04AB537D"/>
    <w:lvl w:ilvl="0" w:tentative="0">
      <w:start w:val="1"/>
      <w:numFmt w:val="chineseCountingThousand"/>
      <w:lvlText w:val="（%1）"/>
      <w:lvlJc w:val="left"/>
      <w:pPr>
        <w:ind w:left="846" w:hanging="420"/>
      </w:pPr>
      <w:rPr>
        <w:rFonts w:hint="eastAsia" w:ascii="黑体" w:hAnsi="黑体" w:eastAsia="黑体"/>
        <w:b/>
        <w:caps w:val="0"/>
        <w:strike w:val="0"/>
        <w:dstrike w:val="0"/>
        <w:vanish w:val="0"/>
        <w:color w:val="auto"/>
        <w:vertAlign w:val="baseli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066E63B6"/>
    <w:multiLevelType w:val="multilevel"/>
    <w:tmpl w:val="066E63B6"/>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776672A"/>
    <w:multiLevelType w:val="multilevel"/>
    <w:tmpl w:val="0776672A"/>
    <w:lvl w:ilvl="0" w:tentative="0">
      <w:start w:val="1"/>
      <w:numFmt w:val="decimal"/>
      <w:lvlText w:val="20.%1"/>
      <w:lvlJc w:val="left"/>
      <w:pPr>
        <w:ind w:left="420" w:hanging="420"/>
      </w:pPr>
      <w:rPr>
        <w:rFonts w:hint="eastAsia"/>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07F905BE"/>
    <w:multiLevelType w:val="multilevel"/>
    <w:tmpl w:val="07F905BE"/>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5">
    <w:nsid w:val="08583680"/>
    <w:multiLevelType w:val="multilevel"/>
    <w:tmpl w:val="08583680"/>
    <w:lvl w:ilvl="0" w:tentative="0">
      <w:start w:val="2"/>
      <w:numFmt w:val="decimal"/>
      <w:lvlText w:val="%1"/>
      <w:lvlJc w:val="center"/>
      <w:pPr>
        <w:ind w:left="704" w:hanging="420"/>
      </w:pPr>
      <w:rPr>
        <w:rFonts w:hint="eastAsia" w:ascii="宋体" w:hAnsi="宋体"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A0171EC"/>
    <w:multiLevelType w:val="multilevel"/>
    <w:tmpl w:val="0A0171EC"/>
    <w:lvl w:ilvl="0" w:tentative="0">
      <w:start w:val="1"/>
      <w:numFmt w:val="chineseCountingThousand"/>
      <w:lvlText w:val="附件%1："/>
      <w:lvlJc w:val="left"/>
      <w:pPr>
        <w:ind w:left="2263" w:hanging="420"/>
      </w:pPr>
      <w:rPr>
        <w:rFonts w:hint="eastAsia"/>
        <w:b/>
        <w:strike w:val="0"/>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BFA2E35"/>
    <w:multiLevelType w:val="multilevel"/>
    <w:tmpl w:val="0BFA2E35"/>
    <w:lvl w:ilvl="0" w:tentative="0">
      <w:start w:val="1"/>
      <w:numFmt w:val="decimal"/>
      <w:lvlText w:val="10.%1 "/>
      <w:lvlJc w:val="left"/>
      <w:pPr>
        <w:ind w:left="50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A0403F"/>
    <w:multiLevelType w:val="multilevel"/>
    <w:tmpl w:val="0EA040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1">
    <w:nsid w:val="0EB600DC"/>
    <w:multiLevelType w:val="multilevel"/>
    <w:tmpl w:val="0EB600DC"/>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25">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7F718E9"/>
    <w:multiLevelType w:val="multilevel"/>
    <w:tmpl w:val="17F718E9"/>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B832C75"/>
    <w:multiLevelType w:val="multilevel"/>
    <w:tmpl w:val="1B832C75"/>
    <w:lvl w:ilvl="0" w:tentative="0">
      <w:start w:val="1"/>
      <w:numFmt w:val="decimal"/>
      <w:lvlText w:val="5.%1 "/>
      <w:lvlJc w:val="left"/>
      <w:pPr>
        <w:ind w:left="50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00F0726"/>
    <w:multiLevelType w:val="multilevel"/>
    <w:tmpl w:val="200F0726"/>
    <w:lvl w:ilvl="0" w:tentative="0">
      <w:start w:val="1"/>
      <w:numFmt w:val="decimal"/>
      <w:lvlText w:val="★%1"/>
      <w:lvlJc w:val="center"/>
      <w:pPr>
        <w:ind w:left="846" w:hanging="420"/>
      </w:pPr>
      <w:rPr>
        <w:rFonts w:hint="eastAsia" w:ascii="宋体" w:hAnsi="宋体" w:eastAsia="宋体"/>
        <w:b/>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17B1366"/>
    <w:multiLevelType w:val="multilevel"/>
    <w:tmpl w:val="217B1366"/>
    <w:lvl w:ilvl="0" w:tentative="0">
      <w:start w:val="1"/>
      <w:numFmt w:val="decimal"/>
      <w:lvlText w:val="1.%1 "/>
      <w:lvlJc w:val="left"/>
      <w:pPr>
        <w:ind w:left="846" w:hanging="420"/>
      </w:pPr>
      <w:rPr>
        <w:rFonts w:hint="eastAsia" w:ascii="仿宋" w:hAnsi="仿宋" w:eastAsia="仿宋"/>
        <w:b/>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1B30F78"/>
    <w:multiLevelType w:val="multilevel"/>
    <w:tmpl w:val="21B30F78"/>
    <w:lvl w:ilvl="0" w:tentative="0">
      <w:start w:val="1"/>
      <w:numFmt w:val="decimal"/>
      <w:lvlText w:val="2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22FF4242"/>
    <w:multiLevelType w:val="multilevel"/>
    <w:tmpl w:val="22FF4242"/>
    <w:lvl w:ilvl="0" w:tentative="0">
      <w:start w:val="1"/>
      <w:numFmt w:val="decimal"/>
      <w:lvlText w:val="%1. "/>
      <w:lvlJc w:val="left"/>
      <w:pPr>
        <w:ind w:left="1129" w:hanging="420"/>
      </w:pPr>
      <w:rPr>
        <w:rFonts w:hint="default" w:ascii="宋体" w:hAnsi="宋体" w:eastAsia="宋体"/>
        <w:b/>
        <w:strike w:val="0"/>
        <w:color w:val="auto"/>
        <w:sz w:val="24"/>
        <w:szCs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2354186E"/>
    <w:multiLevelType w:val="multilevel"/>
    <w:tmpl w:val="2354186E"/>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7">
    <w:nsid w:val="255148D1"/>
    <w:multiLevelType w:val="multilevel"/>
    <w:tmpl w:val="255148D1"/>
    <w:lvl w:ilvl="0" w:tentative="0">
      <w:start w:val="1"/>
      <w:numFmt w:val="decimal"/>
      <w:lvlText w:val="24.%1"/>
      <w:lvlJc w:val="left"/>
      <w:pPr>
        <w:ind w:left="420" w:hanging="420"/>
      </w:pPr>
      <w:rPr>
        <w:rFonts w:hint="eastAsia"/>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9">
    <w:nsid w:val="27FE7BA7"/>
    <w:multiLevelType w:val="multilevel"/>
    <w:tmpl w:val="27FE7BA7"/>
    <w:lvl w:ilvl="0" w:tentative="0">
      <w:start w:val="1"/>
      <w:numFmt w:val="decimal"/>
      <w:lvlText w:val="26.1.%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28359B5C"/>
    <w:multiLevelType w:val="multilevel"/>
    <w:tmpl w:val="28359B5C"/>
    <w:lvl w:ilvl="0" w:tentative="0">
      <w:start w:val="1"/>
      <w:numFmt w:val="decimal"/>
      <w:lvlText w:val="30.%1 "/>
      <w:lvlJc w:val="left"/>
      <w:pPr>
        <w:ind w:left="506" w:hanging="420"/>
      </w:pPr>
      <w:rPr>
        <w:rFonts w:hint="default" w:ascii="宋体" w:hAnsi="宋体" w:eastAsia="宋体" w:cs="宋体"/>
        <w:b w:val="0"/>
        <w:color w:val="auto"/>
      </w:rPr>
    </w:lvl>
    <w:lvl w:ilvl="1" w:tentative="0">
      <w:start w:val="1"/>
      <w:numFmt w:val="lowerLetter"/>
      <w:lvlText w:val="%2)"/>
      <w:lvlJc w:val="left"/>
      <w:pPr>
        <w:ind w:left="926" w:hanging="420"/>
      </w:pPr>
    </w:lvl>
    <w:lvl w:ilvl="2" w:tentative="0">
      <w:start w:val="1"/>
      <w:numFmt w:val="lowerRoman"/>
      <w:lvlText w:val="%3."/>
      <w:lvlJc w:val="right"/>
      <w:pPr>
        <w:ind w:left="1346" w:hanging="420"/>
      </w:pPr>
    </w:lvl>
    <w:lvl w:ilvl="3" w:tentative="0">
      <w:start w:val="1"/>
      <w:numFmt w:val="decimal"/>
      <w:lvlText w:val="%4."/>
      <w:lvlJc w:val="left"/>
      <w:pPr>
        <w:ind w:left="1766" w:hanging="420"/>
      </w:pPr>
    </w:lvl>
    <w:lvl w:ilvl="4" w:tentative="0">
      <w:start w:val="1"/>
      <w:numFmt w:val="lowerLetter"/>
      <w:lvlText w:val="%5)"/>
      <w:lvlJc w:val="left"/>
      <w:pPr>
        <w:ind w:left="2186" w:hanging="420"/>
      </w:pPr>
    </w:lvl>
    <w:lvl w:ilvl="5" w:tentative="0">
      <w:start w:val="1"/>
      <w:numFmt w:val="lowerRoman"/>
      <w:lvlText w:val="%6."/>
      <w:lvlJc w:val="right"/>
      <w:pPr>
        <w:ind w:left="2606" w:hanging="420"/>
      </w:pPr>
    </w:lvl>
    <w:lvl w:ilvl="6" w:tentative="0">
      <w:start w:val="1"/>
      <w:numFmt w:val="decimal"/>
      <w:lvlText w:val="%7."/>
      <w:lvlJc w:val="left"/>
      <w:pPr>
        <w:ind w:left="3026" w:hanging="420"/>
      </w:pPr>
    </w:lvl>
    <w:lvl w:ilvl="7" w:tentative="0">
      <w:start w:val="1"/>
      <w:numFmt w:val="lowerLetter"/>
      <w:lvlText w:val="%8)"/>
      <w:lvlJc w:val="left"/>
      <w:pPr>
        <w:ind w:left="3446" w:hanging="420"/>
      </w:pPr>
    </w:lvl>
    <w:lvl w:ilvl="8" w:tentative="0">
      <w:start w:val="1"/>
      <w:numFmt w:val="lowerRoman"/>
      <w:lvlText w:val="%9."/>
      <w:lvlJc w:val="right"/>
      <w:pPr>
        <w:ind w:left="3866" w:hanging="420"/>
      </w:pPr>
    </w:lvl>
  </w:abstractNum>
  <w:abstractNum w:abstractNumId="4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A0256CE"/>
    <w:multiLevelType w:val="multilevel"/>
    <w:tmpl w:val="2A0256CE"/>
    <w:lvl w:ilvl="0" w:tentative="0">
      <w:start w:val="1"/>
      <w:numFmt w:val="decimal"/>
      <w:lvlText w:val="2.%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B3D6D97"/>
    <w:multiLevelType w:val="multilevel"/>
    <w:tmpl w:val="2B3D6D97"/>
    <w:lvl w:ilvl="0" w:tentative="0">
      <w:start w:val="1"/>
      <w:numFmt w:val="decimal"/>
      <w:lvlText w:val="%1"/>
      <w:lvlJc w:val="center"/>
      <w:pPr>
        <w:ind w:left="1044" w:hanging="647"/>
      </w:pPr>
      <w:rPr>
        <w:rFonts w:hint="default"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B9070FB"/>
    <w:multiLevelType w:val="multilevel"/>
    <w:tmpl w:val="2B9070FB"/>
    <w:lvl w:ilvl="0" w:tentative="0">
      <w:start w:val="1"/>
      <w:numFmt w:val="decimal"/>
      <w:lvlText w:val="%1."/>
      <w:lvlJc w:val="left"/>
      <w:pPr>
        <w:ind w:left="987" w:hanging="420"/>
      </w:pPr>
      <w:rPr>
        <w:rFonts w:hint="default" w:ascii="宋体" w:hAnsi="宋体" w:eastAsia="宋体"/>
        <w:b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2C836235"/>
    <w:multiLevelType w:val="multilevel"/>
    <w:tmpl w:val="2C836235"/>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CC65A04"/>
    <w:multiLevelType w:val="multilevel"/>
    <w:tmpl w:val="2CC65A04"/>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0">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311832AE"/>
    <w:multiLevelType w:val="multilevel"/>
    <w:tmpl w:val="311832AE"/>
    <w:lvl w:ilvl="0" w:tentative="0">
      <w:start w:val="1"/>
      <w:numFmt w:val="decimal"/>
      <w:lvlText w:val="19.%1"/>
      <w:lvlJc w:val="left"/>
      <w:pPr>
        <w:ind w:left="1271"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3">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4067B01"/>
    <w:multiLevelType w:val="multilevel"/>
    <w:tmpl w:val="34067B01"/>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48D551D"/>
    <w:multiLevelType w:val="multilevel"/>
    <w:tmpl w:val="348D551D"/>
    <w:lvl w:ilvl="0" w:tentative="0">
      <w:start w:val="1"/>
      <w:numFmt w:val="decimal"/>
      <w:lvlText w:val="1.4.%1 "/>
      <w:lvlJc w:val="left"/>
      <w:pPr>
        <w:ind w:left="987" w:hanging="420"/>
      </w:pPr>
      <w:rPr>
        <w:rFonts w:hint="default" w:ascii="楷体" w:hAnsi="楷体" w:eastAsia="楷体"/>
        <w:b w:val="0"/>
        <w:strike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6">
    <w:nsid w:val="35276923"/>
    <w:multiLevelType w:val="multilevel"/>
    <w:tmpl w:val="35276923"/>
    <w:lvl w:ilvl="0" w:tentative="0">
      <w:start w:val="1"/>
      <w:numFmt w:val="decimal"/>
      <w:lvlText w:val="%1"/>
      <w:lvlJc w:val="left"/>
      <w:pPr>
        <w:ind w:left="420" w:hanging="420"/>
      </w:pPr>
      <w:rPr>
        <w:rFonts w:hint="eastAsia" w:ascii="宋体" w:hAnsi="宋体" w:eastAsia="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7">
    <w:nsid w:val="35442C9F"/>
    <w:multiLevelType w:val="multilevel"/>
    <w:tmpl w:val="35442C9F"/>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37434FB1"/>
    <w:multiLevelType w:val="multilevel"/>
    <w:tmpl w:val="37434FB1"/>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8C92E05"/>
    <w:multiLevelType w:val="multilevel"/>
    <w:tmpl w:val="38C92E05"/>
    <w:lvl w:ilvl="0" w:tentative="0">
      <w:start w:val="7"/>
      <w:numFmt w:val="decimal"/>
      <w:lvlText w:val="★4.%1 "/>
      <w:lvlJc w:val="left"/>
      <w:pPr>
        <w:ind w:left="506" w:hanging="420"/>
      </w:pPr>
      <w:rPr>
        <w:rFonts w:hint="eastAsia" w:ascii="仿宋" w:hAnsi="仿宋" w:eastAsia="仿宋"/>
        <w:b/>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3">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4">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4357922"/>
    <w:multiLevelType w:val="multilevel"/>
    <w:tmpl w:val="44357922"/>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7">
    <w:nsid w:val="46D76BA6"/>
    <w:multiLevelType w:val="multilevel"/>
    <w:tmpl w:val="46D76BA6"/>
    <w:lvl w:ilvl="0" w:tentative="0">
      <w:start w:val="1"/>
      <w:numFmt w:val="decimal"/>
      <w:lvlText w:val="4.%1 "/>
      <w:lvlJc w:val="left"/>
      <w:pPr>
        <w:ind w:left="50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7E1115C"/>
    <w:multiLevelType w:val="multilevel"/>
    <w:tmpl w:val="47E1115C"/>
    <w:lvl w:ilvl="0" w:tentative="0">
      <w:start w:val="15"/>
      <w:numFmt w:val="decimal"/>
      <w:lvlText w:val="%1"/>
      <w:lvlJc w:val="center"/>
      <w:pPr>
        <w:ind w:left="420" w:hanging="420"/>
      </w:pPr>
      <w:rPr>
        <w:rFonts w:hint="default" w:ascii="宋体" w:hAnsi="宋体" w:eastAsia="宋体" w:cs="宋体"/>
        <w:b/>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8E65DDA"/>
    <w:multiLevelType w:val="multilevel"/>
    <w:tmpl w:val="48E65DDA"/>
    <w:lvl w:ilvl="0" w:tentative="0">
      <w:start w:val="1"/>
      <w:numFmt w:val="decimal"/>
      <w:lvlText w:val="8.%1 "/>
      <w:lvlJc w:val="left"/>
      <w:pPr>
        <w:ind w:left="84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EAF5455"/>
    <w:multiLevelType w:val="multilevel"/>
    <w:tmpl w:val="4EAF5455"/>
    <w:lvl w:ilvl="0" w:tentative="0">
      <w:start w:val="1"/>
      <w:numFmt w:val="chineseCountingThousand"/>
      <w:lvlText w:val="第%1章 "/>
      <w:lvlJc w:val="left"/>
      <w:pPr>
        <w:ind w:left="467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012FA6E"/>
    <w:multiLevelType w:val="singleLevel"/>
    <w:tmpl w:val="5012FA6E"/>
    <w:lvl w:ilvl="0" w:tentative="0">
      <w:start w:val="4"/>
      <w:numFmt w:val="decimal"/>
      <w:suff w:val="nothing"/>
      <w:lvlText w:val="%1、"/>
      <w:lvlJc w:val="left"/>
    </w:lvl>
  </w:abstractNum>
  <w:abstractNum w:abstractNumId="72">
    <w:nsid w:val="504411AC"/>
    <w:multiLevelType w:val="multilevel"/>
    <w:tmpl w:val="504411AC"/>
    <w:lvl w:ilvl="0" w:tentative="0">
      <w:start w:val="3"/>
      <w:numFmt w:val="decimal"/>
      <w:lvlText w:val="★4.%1 "/>
      <w:lvlJc w:val="left"/>
      <w:pPr>
        <w:ind w:left="506" w:hanging="420"/>
      </w:pPr>
      <w:rPr>
        <w:rFonts w:hint="eastAsia" w:ascii="仿宋" w:hAnsi="仿宋" w:eastAsia="仿宋"/>
        <w:b/>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05F200A"/>
    <w:multiLevelType w:val="multilevel"/>
    <w:tmpl w:val="505F200A"/>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4">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5">
    <w:nsid w:val="54AC2495"/>
    <w:multiLevelType w:val="multilevel"/>
    <w:tmpl w:val="54AC2495"/>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5A3053C"/>
    <w:multiLevelType w:val="multilevel"/>
    <w:tmpl w:val="55A3053C"/>
    <w:lvl w:ilvl="0" w:tentative="0">
      <w:start w:val="31"/>
      <w:numFmt w:val="decimal"/>
      <w:lvlText w:val="★%1"/>
      <w:lvlJc w:val="center"/>
      <w:pPr>
        <w:ind w:left="506" w:hanging="420"/>
      </w:pPr>
      <w:rPr>
        <w:rFonts w:hint="eastAsia" w:ascii="黑体" w:hAnsi="黑体" w:eastAsia="黑体"/>
        <w:b/>
        <w:i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0">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1">
    <w:nsid w:val="5C2659F4"/>
    <w:multiLevelType w:val="multilevel"/>
    <w:tmpl w:val="5C2659F4"/>
    <w:lvl w:ilvl="0" w:tentative="0">
      <w:start w:val="1"/>
      <w:numFmt w:val="decimal"/>
      <w:lvlText w:val="6.%1 "/>
      <w:lvlJc w:val="left"/>
      <w:pPr>
        <w:ind w:left="50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D95623B"/>
    <w:multiLevelType w:val="multilevel"/>
    <w:tmpl w:val="5D95623B"/>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3">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5EB811DC"/>
    <w:multiLevelType w:val="multilevel"/>
    <w:tmpl w:val="5EB811DC"/>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5EE8292B"/>
    <w:multiLevelType w:val="multilevel"/>
    <w:tmpl w:val="5EE8292B"/>
    <w:lvl w:ilvl="0" w:tentative="0">
      <w:start w:val="1"/>
      <w:numFmt w:val="decimal"/>
      <w:lvlText w:val="2.%1 "/>
      <w:lvlJc w:val="left"/>
      <w:pPr>
        <w:ind w:left="84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0AB47ED"/>
    <w:multiLevelType w:val="multilevel"/>
    <w:tmpl w:val="60AB47ED"/>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7">
    <w:nsid w:val="61F95093"/>
    <w:multiLevelType w:val="multilevel"/>
    <w:tmpl w:val="61F95093"/>
    <w:lvl w:ilvl="0" w:tentative="0">
      <w:start w:val="1"/>
      <w:numFmt w:val="decimal"/>
      <w:lvlText w:val="3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4031BD7"/>
    <w:multiLevelType w:val="multilevel"/>
    <w:tmpl w:val="64031BD7"/>
    <w:lvl w:ilvl="0" w:tentative="0">
      <w:start w:val="1"/>
      <w:numFmt w:val="chineseCountingThousand"/>
      <w:lvlText w:val="（%1）"/>
      <w:lvlJc w:val="left"/>
      <w:pPr>
        <w:ind w:left="90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75A2F0A"/>
    <w:multiLevelType w:val="multilevel"/>
    <w:tmpl w:val="675A2F0A"/>
    <w:lvl w:ilvl="0" w:tentative="0">
      <w:start w:val="1"/>
      <w:numFmt w:val="decimal"/>
      <w:lvlText w:val="9.%1 "/>
      <w:lvlJc w:val="left"/>
      <w:pPr>
        <w:ind w:left="50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68AB399A"/>
    <w:multiLevelType w:val="multilevel"/>
    <w:tmpl w:val="68AB399A"/>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69647823"/>
    <w:multiLevelType w:val="multilevel"/>
    <w:tmpl w:val="69647823"/>
    <w:lvl w:ilvl="0" w:tentative="0">
      <w:start w:val="1"/>
      <w:numFmt w:val="decimal"/>
      <w:lvlText w:val="3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E25566D"/>
    <w:multiLevelType w:val="multilevel"/>
    <w:tmpl w:val="6E25566D"/>
    <w:lvl w:ilvl="0" w:tentative="0">
      <w:start w:val="4"/>
      <w:numFmt w:val="decimal"/>
      <w:lvlText w:val="4.%1 "/>
      <w:lvlJc w:val="left"/>
      <w:pPr>
        <w:ind w:left="50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6EA33B6C"/>
    <w:multiLevelType w:val="multilevel"/>
    <w:tmpl w:val="6EA33B6C"/>
    <w:lvl w:ilvl="0" w:tentative="0">
      <w:start w:val="1"/>
      <w:numFmt w:val="decimal"/>
      <w:lvlText w:val="7.%1 "/>
      <w:lvlJc w:val="left"/>
      <w:pPr>
        <w:ind w:left="84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0523CE7"/>
    <w:multiLevelType w:val="multilevel"/>
    <w:tmpl w:val="70523CE7"/>
    <w:lvl w:ilvl="0" w:tentative="0">
      <w:start w:val="1"/>
      <w:numFmt w:val="decimal"/>
      <w:lvlText w:val="1.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6">
    <w:nsid w:val="71731B18"/>
    <w:multiLevelType w:val="multilevel"/>
    <w:tmpl w:val="71731B18"/>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30B37A3"/>
    <w:multiLevelType w:val="multilevel"/>
    <w:tmpl w:val="730B37A3"/>
    <w:lvl w:ilvl="0" w:tentative="0">
      <w:start w:val="1"/>
      <w:numFmt w:val="decimal"/>
      <w:lvlText w:val="2.%1 "/>
      <w:lvlJc w:val="left"/>
      <w:pPr>
        <w:ind w:left="420"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98">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99">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0">
    <w:nsid w:val="76B36FDD"/>
    <w:multiLevelType w:val="multilevel"/>
    <w:tmpl w:val="76B36FDD"/>
    <w:lvl w:ilvl="0" w:tentative="0">
      <w:start w:val="1"/>
      <w:numFmt w:val="decimal"/>
      <w:lvlText w:val="%1"/>
      <w:lvlJc w:val="center"/>
      <w:pPr>
        <w:ind w:left="420" w:hanging="420"/>
      </w:pPr>
      <w:rPr>
        <w:rFonts w:hint="eastAsia" w:ascii="黑体" w:hAnsi="黑体" w:eastAsia="黑体"/>
        <w:b/>
        <w:i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78925C12"/>
    <w:multiLevelType w:val="multilevel"/>
    <w:tmpl w:val="78925C12"/>
    <w:lvl w:ilvl="0" w:tentative="0">
      <w:start w:val="1"/>
      <w:numFmt w:val="decimal"/>
      <w:lvlText w:val="3.%1 "/>
      <w:lvlJc w:val="left"/>
      <w:pPr>
        <w:ind w:left="84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797F553B"/>
    <w:multiLevelType w:val="multilevel"/>
    <w:tmpl w:val="797F553B"/>
    <w:lvl w:ilvl="0" w:tentative="0">
      <w:start w:val="1"/>
      <w:numFmt w:val="decimal"/>
      <w:lvlText w:val="%1. "/>
      <w:lvlJc w:val="left"/>
      <w:pPr>
        <w:ind w:left="1160" w:hanging="420"/>
      </w:pPr>
      <w:rPr>
        <w:rFonts w:hint="default" w:ascii="宋体" w:hAnsi="宋体" w:eastAsia="宋体"/>
        <w:b/>
        <w:strike w:val="0"/>
        <w:color w:val="auto"/>
        <w:sz w:val="24"/>
        <w:szCs w:val="24"/>
      </w:rPr>
    </w:lvl>
    <w:lvl w:ilvl="1" w:tentative="0">
      <w:start w:val="1"/>
      <w:numFmt w:val="lowerLetter"/>
      <w:lvlText w:val="%2)"/>
      <w:lvlJc w:val="left"/>
      <w:pPr>
        <w:ind w:left="3053" w:hanging="420"/>
      </w:pPr>
    </w:lvl>
    <w:lvl w:ilvl="2" w:tentative="0">
      <w:start w:val="1"/>
      <w:numFmt w:val="lowerRoman"/>
      <w:lvlText w:val="%3."/>
      <w:lvlJc w:val="right"/>
      <w:pPr>
        <w:ind w:left="3473" w:hanging="420"/>
      </w:pPr>
    </w:lvl>
    <w:lvl w:ilvl="3" w:tentative="0">
      <w:start w:val="1"/>
      <w:numFmt w:val="decimal"/>
      <w:lvlText w:val="%4."/>
      <w:lvlJc w:val="left"/>
      <w:pPr>
        <w:ind w:left="3893" w:hanging="420"/>
      </w:pPr>
    </w:lvl>
    <w:lvl w:ilvl="4" w:tentative="0">
      <w:start w:val="1"/>
      <w:numFmt w:val="lowerLetter"/>
      <w:lvlText w:val="%5)"/>
      <w:lvlJc w:val="left"/>
      <w:pPr>
        <w:ind w:left="4313" w:hanging="420"/>
      </w:pPr>
    </w:lvl>
    <w:lvl w:ilvl="5" w:tentative="0">
      <w:start w:val="1"/>
      <w:numFmt w:val="lowerRoman"/>
      <w:lvlText w:val="%6."/>
      <w:lvlJc w:val="right"/>
      <w:pPr>
        <w:ind w:left="4733" w:hanging="420"/>
      </w:pPr>
    </w:lvl>
    <w:lvl w:ilvl="6" w:tentative="0">
      <w:start w:val="1"/>
      <w:numFmt w:val="decimal"/>
      <w:lvlText w:val="%7."/>
      <w:lvlJc w:val="left"/>
      <w:pPr>
        <w:ind w:left="5153" w:hanging="420"/>
      </w:pPr>
    </w:lvl>
    <w:lvl w:ilvl="7" w:tentative="0">
      <w:start w:val="1"/>
      <w:numFmt w:val="lowerLetter"/>
      <w:lvlText w:val="%8)"/>
      <w:lvlJc w:val="left"/>
      <w:pPr>
        <w:ind w:left="5573" w:hanging="420"/>
      </w:pPr>
    </w:lvl>
    <w:lvl w:ilvl="8" w:tentative="0">
      <w:start w:val="1"/>
      <w:numFmt w:val="lowerRoman"/>
      <w:lvlText w:val="%9."/>
      <w:lvlJc w:val="right"/>
      <w:pPr>
        <w:ind w:left="5993" w:hanging="420"/>
      </w:pPr>
    </w:lvl>
  </w:abstractNum>
  <w:abstractNum w:abstractNumId="104">
    <w:nsid w:val="7A0C6CFB"/>
    <w:multiLevelType w:val="multilevel"/>
    <w:tmpl w:val="7A0C6CFB"/>
    <w:lvl w:ilvl="0" w:tentative="0">
      <w:start w:val="1"/>
      <w:numFmt w:val="decimal"/>
      <w:lvlText w:val="2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06">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7">
    <w:nsid w:val="7F3B5A48"/>
    <w:multiLevelType w:val="multilevel"/>
    <w:tmpl w:val="7F3B5A48"/>
    <w:lvl w:ilvl="0" w:tentative="0">
      <w:start w:val="1"/>
      <w:numFmt w:val="decimal"/>
      <w:lvlText w:val="28.%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7F727E9F"/>
    <w:multiLevelType w:val="multilevel"/>
    <w:tmpl w:val="7F727E9F"/>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9">
    <w:nsid w:val="7FE667D9"/>
    <w:multiLevelType w:val="multilevel"/>
    <w:tmpl w:val="7FE667D9"/>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66"/>
  </w:num>
  <w:num w:numId="2">
    <w:abstractNumId w:val="70"/>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4"/>
  </w:num>
  <w:num w:numId="6">
    <w:abstractNumId w:val="26"/>
  </w:num>
  <w:num w:numId="7">
    <w:abstractNumId w:val="16"/>
  </w:num>
  <w:num w:numId="8">
    <w:abstractNumId w:val="59"/>
  </w:num>
  <w:num w:numId="9">
    <w:abstractNumId w:val="79"/>
  </w:num>
  <w:num w:numId="10">
    <w:abstractNumId w:val="52"/>
  </w:num>
  <w:num w:numId="11">
    <w:abstractNumId w:val="14"/>
  </w:num>
  <w:num w:numId="12">
    <w:abstractNumId w:val="42"/>
  </w:num>
  <w:num w:numId="13">
    <w:abstractNumId w:val="44"/>
  </w:num>
  <w:num w:numId="14">
    <w:abstractNumId w:val="22"/>
  </w:num>
  <w:num w:numId="15">
    <w:abstractNumId w:val="101"/>
  </w:num>
  <w:num w:numId="16">
    <w:abstractNumId w:val="0"/>
  </w:num>
  <w:num w:numId="17">
    <w:abstractNumId w:val="51"/>
  </w:num>
  <w:num w:numId="18">
    <w:abstractNumId w:val="12"/>
  </w:num>
  <w:num w:numId="19">
    <w:abstractNumId w:val="104"/>
  </w:num>
  <w:num w:numId="20">
    <w:abstractNumId w:val="32"/>
  </w:num>
  <w:num w:numId="21">
    <w:abstractNumId w:val="28"/>
  </w:num>
  <w:num w:numId="22">
    <w:abstractNumId w:val="37"/>
  </w:num>
  <w:num w:numId="23">
    <w:abstractNumId w:val="75"/>
  </w:num>
  <w:num w:numId="24">
    <w:abstractNumId w:val="21"/>
  </w:num>
  <w:num w:numId="25">
    <w:abstractNumId w:val="39"/>
  </w:num>
  <w:num w:numId="26">
    <w:abstractNumId w:val="96"/>
  </w:num>
  <w:num w:numId="27">
    <w:abstractNumId w:val="107"/>
  </w:num>
  <w:num w:numId="28">
    <w:abstractNumId w:val="87"/>
  </w:num>
  <w:num w:numId="29">
    <w:abstractNumId w:val="48"/>
  </w:num>
  <w:num w:numId="30">
    <w:abstractNumId w:val="92"/>
  </w:num>
  <w:num w:numId="31">
    <w:abstractNumId w:val="5"/>
  </w:num>
  <w:num w:numId="32">
    <w:abstractNumId w:val="53"/>
  </w:num>
  <w:num w:numId="33">
    <w:abstractNumId w:val="18"/>
  </w:num>
  <w:num w:numId="34">
    <w:abstractNumId w:val="10"/>
  </w:num>
  <w:num w:numId="35">
    <w:abstractNumId w:val="30"/>
  </w:num>
  <w:num w:numId="36">
    <w:abstractNumId w:val="31"/>
  </w:num>
  <w:num w:numId="37">
    <w:abstractNumId w:val="100"/>
  </w:num>
  <w:num w:numId="38">
    <w:abstractNumId w:val="15"/>
  </w:num>
  <w:num w:numId="39">
    <w:abstractNumId w:val="85"/>
  </w:num>
  <w:num w:numId="40">
    <w:abstractNumId w:val="102"/>
  </w:num>
  <w:num w:numId="41">
    <w:abstractNumId w:val="67"/>
  </w:num>
  <w:num w:numId="42">
    <w:abstractNumId w:val="72"/>
  </w:num>
  <w:num w:numId="43">
    <w:abstractNumId w:val="93"/>
  </w:num>
  <w:num w:numId="44">
    <w:abstractNumId w:val="60"/>
  </w:num>
  <w:num w:numId="45">
    <w:abstractNumId w:val="29"/>
  </w:num>
  <w:num w:numId="46">
    <w:abstractNumId w:val="76"/>
  </w:num>
  <w:num w:numId="47">
    <w:abstractNumId w:val="81"/>
  </w:num>
  <w:num w:numId="48">
    <w:abstractNumId w:val="94"/>
  </w:num>
  <w:num w:numId="49">
    <w:abstractNumId w:val="69"/>
  </w:num>
  <w:num w:numId="50">
    <w:abstractNumId w:val="90"/>
  </w:num>
  <w:num w:numId="51">
    <w:abstractNumId w:val="19"/>
  </w:num>
  <w:num w:numId="52">
    <w:abstractNumId w:val="71"/>
  </w:num>
  <w:num w:numId="53">
    <w:abstractNumId w:val="1"/>
  </w:num>
  <w:num w:numId="54">
    <w:abstractNumId w:val="3"/>
  </w:num>
  <w:num w:numId="55">
    <w:abstractNumId w:val="68"/>
  </w:num>
  <w:num w:numId="56">
    <w:abstractNumId w:val="40"/>
  </w:num>
  <w:num w:numId="57">
    <w:abstractNumId w:val="77"/>
  </w:num>
  <w:num w:numId="58">
    <w:abstractNumId w:val="50"/>
  </w:num>
  <w:num w:numId="59">
    <w:abstractNumId w:val="73"/>
  </w:num>
  <w:num w:numId="60">
    <w:abstractNumId w:val="57"/>
  </w:num>
  <w:num w:numId="61">
    <w:abstractNumId w:val="109"/>
  </w:num>
  <w:num w:numId="62">
    <w:abstractNumId w:val="84"/>
  </w:num>
  <w:num w:numId="63">
    <w:abstractNumId w:val="54"/>
  </w:num>
  <w:num w:numId="64">
    <w:abstractNumId w:val="95"/>
  </w:num>
  <w:num w:numId="65">
    <w:abstractNumId w:val="55"/>
  </w:num>
  <w:num w:numId="66">
    <w:abstractNumId w:val="11"/>
  </w:num>
  <w:num w:numId="67">
    <w:abstractNumId w:val="6"/>
  </w:num>
  <w:num w:numId="68">
    <w:abstractNumId w:val="61"/>
  </w:num>
  <w:num w:numId="69">
    <w:abstractNumId w:val="36"/>
  </w:num>
  <w:num w:numId="70">
    <w:abstractNumId w:val="45"/>
  </w:num>
  <w:num w:numId="71">
    <w:abstractNumId w:val="105"/>
  </w:num>
  <w:num w:numId="72">
    <w:abstractNumId w:val="38"/>
  </w:num>
  <w:num w:numId="73">
    <w:abstractNumId w:val="35"/>
  </w:num>
  <w:num w:numId="74">
    <w:abstractNumId w:val="4"/>
  </w:num>
  <w:num w:numId="75">
    <w:abstractNumId w:val="25"/>
  </w:num>
  <w:num w:numId="76">
    <w:abstractNumId w:val="49"/>
  </w:num>
  <w:num w:numId="77">
    <w:abstractNumId w:val="103"/>
  </w:num>
  <w:num w:numId="78">
    <w:abstractNumId w:val="20"/>
  </w:num>
  <w:num w:numId="79">
    <w:abstractNumId w:val="78"/>
  </w:num>
  <w:num w:numId="80">
    <w:abstractNumId w:val="43"/>
  </w:num>
  <w:num w:numId="81">
    <w:abstractNumId w:val="98"/>
  </w:num>
  <w:num w:numId="82">
    <w:abstractNumId w:val="2"/>
  </w:num>
  <w:num w:numId="83">
    <w:abstractNumId w:val="41"/>
  </w:num>
  <w:num w:numId="84">
    <w:abstractNumId w:val="97"/>
  </w:num>
  <w:num w:numId="85">
    <w:abstractNumId w:val="34"/>
  </w:num>
  <w:num w:numId="86">
    <w:abstractNumId w:val="91"/>
  </w:num>
  <w:num w:numId="87">
    <w:abstractNumId w:val="65"/>
  </w:num>
  <w:num w:numId="88">
    <w:abstractNumId w:val="86"/>
  </w:num>
  <w:num w:numId="89">
    <w:abstractNumId w:val="7"/>
  </w:num>
  <w:num w:numId="90">
    <w:abstractNumId w:val="108"/>
  </w:num>
  <w:num w:numId="91">
    <w:abstractNumId w:val="33"/>
  </w:num>
  <w:num w:numId="92">
    <w:abstractNumId w:val="13"/>
  </w:num>
  <w:num w:numId="93">
    <w:abstractNumId w:val="17"/>
  </w:num>
  <w:num w:numId="94">
    <w:abstractNumId w:val="63"/>
  </w:num>
  <w:num w:numId="95">
    <w:abstractNumId w:val="106"/>
  </w:num>
  <w:num w:numId="96">
    <w:abstractNumId w:val="99"/>
  </w:num>
  <w:num w:numId="97">
    <w:abstractNumId w:val="46"/>
  </w:num>
  <w:num w:numId="98">
    <w:abstractNumId w:val="80"/>
  </w:num>
  <w:num w:numId="99">
    <w:abstractNumId w:val="62"/>
  </w:num>
  <w:num w:numId="100">
    <w:abstractNumId w:val="74"/>
  </w:num>
  <w:num w:numId="101">
    <w:abstractNumId w:val="24"/>
  </w:num>
  <w:num w:numId="102">
    <w:abstractNumId w:val="89"/>
  </w:num>
  <w:num w:numId="103">
    <w:abstractNumId w:val="83"/>
  </w:num>
  <w:num w:numId="104">
    <w:abstractNumId w:val="82"/>
  </w:num>
  <w:num w:numId="105">
    <w:abstractNumId w:val="9"/>
  </w:num>
  <w:num w:numId="106">
    <w:abstractNumId w:val="47"/>
  </w:num>
  <w:num w:numId="107">
    <w:abstractNumId w:val="58"/>
  </w:num>
  <w:num w:numId="108">
    <w:abstractNumId w:val="27"/>
  </w:num>
  <w:num w:numId="109">
    <w:abstractNumId w:val="88"/>
  </w:num>
  <w:num w:numId="1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DVmNmNhOWI5MmJjNDQxNWM3ZDBhOWYyODAwYzQifQ=="/>
  </w:docVars>
  <w:rsids>
    <w:rsidRoot w:val="00201145"/>
    <w:rsid w:val="00010770"/>
    <w:rsid w:val="0001302A"/>
    <w:rsid w:val="00016B2E"/>
    <w:rsid w:val="00017852"/>
    <w:rsid w:val="000219EF"/>
    <w:rsid w:val="00021FD4"/>
    <w:rsid w:val="00023F8C"/>
    <w:rsid w:val="00026484"/>
    <w:rsid w:val="00026535"/>
    <w:rsid w:val="00026ADC"/>
    <w:rsid w:val="000272AF"/>
    <w:rsid w:val="00036B9C"/>
    <w:rsid w:val="000377E5"/>
    <w:rsid w:val="000415A0"/>
    <w:rsid w:val="00042BF7"/>
    <w:rsid w:val="00044B83"/>
    <w:rsid w:val="00045152"/>
    <w:rsid w:val="00046EE4"/>
    <w:rsid w:val="00053F41"/>
    <w:rsid w:val="000568C4"/>
    <w:rsid w:val="000572B9"/>
    <w:rsid w:val="00060811"/>
    <w:rsid w:val="000608B3"/>
    <w:rsid w:val="00062F5F"/>
    <w:rsid w:val="00065DFE"/>
    <w:rsid w:val="000662AC"/>
    <w:rsid w:val="00067241"/>
    <w:rsid w:val="00067954"/>
    <w:rsid w:val="00067FF7"/>
    <w:rsid w:val="00073A13"/>
    <w:rsid w:val="0007562C"/>
    <w:rsid w:val="00090EA3"/>
    <w:rsid w:val="0009367D"/>
    <w:rsid w:val="000A1CA5"/>
    <w:rsid w:val="000A6794"/>
    <w:rsid w:val="000B3C31"/>
    <w:rsid w:val="000B4887"/>
    <w:rsid w:val="000C013D"/>
    <w:rsid w:val="000C208C"/>
    <w:rsid w:val="000C31FF"/>
    <w:rsid w:val="000C3B22"/>
    <w:rsid w:val="000C3F32"/>
    <w:rsid w:val="000C59F3"/>
    <w:rsid w:val="000D0812"/>
    <w:rsid w:val="000D1CC6"/>
    <w:rsid w:val="000D2353"/>
    <w:rsid w:val="000D5BCA"/>
    <w:rsid w:val="000D67E8"/>
    <w:rsid w:val="000E28C4"/>
    <w:rsid w:val="000E4A98"/>
    <w:rsid w:val="000E72AD"/>
    <w:rsid w:val="000F694D"/>
    <w:rsid w:val="000F6AA4"/>
    <w:rsid w:val="000F7035"/>
    <w:rsid w:val="00101443"/>
    <w:rsid w:val="0011328D"/>
    <w:rsid w:val="00113C66"/>
    <w:rsid w:val="00116F25"/>
    <w:rsid w:val="00117D17"/>
    <w:rsid w:val="00117F77"/>
    <w:rsid w:val="001239D1"/>
    <w:rsid w:val="00123A00"/>
    <w:rsid w:val="00123A7F"/>
    <w:rsid w:val="001266F9"/>
    <w:rsid w:val="00130D83"/>
    <w:rsid w:val="001323B8"/>
    <w:rsid w:val="00132680"/>
    <w:rsid w:val="00135993"/>
    <w:rsid w:val="00136158"/>
    <w:rsid w:val="00146ADB"/>
    <w:rsid w:val="0015146E"/>
    <w:rsid w:val="00151E43"/>
    <w:rsid w:val="001526F6"/>
    <w:rsid w:val="00153084"/>
    <w:rsid w:val="001555EB"/>
    <w:rsid w:val="00157A38"/>
    <w:rsid w:val="00164433"/>
    <w:rsid w:val="00164967"/>
    <w:rsid w:val="00170A59"/>
    <w:rsid w:val="00170B48"/>
    <w:rsid w:val="00171014"/>
    <w:rsid w:val="0017228A"/>
    <w:rsid w:val="0017271F"/>
    <w:rsid w:val="00174C9B"/>
    <w:rsid w:val="00175698"/>
    <w:rsid w:val="001801EB"/>
    <w:rsid w:val="001816A9"/>
    <w:rsid w:val="00181BAA"/>
    <w:rsid w:val="00181D11"/>
    <w:rsid w:val="00190080"/>
    <w:rsid w:val="0019747A"/>
    <w:rsid w:val="001A2F88"/>
    <w:rsid w:val="001A3EA2"/>
    <w:rsid w:val="001B2656"/>
    <w:rsid w:val="001B4225"/>
    <w:rsid w:val="001B53F0"/>
    <w:rsid w:val="001C1A39"/>
    <w:rsid w:val="001C1BFE"/>
    <w:rsid w:val="001C6E9E"/>
    <w:rsid w:val="001D4201"/>
    <w:rsid w:val="001E30B8"/>
    <w:rsid w:val="001E3DC0"/>
    <w:rsid w:val="001E5DDD"/>
    <w:rsid w:val="001E61D1"/>
    <w:rsid w:val="001E6632"/>
    <w:rsid w:val="001E7A9B"/>
    <w:rsid w:val="001F451E"/>
    <w:rsid w:val="001F4855"/>
    <w:rsid w:val="001F558C"/>
    <w:rsid w:val="001F5C83"/>
    <w:rsid w:val="001F7217"/>
    <w:rsid w:val="00201145"/>
    <w:rsid w:val="00202A1D"/>
    <w:rsid w:val="00207368"/>
    <w:rsid w:val="0021054F"/>
    <w:rsid w:val="00216687"/>
    <w:rsid w:val="00217861"/>
    <w:rsid w:val="00223DFE"/>
    <w:rsid w:val="002263B4"/>
    <w:rsid w:val="00226ADB"/>
    <w:rsid w:val="0023165A"/>
    <w:rsid w:val="00233D83"/>
    <w:rsid w:val="00234990"/>
    <w:rsid w:val="0023517C"/>
    <w:rsid w:val="002357C7"/>
    <w:rsid w:val="00240125"/>
    <w:rsid w:val="002402AD"/>
    <w:rsid w:val="00243781"/>
    <w:rsid w:val="00244A2B"/>
    <w:rsid w:val="002462F8"/>
    <w:rsid w:val="00253489"/>
    <w:rsid w:val="00253C7A"/>
    <w:rsid w:val="00254D9F"/>
    <w:rsid w:val="002564C8"/>
    <w:rsid w:val="0025672C"/>
    <w:rsid w:val="0026093B"/>
    <w:rsid w:val="002609F6"/>
    <w:rsid w:val="00261EF4"/>
    <w:rsid w:val="00262B07"/>
    <w:rsid w:val="0026418D"/>
    <w:rsid w:val="0027646B"/>
    <w:rsid w:val="00276F77"/>
    <w:rsid w:val="0028154C"/>
    <w:rsid w:val="00281636"/>
    <w:rsid w:val="002839A8"/>
    <w:rsid w:val="00284505"/>
    <w:rsid w:val="00284638"/>
    <w:rsid w:val="00285B58"/>
    <w:rsid w:val="00285C7F"/>
    <w:rsid w:val="00286D97"/>
    <w:rsid w:val="002930FE"/>
    <w:rsid w:val="00294365"/>
    <w:rsid w:val="00294E79"/>
    <w:rsid w:val="002A142D"/>
    <w:rsid w:val="002A2D92"/>
    <w:rsid w:val="002A7ACE"/>
    <w:rsid w:val="002A7B3E"/>
    <w:rsid w:val="002B071A"/>
    <w:rsid w:val="002B30D7"/>
    <w:rsid w:val="002B5060"/>
    <w:rsid w:val="002B61A8"/>
    <w:rsid w:val="002C5993"/>
    <w:rsid w:val="002D0CA9"/>
    <w:rsid w:val="002D5465"/>
    <w:rsid w:val="002D6218"/>
    <w:rsid w:val="002D73F6"/>
    <w:rsid w:val="002E2148"/>
    <w:rsid w:val="002E5904"/>
    <w:rsid w:val="002E6053"/>
    <w:rsid w:val="002E788D"/>
    <w:rsid w:val="002E7A27"/>
    <w:rsid w:val="002F0746"/>
    <w:rsid w:val="002F1DBB"/>
    <w:rsid w:val="002F22C6"/>
    <w:rsid w:val="002F30A6"/>
    <w:rsid w:val="002F62D6"/>
    <w:rsid w:val="002F794C"/>
    <w:rsid w:val="00301638"/>
    <w:rsid w:val="00302205"/>
    <w:rsid w:val="00305850"/>
    <w:rsid w:val="00306610"/>
    <w:rsid w:val="0030793F"/>
    <w:rsid w:val="00311860"/>
    <w:rsid w:val="00311964"/>
    <w:rsid w:val="003129C2"/>
    <w:rsid w:val="00313719"/>
    <w:rsid w:val="003142C2"/>
    <w:rsid w:val="00314562"/>
    <w:rsid w:val="00320A87"/>
    <w:rsid w:val="00322769"/>
    <w:rsid w:val="00324D83"/>
    <w:rsid w:val="003315BB"/>
    <w:rsid w:val="00332948"/>
    <w:rsid w:val="003360C4"/>
    <w:rsid w:val="00337F42"/>
    <w:rsid w:val="00346C7E"/>
    <w:rsid w:val="0035011A"/>
    <w:rsid w:val="00351E37"/>
    <w:rsid w:val="00352921"/>
    <w:rsid w:val="00352F41"/>
    <w:rsid w:val="003537EA"/>
    <w:rsid w:val="00354D10"/>
    <w:rsid w:val="00355B6E"/>
    <w:rsid w:val="00356BD0"/>
    <w:rsid w:val="00357B63"/>
    <w:rsid w:val="00357F25"/>
    <w:rsid w:val="0036074D"/>
    <w:rsid w:val="003609EF"/>
    <w:rsid w:val="00362975"/>
    <w:rsid w:val="00363E81"/>
    <w:rsid w:val="00363EA5"/>
    <w:rsid w:val="00366D48"/>
    <w:rsid w:val="003675F5"/>
    <w:rsid w:val="00371951"/>
    <w:rsid w:val="00371CF2"/>
    <w:rsid w:val="00372464"/>
    <w:rsid w:val="00372FF4"/>
    <w:rsid w:val="00375B78"/>
    <w:rsid w:val="003819A7"/>
    <w:rsid w:val="003843F6"/>
    <w:rsid w:val="00384A0A"/>
    <w:rsid w:val="00390012"/>
    <w:rsid w:val="0039098D"/>
    <w:rsid w:val="003A1EF8"/>
    <w:rsid w:val="003A3FE8"/>
    <w:rsid w:val="003B1306"/>
    <w:rsid w:val="003B13C6"/>
    <w:rsid w:val="003C1544"/>
    <w:rsid w:val="003C1B24"/>
    <w:rsid w:val="003C2AA7"/>
    <w:rsid w:val="003C5949"/>
    <w:rsid w:val="003C5F45"/>
    <w:rsid w:val="003C79C1"/>
    <w:rsid w:val="003C7CEB"/>
    <w:rsid w:val="003D0EAA"/>
    <w:rsid w:val="003D1814"/>
    <w:rsid w:val="003D50F1"/>
    <w:rsid w:val="003E26CF"/>
    <w:rsid w:val="003E495F"/>
    <w:rsid w:val="003E5F58"/>
    <w:rsid w:val="003F2632"/>
    <w:rsid w:val="003F27EC"/>
    <w:rsid w:val="003F44C2"/>
    <w:rsid w:val="003F6038"/>
    <w:rsid w:val="003F6365"/>
    <w:rsid w:val="00400010"/>
    <w:rsid w:val="00411BBD"/>
    <w:rsid w:val="0041294F"/>
    <w:rsid w:val="00413F35"/>
    <w:rsid w:val="00414176"/>
    <w:rsid w:val="00414574"/>
    <w:rsid w:val="00416CB3"/>
    <w:rsid w:val="00421BC7"/>
    <w:rsid w:val="004228E1"/>
    <w:rsid w:val="00422CC4"/>
    <w:rsid w:val="004433F7"/>
    <w:rsid w:val="004440D4"/>
    <w:rsid w:val="004450E9"/>
    <w:rsid w:val="00445692"/>
    <w:rsid w:val="00446083"/>
    <w:rsid w:val="00451564"/>
    <w:rsid w:val="00452127"/>
    <w:rsid w:val="0045382C"/>
    <w:rsid w:val="00462C73"/>
    <w:rsid w:val="004647B0"/>
    <w:rsid w:val="00465552"/>
    <w:rsid w:val="00465796"/>
    <w:rsid w:val="004725BF"/>
    <w:rsid w:val="0047488E"/>
    <w:rsid w:val="004776BE"/>
    <w:rsid w:val="0048021C"/>
    <w:rsid w:val="00480931"/>
    <w:rsid w:val="00482A11"/>
    <w:rsid w:val="0048344F"/>
    <w:rsid w:val="00484A4D"/>
    <w:rsid w:val="00484D0B"/>
    <w:rsid w:val="00490B6A"/>
    <w:rsid w:val="00491CED"/>
    <w:rsid w:val="004928DE"/>
    <w:rsid w:val="00495EBB"/>
    <w:rsid w:val="00496599"/>
    <w:rsid w:val="004A0DA5"/>
    <w:rsid w:val="004A3614"/>
    <w:rsid w:val="004A44EE"/>
    <w:rsid w:val="004A47D9"/>
    <w:rsid w:val="004A6448"/>
    <w:rsid w:val="004A7557"/>
    <w:rsid w:val="004B3213"/>
    <w:rsid w:val="004B3474"/>
    <w:rsid w:val="004B45BC"/>
    <w:rsid w:val="004B5636"/>
    <w:rsid w:val="004B5D40"/>
    <w:rsid w:val="004B6492"/>
    <w:rsid w:val="004B6A39"/>
    <w:rsid w:val="004B7161"/>
    <w:rsid w:val="004C0348"/>
    <w:rsid w:val="004C7E3F"/>
    <w:rsid w:val="004C7ED2"/>
    <w:rsid w:val="004D0AA3"/>
    <w:rsid w:val="004D12CF"/>
    <w:rsid w:val="004D2ACE"/>
    <w:rsid w:val="004D5157"/>
    <w:rsid w:val="004D5301"/>
    <w:rsid w:val="004D5B47"/>
    <w:rsid w:val="004D7CFB"/>
    <w:rsid w:val="004E1240"/>
    <w:rsid w:val="004F07A9"/>
    <w:rsid w:val="004F1A69"/>
    <w:rsid w:val="004F245E"/>
    <w:rsid w:val="004F2B47"/>
    <w:rsid w:val="00503C2B"/>
    <w:rsid w:val="00504A98"/>
    <w:rsid w:val="00512DCB"/>
    <w:rsid w:val="00515A33"/>
    <w:rsid w:val="00520B51"/>
    <w:rsid w:val="005213E8"/>
    <w:rsid w:val="0052385D"/>
    <w:rsid w:val="00525AE1"/>
    <w:rsid w:val="00530CDE"/>
    <w:rsid w:val="0053135D"/>
    <w:rsid w:val="00533E29"/>
    <w:rsid w:val="00534EAD"/>
    <w:rsid w:val="0053641F"/>
    <w:rsid w:val="005415FE"/>
    <w:rsid w:val="00541C16"/>
    <w:rsid w:val="005439DC"/>
    <w:rsid w:val="00545AF6"/>
    <w:rsid w:val="00545FF4"/>
    <w:rsid w:val="0055127F"/>
    <w:rsid w:val="00552C88"/>
    <w:rsid w:val="00562859"/>
    <w:rsid w:val="00563C4C"/>
    <w:rsid w:val="0056699F"/>
    <w:rsid w:val="00566FB5"/>
    <w:rsid w:val="0056705F"/>
    <w:rsid w:val="00570546"/>
    <w:rsid w:val="005720A3"/>
    <w:rsid w:val="00572B78"/>
    <w:rsid w:val="00573045"/>
    <w:rsid w:val="00573F05"/>
    <w:rsid w:val="00574FBE"/>
    <w:rsid w:val="0058147A"/>
    <w:rsid w:val="00581934"/>
    <w:rsid w:val="0058193B"/>
    <w:rsid w:val="005820E7"/>
    <w:rsid w:val="00584E59"/>
    <w:rsid w:val="0059237A"/>
    <w:rsid w:val="00594E3E"/>
    <w:rsid w:val="005952A2"/>
    <w:rsid w:val="005A0008"/>
    <w:rsid w:val="005A19EC"/>
    <w:rsid w:val="005A5D91"/>
    <w:rsid w:val="005A6FA1"/>
    <w:rsid w:val="005B332B"/>
    <w:rsid w:val="005D19D6"/>
    <w:rsid w:val="005D1DAE"/>
    <w:rsid w:val="005D3081"/>
    <w:rsid w:val="005D75D9"/>
    <w:rsid w:val="005D7E03"/>
    <w:rsid w:val="005E6B09"/>
    <w:rsid w:val="005F0377"/>
    <w:rsid w:val="005F4B8D"/>
    <w:rsid w:val="005F5386"/>
    <w:rsid w:val="00600233"/>
    <w:rsid w:val="0060320E"/>
    <w:rsid w:val="00603A27"/>
    <w:rsid w:val="00604215"/>
    <w:rsid w:val="00606489"/>
    <w:rsid w:val="006077EC"/>
    <w:rsid w:val="0061126E"/>
    <w:rsid w:val="00612BBD"/>
    <w:rsid w:val="00613B54"/>
    <w:rsid w:val="0061552F"/>
    <w:rsid w:val="006155E2"/>
    <w:rsid w:val="00615DF0"/>
    <w:rsid w:val="00616755"/>
    <w:rsid w:val="00620D34"/>
    <w:rsid w:val="006224E2"/>
    <w:rsid w:val="00623431"/>
    <w:rsid w:val="00630B83"/>
    <w:rsid w:val="006340D5"/>
    <w:rsid w:val="00636024"/>
    <w:rsid w:val="006405DF"/>
    <w:rsid w:val="006411DA"/>
    <w:rsid w:val="006444B0"/>
    <w:rsid w:val="00646532"/>
    <w:rsid w:val="00647F45"/>
    <w:rsid w:val="00651247"/>
    <w:rsid w:val="0065129E"/>
    <w:rsid w:val="00656E26"/>
    <w:rsid w:val="00661C84"/>
    <w:rsid w:val="00662E1D"/>
    <w:rsid w:val="006639B3"/>
    <w:rsid w:val="006641CF"/>
    <w:rsid w:val="00666BE7"/>
    <w:rsid w:val="00670580"/>
    <w:rsid w:val="00670FB6"/>
    <w:rsid w:val="0067197B"/>
    <w:rsid w:val="006722EE"/>
    <w:rsid w:val="00672FD8"/>
    <w:rsid w:val="00675CBE"/>
    <w:rsid w:val="00682F7A"/>
    <w:rsid w:val="00686C2F"/>
    <w:rsid w:val="006877EE"/>
    <w:rsid w:val="006A1B69"/>
    <w:rsid w:val="006A3282"/>
    <w:rsid w:val="006A3528"/>
    <w:rsid w:val="006A5EA3"/>
    <w:rsid w:val="006B1028"/>
    <w:rsid w:val="006B4B1B"/>
    <w:rsid w:val="006B5817"/>
    <w:rsid w:val="006B58E9"/>
    <w:rsid w:val="006B71DA"/>
    <w:rsid w:val="006C0602"/>
    <w:rsid w:val="006C2541"/>
    <w:rsid w:val="006C26D7"/>
    <w:rsid w:val="006C30C6"/>
    <w:rsid w:val="006D0EB1"/>
    <w:rsid w:val="006D150B"/>
    <w:rsid w:val="006D1538"/>
    <w:rsid w:val="006D3749"/>
    <w:rsid w:val="006D3DC6"/>
    <w:rsid w:val="006D7AF2"/>
    <w:rsid w:val="006E1C06"/>
    <w:rsid w:val="006E255D"/>
    <w:rsid w:val="006F1B80"/>
    <w:rsid w:val="006F2060"/>
    <w:rsid w:val="006F41A2"/>
    <w:rsid w:val="006F5630"/>
    <w:rsid w:val="006F76B6"/>
    <w:rsid w:val="00700ED6"/>
    <w:rsid w:val="007013D1"/>
    <w:rsid w:val="007065D1"/>
    <w:rsid w:val="00707490"/>
    <w:rsid w:val="007101F7"/>
    <w:rsid w:val="00711949"/>
    <w:rsid w:val="0071333F"/>
    <w:rsid w:val="007147F4"/>
    <w:rsid w:val="00722B3C"/>
    <w:rsid w:val="00723BAA"/>
    <w:rsid w:val="00726C52"/>
    <w:rsid w:val="0073176C"/>
    <w:rsid w:val="007348F7"/>
    <w:rsid w:val="00735FF9"/>
    <w:rsid w:val="00742A2D"/>
    <w:rsid w:val="00742CED"/>
    <w:rsid w:val="007455EF"/>
    <w:rsid w:val="00745DA2"/>
    <w:rsid w:val="0074616D"/>
    <w:rsid w:val="00746315"/>
    <w:rsid w:val="007474B9"/>
    <w:rsid w:val="007505E0"/>
    <w:rsid w:val="00750C49"/>
    <w:rsid w:val="00751D69"/>
    <w:rsid w:val="00753504"/>
    <w:rsid w:val="00756C24"/>
    <w:rsid w:val="00760B23"/>
    <w:rsid w:val="007622BB"/>
    <w:rsid w:val="0076327C"/>
    <w:rsid w:val="0077418D"/>
    <w:rsid w:val="00776A18"/>
    <w:rsid w:val="0077793A"/>
    <w:rsid w:val="00782664"/>
    <w:rsid w:val="00784CF2"/>
    <w:rsid w:val="00786018"/>
    <w:rsid w:val="00796AD0"/>
    <w:rsid w:val="00796D32"/>
    <w:rsid w:val="007A080B"/>
    <w:rsid w:val="007A0B64"/>
    <w:rsid w:val="007A385C"/>
    <w:rsid w:val="007A4A7F"/>
    <w:rsid w:val="007B0EE3"/>
    <w:rsid w:val="007B2BE4"/>
    <w:rsid w:val="007B5AF6"/>
    <w:rsid w:val="007C33B4"/>
    <w:rsid w:val="007C3D7F"/>
    <w:rsid w:val="007C4E4C"/>
    <w:rsid w:val="007C7D7B"/>
    <w:rsid w:val="007D1070"/>
    <w:rsid w:val="007D4390"/>
    <w:rsid w:val="007D45C7"/>
    <w:rsid w:val="007D51AC"/>
    <w:rsid w:val="007E1AD5"/>
    <w:rsid w:val="007E340F"/>
    <w:rsid w:val="007E6637"/>
    <w:rsid w:val="007F0269"/>
    <w:rsid w:val="007F2BD4"/>
    <w:rsid w:val="00817415"/>
    <w:rsid w:val="00822A2C"/>
    <w:rsid w:val="00837BF0"/>
    <w:rsid w:val="00841227"/>
    <w:rsid w:val="008448C1"/>
    <w:rsid w:val="008462E1"/>
    <w:rsid w:val="0084759C"/>
    <w:rsid w:val="0085180F"/>
    <w:rsid w:val="00853F95"/>
    <w:rsid w:val="00854018"/>
    <w:rsid w:val="0085455D"/>
    <w:rsid w:val="008558F9"/>
    <w:rsid w:val="0085663D"/>
    <w:rsid w:val="00861408"/>
    <w:rsid w:val="00861834"/>
    <w:rsid w:val="00862CBA"/>
    <w:rsid w:val="008640E8"/>
    <w:rsid w:val="0086436A"/>
    <w:rsid w:val="0086684A"/>
    <w:rsid w:val="00871CE7"/>
    <w:rsid w:val="0087734C"/>
    <w:rsid w:val="0088168B"/>
    <w:rsid w:val="008821E5"/>
    <w:rsid w:val="00883121"/>
    <w:rsid w:val="0088752D"/>
    <w:rsid w:val="00887FAE"/>
    <w:rsid w:val="008957ED"/>
    <w:rsid w:val="00895D90"/>
    <w:rsid w:val="00896734"/>
    <w:rsid w:val="008A08AE"/>
    <w:rsid w:val="008A2636"/>
    <w:rsid w:val="008A36A2"/>
    <w:rsid w:val="008A4510"/>
    <w:rsid w:val="008A598E"/>
    <w:rsid w:val="008B1711"/>
    <w:rsid w:val="008B39B0"/>
    <w:rsid w:val="008B4E95"/>
    <w:rsid w:val="008B69C4"/>
    <w:rsid w:val="008B75EC"/>
    <w:rsid w:val="008C097C"/>
    <w:rsid w:val="008C0BB2"/>
    <w:rsid w:val="008C1FDF"/>
    <w:rsid w:val="008C4573"/>
    <w:rsid w:val="008D476C"/>
    <w:rsid w:val="008D5EB0"/>
    <w:rsid w:val="008D6F74"/>
    <w:rsid w:val="008D77D3"/>
    <w:rsid w:val="008E0B41"/>
    <w:rsid w:val="008E1E51"/>
    <w:rsid w:val="008E29F8"/>
    <w:rsid w:val="008F45DA"/>
    <w:rsid w:val="008F72A0"/>
    <w:rsid w:val="00902AE7"/>
    <w:rsid w:val="00902EB4"/>
    <w:rsid w:val="009050C3"/>
    <w:rsid w:val="009052C3"/>
    <w:rsid w:val="00906993"/>
    <w:rsid w:val="00907C1D"/>
    <w:rsid w:val="00916B4E"/>
    <w:rsid w:val="00917E06"/>
    <w:rsid w:val="00920478"/>
    <w:rsid w:val="00921257"/>
    <w:rsid w:val="0092270C"/>
    <w:rsid w:val="00925D52"/>
    <w:rsid w:val="00932A29"/>
    <w:rsid w:val="00932D07"/>
    <w:rsid w:val="00933D75"/>
    <w:rsid w:val="00940502"/>
    <w:rsid w:val="00941919"/>
    <w:rsid w:val="00941FE8"/>
    <w:rsid w:val="00942849"/>
    <w:rsid w:val="009517A1"/>
    <w:rsid w:val="00952CBD"/>
    <w:rsid w:val="00955E13"/>
    <w:rsid w:val="0095784A"/>
    <w:rsid w:val="00960A70"/>
    <w:rsid w:val="00961F16"/>
    <w:rsid w:val="00963CD7"/>
    <w:rsid w:val="009642EF"/>
    <w:rsid w:val="009643B9"/>
    <w:rsid w:val="00965BFA"/>
    <w:rsid w:val="0097245F"/>
    <w:rsid w:val="009742AC"/>
    <w:rsid w:val="009771B9"/>
    <w:rsid w:val="009807F0"/>
    <w:rsid w:val="00982989"/>
    <w:rsid w:val="00982B8E"/>
    <w:rsid w:val="00985360"/>
    <w:rsid w:val="009860EC"/>
    <w:rsid w:val="009A0987"/>
    <w:rsid w:val="009A1B9D"/>
    <w:rsid w:val="009A3464"/>
    <w:rsid w:val="009A3E19"/>
    <w:rsid w:val="009B1522"/>
    <w:rsid w:val="009B2475"/>
    <w:rsid w:val="009B2786"/>
    <w:rsid w:val="009B5773"/>
    <w:rsid w:val="009B68B2"/>
    <w:rsid w:val="009B69F1"/>
    <w:rsid w:val="009B7EF9"/>
    <w:rsid w:val="009C2CD2"/>
    <w:rsid w:val="009C5D1C"/>
    <w:rsid w:val="009C7EEB"/>
    <w:rsid w:val="009D0DA8"/>
    <w:rsid w:val="009E5F83"/>
    <w:rsid w:val="009F1482"/>
    <w:rsid w:val="009F1775"/>
    <w:rsid w:val="009F390F"/>
    <w:rsid w:val="00A079F2"/>
    <w:rsid w:val="00A13474"/>
    <w:rsid w:val="00A1439E"/>
    <w:rsid w:val="00A151B5"/>
    <w:rsid w:val="00A2182C"/>
    <w:rsid w:val="00A23418"/>
    <w:rsid w:val="00A27139"/>
    <w:rsid w:val="00A277AD"/>
    <w:rsid w:val="00A312E6"/>
    <w:rsid w:val="00A33522"/>
    <w:rsid w:val="00A3494E"/>
    <w:rsid w:val="00A3500A"/>
    <w:rsid w:val="00A40CBD"/>
    <w:rsid w:val="00A4200D"/>
    <w:rsid w:val="00A44247"/>
    <w:rsid w:val="00A4555C"/>
    <w:rsid w:val="00A50555"/>
    <w:rsid w:val="00A50C12"/>
    <w:rsid w:val="00A51C22"/>
    <w:rsid w:val="00A54531"/>
    <w:rsid w:val="00A54E01"/>
    <w:rsid w:val="00A55458"/>
    <w:rsid w:val="00A5636B"/>
    <w:rsid w:val="00A6153E"/>
    <w:rsid w:val="00A6241D"/>
    <w:rsid w:val="00A7009D"/>
    <w:rsid w:val="00A7255A"/>
    <w:rsid w:val="00A72941"/>
    <w:rsid w:val="00A730F7"/>
    <w:rsid w:val="00A739BC"/>
    <w:rsid w:val="00A80B41"/>
    <w:rsid w:val="00A80CC5"/>
    <w:rsid w:val="00A82FBD"/>
    <w:rsid w:val="00A84912"/>
    <w:rsid w:val="00A92D75"/>
    <w:rsid w:val="00A92E14"/>
    <w:rsid w:val="00A93E85"/>
    <w:rsid w:val="00AA0546"/>
    <w:rsid w:val="00AA27E6"/>
    <w:rsid w:val="00AB155F"/>
    <w:rsid w:val="00AB22F0"/>
    <w:rsid w:val="00AB278A"/>
    <w:rsid w:val="00AB2B9D"/>
    <w:rsid w:val="00AB2F27"/>
    <w:rsid w:val="00AB4A10"/>
    <w:rsid w:val="00AB4F50"/>
    <w:rsid w:val="00AB5924"/>
    <w:rsid w:val="00AC1052"/>
    <w:rsid w:val="00AC17DB"/>
    <w:rsid w:val="00AC3318"/>
    <w:rsid w:val="00AD2AE0"/>
    <w:rsid w:val="00AE255C"/>
    <w:rsid w:val="00AE71A1"/>
    <w:rsid w:val="00AE73B5"/>
    <w:rsid w:val="00AE7506"/>
    <w:rsid w:val="00AF035E"/>
    <w:rsid w:val="00AF0D75"/>
    <w:rsid w:val="00AF157D"/>
    <w:rsid w:val="00AF1DC9"/>
    <w:rsid w:val="00AF51E8"/>
    <w:rsid w:val="00AF7AC1"/>
    <w:rsid w:val="00B06F4C"/>
    <w:rsid w:val="00B07F31"/>
    <w:rsid w:val="00B16676"/>
    <w:rsid w:val="00B175C0"/>
    <w:rsid w:val="00B2088A"/>
    <w:rsid w:val="00B227D0"/>
    <w:rsid w:val="00B243C7"/>
    <w:rsid w:val="00B24BA0"/>
    <w:rsid w:val="00B252F8"/>
    <w:rsid w:val="00B25AD2"/>
    <w:rsid w:val="00B26341"/>
    <w:rsid w:val="00B322BD"/>
    <w:rsid w:val="00B324F8"/>
    <w:rsid w:val="00B333D3"/>
    <w:rsid w:val="00B37AD8"/>
    <w:rsid w:val="00B4739C"/>
    <w:rsid w:val="00B47D11"/>
    <w:rsid w:val="00B50068"/>
    <w:rsid w:val="00B513C1"/>
    <w:rsid w:val="00B535A6"/>
    <w:rsid w:val="00B55060"/>
    <w:rsid w:val="00B578BB"/>
    <w:rsid w:val="00B57DB3"/>
    <w:rsid w:val="00B60764"/>
    <w:rsid w:val="00B60822"/>
    <w:rsid w:val="00B615FD"/>
    <w:rsid w:val="00B62BBF"/>
    <w:rsid w:val="00B630F5"/>
    <w:rsid w:val="00B65943"/>
    <w:rsid w:val="00B746E7"/>
    <w:rsid w:val="00B80123"/>
    <w:rsid w:val="00B8052B"/>
    <w:rsid w:val="00B82142"/>
    <w:rsid w:val="00B82548"/>
    <w:rsid w:val="00B8316B"/>
    <w:rsid w:val="00B83437"/>
    <w:rsid w:val="00B879A4"/>
    <w:rsid w:val="00B87CD0"/>
    <w:rsid w:val="00B87F6B"/>
    <w:rsid w:val="00B90779"/>
    <w:rsid w:val="00BA2B2F"/>
    <w:rsid w:val="00BB1906"/>
    <w:rsid w:val="00BB2199"/>
    <w:rsid w:val="00BB4B21"/>
    <w:rsid w:val="00BB5228"/>
    <w:rsid w:val="00BC0DC8"/>
    <w:rsid w:val="00BC0F7E"/>
    <w:rsid w:val="00BC5FB5"/>
    <w:rsid w:val="00BD1460"/>
    <w:rsid w:val="00BD3D12"/>
    <w:rsid w:val="00BD4540"/>
    <w:rsid w:val="00BD4D2B"/>
    <w:rsid w:val="00BD6FCB"/>
    <w:rsid w:val="00BD7CA2"/>
    <w:rsid w:val="00BE3F5C"/>
    <w:rsid w:val="00BE6573"/>
    <w:rsid w:val="00BE6CB8"/>
    <w:rsid w:val="00BF41CA"/>
    <w:rsid w:val="00BF4571"/>
    <w:rsid w:val="00BF4F8F"/>
    <w:rsid w:val="00BF6D83"/>
    <w:rsid w:val="00C0030E"/>
    <w:rsid w:val="00C03C15"/>
    <w:rsid w:val="00C03D82"/>
    <w:rsid w:val="00C11142"/>
    <w:rsid w:val="00C127C1"/>
    <w:rsid w:val="00C12FED"/>
    <w:rsid w:val="00C14130"/>
    <w:rsid w:val="00C14369"/>
    <w:rsid w:val="00C15DE2"/>
    <w:rsid w:val="00C17694"/>
    <w:rsid w:val="00C17853"/>
    <w:rsid w:val="00C21AB9"/>
    <w:rsid w:val="00C23B90"/>
    <w:rsid w:val="00C2701F"/>
    <w:rsid w:val="00C27C08"/>
    <w:rsid w:val="00C331DA"/>
    <w:rsid w:val="00C348AF"/>
    <w:rsid w:val="00C35BDB"/>
    <w:rsid w:val="00C40D7A"/>
    <w:rsid w:val="00C43B39"/>
    <w:rsid w:val="00C43C3B"/>
    <w:rsid w:val="00C440B2"/>
    <w:rsid w:val="00C45A7D"/>
    <w:rsid w:val="00C54226"/>
    <w:rsid w:val="00C56707"/>
    <w:rsid w:val="00C6042B"/>
    <w:rsid w:val="00C61F20"/>
    <w:rsid w:val="00C6343C"/>
    <w:rsid w:val="00C63C87"/>
    <w:rsid w:val="00C63E26"/>
    <w:rsid w:val="00C672E6"/>
    <w:rsid w:val="00C709F4"/>
    <w:rsid w:val="00C72965"/>
    <w:rsid w:val="00C72D0D"/>
    <w:rsid w:val="00C7363C"/>
    <w:rsid w:val="00C754BF"/>
    <w:rsid w:val="00C755E1"/>
    <w:rsid w:val="00C760C8"/>
    <w:rsid w:val="00C7639F"/>
    <w:rsid w:val="00C80E2C"/>
    <w:rsid w:val="00C87976"/>
    <w:rsid w:val="00C90BEB"/>
    <w:rsid w:val="00C94593"/>
    <w:rsid w:val="00C952A7"/>
    <w:rsid w:val="00CA6F0E"/>
    <w:rsid w:val="00CA71A2"/>
    <w:rsid w:val="00CA7A2C"/>
    <w:rsid w:val="00CB367B"/>
    <w:rsid w:val="00CC5220"/>
    <w:rsid w:val="00CC5CB6"/>
    <w:rsid w:val="00CD0A3B"/>
    <w:rsid w:val="00CD22CE"/>
    <w:rsid w:val="00CD71CF"/>
    <w:rsid w:val="00CE2891"/>
    <w:rsid w:val="00CE39FA"/>
    <w:rsid w:val="00CE3E10"/>
    <w:rsid w:val="00CE4B9B"/>
    <w:rsid w:val="00CE5E9C"/>
    <w:rsid w:val="00CE6835"/>
    <w:rsid w:val="00CF32FC"/>
    <w:rsid w:val="00CF3F23"/>
    <w:rsid w:val="00CF57D7"/>
    <w:rsid w:val="00CF58C6"/>
    <w:rsid w:val="00D0702A"/>
    <w:rsid w:val="00D07354"/>
    <w:rsid w:val="00D1761A"/>
    <w:rsid w:val="00D206DD"/>
    <w:rsid w:val="00D20F0E"/>
    <w:rsid w:val="00D2162D"/>
    <w:rsid w:val="00D24983"/>
    <w:rsid w:val="00D314E8"/>
    <w:rsid w:val="00D31752"/>
    <w:rsid w:val="00D321A8"/>
    <w:rsid w:val="00D32A1B"/>
    <w:rsid w:val="00D344BE"/>
    <w:rsid w:val="00D35771"/>
    <w:rsid w:val="00D361BE"/>
    <w:rsid w:val="00D40197"/>
    <w:rsid w:val="00D4633F"/>
    <w:rsid w:val="00D5103F"/>
    <w:rsid w:val="00D528C8"/>
    <w:rsid w:val="00D53A3C"/>
    <w:rsid w:val="00D60625"/>
    <w:rsid w:val="00D65B5B"/>
    <w:rsid w:val="00D703EA"/>
    <w:rsid w:val="00D703F9"/>
    <w:rsid w:val="00D74F13"/>
    <w:rsid w:val="00D76147"/>
    <w:rsid w:val="00D76855"/>
    <w:rsid w:val="00D809FF"/>
    <w:rsid w:val="00D81A44"/>
    <w:rsid w:val="00D81A9B"/>
    <w:rsid w:val="00D81B34"/>
    <w:rsid w:val="00D82A41"/>
    <w:rsid w:val="00D82CFE"/>
    <w:rsid w:val="00D8781D"/>
    <w:rsid w:val="00D9048C"/>
    <w:rsid w:val="00D90774"/>
    <w:rsid w:val="00D943EB"/>
    <w:rsid w:val="00D95670"/>
    <w:rsid w:val="00DB18C2"/>
    <w:rsid w:val="00DB1ECE"/>
    <w:rsid w:val="00DB30DA"/>
    <w:rsid w:val="00DB7828"/>
    <w:rsid w:val="00DC2240"/>
    <w:rsid w:val="00DC46FD"/>
    <w:rsid w:val="00DC5C5D"/>
    <w:rsid w:val="00DC62E6"/>
    <w:rsid w:val="00DC67D9"/>
    <w:rsid w:val="00DD513C"/>
    <w:rsid w:val="00DD5CF0"/>
    <w:rsid w:val="00DD746E"/>
    <w:rsid w:val="00DE26C1"/>
    <w:rsid w:val="00DE3168"/>
    <w:rsid w:val="00DE40DA"/>
    <w:rsid w:val="00DE5D18"/>
    <w:rsid w:val="00DE605F"/>
    <w:rsid w:val="00DE762F"/>
    <w:rsid w:val="00DF001A"/>
    <w:rsid w:val="00DF2A33"/>
    <w:rsid w:val="00DF5DE0"/>
    <w:rsid w:val="00DF6466"/>
    <w:rsid w:val="00DF64D3"/>
    <w:rsid w:val="00DF6FFD"/>
    <w:rsid w:val="00DF73E2"/>
    <w:rsid w:val="00E00506"/>
    <w:rsid w:val="00E01DAC"/>
    <w:rsid w:val="00E03AE7"/>
    <w:rsid w:val="00E06F9F"/>
    <w:rsid w:val="00E07903"/>
    <w:rsid w:val="00E07EDD"/>
    <w:rsid w:val="00E11B0D"/>
    <w:rsid w:val="00E1216C"/>
    <w:rsid w:val="00E128BB"/>
    <w:rsid w:val="00E13B83"/>
    <w:rsid w:val="00E15676"/>
    <w:rsid w:val="00E21CF5"/>
    <w:rsid w:val="00E22DFC"/>
    <w:rsid w:val="00E266A6"/>
    <w:rsid w:val="00E272EE"/>
    <w:rsid w:val="00E3084D"/>
    <w:rsid w:val="00E33395"/>
    <w:rsid w:val="00E37059"/>
    <w:rsid w:val="00E42A8B"/>
    <w:rsid w:val="00E42BEA"/>
    <w:rsid w:val="00E44C0D"/>
    <w:rsid w:val="00E45C3B"/>
    <w:rsid w:val="00E4662C"/>
    <w:rsid w:val="00E501F2"/>
    <w:rsid w:val="00E5063C"/>
    <w:rsid w:val="00E50647"/>
    <w:rsid w:val="00E50F44"/>
    <w:rsid w:val="00E53380"/>
    <w:rsid w:val="00E54583"/>
    <w:rsid w:val="00E54A2D"/>
    <w:rsid w:val="00E54AD8"/>
    <w:rsid w:val="00E55A3D"/>
    <w:rsid w:val="00E56DF4"/>
    <w:rsid w:val="00E572F1"/>
    <w:rsid w:val="00E60BA3"/>
    <w:rsid w:val="00E63EA6"/>
    <w:rsid w:val="00E70B83"/>
    <w:rsid w:val="00E71112"/>
    <w:rsid w:val="00E71561"/>
    <w:rsid w:val="00E72DD0"/>
    <w:rsid w:val="00E7529B"/>
    <w:rsid w:val="00E754AE"/>
    <w:rsid w:val="00E769BD"/>
    <w:rsid w:val="00E80736"/>
    <w:rsid w:val="00E82AD5"/>
    <w:rsid w:val="00E9118C"/>
    <w:rsid w:val="00E93AC2"/>
    <w:rsid w:val="00E93ED7"/>
    <w:rsid w:val="00E942C7"/>
    <w:rsid w:val="00E9434F"/>
    <w:rsid w:val="00E9714D"/>
    <w:rsid w:val="00EA3D33"/>
    <w:rsid w:val="00EB17C8"/>
    <w:rsid w:val="00EB1D27"/>
    <w:rsid w:val="00EB3219"/>
    <w:rsid w:val="00EC0924"/>
    <w:rsid w:val="00EC0A29"/>
    <w:rsid w:val="00EC2EF2"/>
    <w:rsid w:val="00EC44CD"/>
    <w:rsid w:val="00EC5597"/>
    <w:rsid w:val="00EC57D7"/>
    <w:rsid w:val="00EC589F"/>
    <w:rsid w:val="00ED0723"/>
    <w:rsid w:val="00ED1D46"/>
    <w:rsid w:val="00ED4A65"/>
    <w:rsid w:val="00EE0AA7"/>
    <w:rsid w:val="00EE0AFE"/>
    <w:rsid w:val="00EE2599"/>
    <w:rsid w:val="00EE3B86"/>
    <w:rsid w:val="00EE5D58"/>
    <w:rsid w:val="00EF04F7"/>
    <w:rsid w:val="00EF7878"/>
    <w:rsid w:val="00F01067"/>
    <w:rsid w:val="00F033B8"/>
    <w:rsid w:val="00F04D66"/>
    <w:rsid w:val="00F107AB"/>
    <w:rsid w:val="00F117AB"/>
    <w:rsid w:val="00F17525"/>
    <w:rsid w:val="00F20C80"/>
    <w:rsid w:val="00F26B32"/>
    <w:rsid w:val="00F3191E"/>
    <w:rsid w:val="00F31925"/>
    <w:rsid w:val="00F32E30"/>
    <w:rsid w:val="00F33FD7"/>
    <w:rsid w:val="00F375F1"/>
    <w:rsid w:val="00F41787"/>
    <w:rsid w:val="00F42B18"/>
    <w:rsid w:val="00F47613"/>
    <w:rsid w:val="00F6103E"/>
    <w:rsid w:val="00F618E2"/>
    <w:rsid w:val="00F7472D"/>
    <w:rsid w:val="00F77031"/>
    <w:rsid w:val="00F802CF"/>
    <w:rsid w:val="00F805AC"/>
    <w:rsid w:val="00F83ADA"/>
    <w:rsid w:val="00F8599F"/>
    <w:rsid w:val="00F86387"/>
    <w:rsid w:val="00F91BCF"/>
    <w:rsid w:val="00F9398C"/>
    <w:rsid w:val="00F944AC"/>
    <w:rsid w:val="00FA38BA"/>
    <w:rsid w:val="00FA48BA"/>
    <w:rsid w:val="00FA6707"/>
    <w:rsid w:val="00FB0B8D"/>
    <w:rsid w:val="00FB4933"/>
    <w:rsid w:val="00FB7057"/>
    <w:rsid w:val="00FB70E0"/>
    <w:rsid w:val="00FB73CA"/>
    <w:rsid w:val="00FC17BA"/>
    <w:rsid w:val="00FC35AD"/>
    <w:rsid w:val="00FC3ABE"/>
    <w:rsid w:val="00FD2882"/>
    <w:rsid w:val="00FD3328"/>
    <w:rsid w:val="00FE0D08"/>
    <w:rsid w:val="00FE1D9B"/>
    <w:rsid w:val="00FE367C"/>
    <w:rsid w:val="00FE4C80"/>
    <w:rsid w:val="00FE7527"/>
    <w:rsid w:val="00FF11FF"/>
    <w:rsid w:val="00FF3994"/>
    <w:rsid w:val="03EC0355"/>
    <w:rsid w:val="041A1188"/>
    <w:rsid w:val="049300F4"/>
    <w:rsid w:val="0A3B60BF"/>
    <w:rsid w:val="0E202C51"/>
    <w:rsid w:val="0EC84782"/>
    <w:rsid w:val="10A55C63"/>
    <w:rsid w:val="110F1949"/>
    <w:rsid w:val="144B79B4"/>
    <w:rsid w:val="172058CB"/>
    <w:rsid w:val="1A524411"/>
    <w:rsid w:val="1B177D78"/>
    <w:rsid w:val="1CC81B8A"/>
    <w:rsid w:val="210E1439"/>
    <w:rsid w:val="21AD5BA1"/>
    <w:rsid w:val="221B63A0"/>
    <w:rsid w:val="246A47D2"/>
    <w:rsid w:val="25B577B4"/>
    <w:rsid w:val="26EF150E"/>
    <w:rsid w:val="28010CD6"/>
    <w:rsid w:val="3227494D"/>
    <w:rsid w:val="37053279"/>
    <w:rsid w:val="3A9A23B5"/>
    <w:rsid w:val="3B4F4F82"/>
    <w:rsid w:val="3D2C2446"/>
    <w:rsid w:val="3E2F7506"/>
    <w:rsid w:val="3E972616"/>
    <w:rsid w:val="3EE57008"/>
    <w:rsid w:val="461019CA"/>
    <w:rsid w:val="4B2965A2"/>
    <w:rsid w:val="4C0E121F"/>
    <w:rsid w:val="4C0F3FD0"/>
    <w:rsid w:val="4E9C2326"/>
    <w:rsid w:val="50B16212"/>
    <w:rsid w:val="50EF617E"/>
    <w:rsid w:val="53095053"/>
    <w:rsid w:val="578C3AAA"/>
    <w:rsid w:val="57FD73D2"/>
    <w:rsid w:val="58A06DD0"/>
    <w:rsid w:val="598D6CB5"/>
    <w:rsid w:val="5A3B2D8E"/>
    <w:rsid w:val="5D9B28C6"/>
    <w:rsid w:val="5FCD15DF"/>
    <w:rsid w:val="65336B29"/>
    <w:rsid w:val="65B86A3A"/>
    <w:rsid w:val="66812C70"/>
    <w:rsid w:val="687B7594"/>
    <w:rsid w:val="68A5298A"/>
    <w:rsid w:val="6CDA0F12"/>
    <w:rsid w:val="6E1B6FBE"/>
    <w:rsid w:val="6E3631E6"/>
    <w:rsid w:val="74E36253"/>
    <w:rsid w:val="75CB4B5C"/>
    <w:rsid w:val="77AD2538"/>
    <w:rsid w:val="79E263BE"/>
    <w:rsid w:val="7A03224F"/>
    <w:rsid w:val="7B5B428C"/>
    <w:rsid w:val="7BC42670"/>
    <w:rsid w:val="7C291891"/>
    <w:rsid w:val="7D43513C"/>
    <w:rsid w:val="7D95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line="416" w:lineRule="auto"/>
      <w:ind w:left="100" w:leftChars="100" w:right="100" w:rightChars="100"/>
      <w:jc w:val="left"/>
      <w:outlineLvl w:val="2"/>
    </w:pPr>
    <w:rPr>
      <w:b/>
      <w:bCs/>
      <w:sz w:val="28"/>
      <w:szCs w:val="32"/>
    </w:rPr>
  </w:style>
  <w:style w:type="paragraph" w:styleId="2">
    <w:name w:val="heading 4"/>
    <w:basedOn w:val="1"/>
    <w:next w:val="1"/>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widowControl/>
      <w:numPr>
        <w:ilvl w:val="4"/>
        <w:numId w:val="1"/>
      </w:numPr>
      <w:spacing w:before="280" w:after="290" w:line="376" w:lineRule="auto"/>
      <w:jc w:val="left"/>
      <w:outlineLvl w:val="4"/>
    </w:pPr>
    <w:rPr>
      <w:b/>
      <w:bCs/>
      <w:kern w:val="0"/>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8"/>
    <w:unhideWhenUsed/>
    <w:qFormat/>
    <w:uiPriority w:val="99"/>
    <w:pPr>
      <w:jc w:val="left"/>
    </w:pPr>
  </w:style>
  <w:style w:type="paragraph" w:styleId="8">
    <w:name w:val="Body Text"/>
    <w:basedOn w:val="1"/>
    <w:next w:val="9"/>
    <w:qFormat/>
    <w:uiPriority w:val="0"/>
    <w:pPr>
      <w:spacing w:after="120" w:afterLines="0"/>
    </w:pPr>
  </w:style>
  <w:style w:type="paragraph" w:styleId="9">
    <w:name w:val="Body Text First Indent"/>
    <w:basedOn w:val="8"/>
    <w:next w:val="10"/>
    <w:qFormat/>
    <w:uiPriority w:val="0"/>
    <w:pPr>
      <w:ind w:firstLine="420" w:firstLineChars="100"/>
    </w:pPr>
  </w:style>
  <w:style w:type="paragraph" w:customStyle="1" w:styleId="10">
    <w:name w:val="段落正文"/>
    <w:basedOn w:val="1"/>
    <w:qFormat/>
    <w:uiPriority w:val="0"/>
    <w:pPr>
      <w:widowControl w:val="0"/>
      <w:spacing w:beforeLines="50" w:line="360" w:lineRule="auto"/>
      <w:ind w:firstLine="200" w:firstLineChars="200"/>
      <w:textAlignment w:val="auto"/>
    </w:pPr>
    <w:rPr>
      <w:spacing w:val="2"/>
      <w:sz w:val="24"/>
    </w:rPr>
  </w:style>
  <w:style w:type="paragraph" w:styleId="11">
    <w:name w:val="Body Text Indent"/>
    <w:basedOn w:val="1"/>
    <w:qFormat/>
    <w:uiPriority w:val="0"/>
    <w:pPr>
      <w:ind w:firstLine="600"/>
    </w:pPr>
    <w:rPr>
      <w:sz w:val="32"/>
      <w:szCs w:val="20"/>
    </w:rPr>
  </w:style>
  <w:style w:type="paragraph" w:styleId="12">
    <w:name w:val="toc 3"/>
    <w:basedOn w:val="1"/>
    <w:next w:val="1"/>
    <w:unhideWhenUsed/>
    <w:qFormat/>
    <w:uiPriority w:val="39"/>
    <w:pPr>
      <w:widowControl/>
      <w:tabs>
        <w:tab w:val="right" w:leader="dot" w:pos="8296"/>
      </w:tabs>
      <w:spacing w:after="100" w:line="276" w:lineRule="auto"/>
      <w:ind w:left="440"/>
      <w:jc w:val="left"/>
    </w:pPr>
    <w:rPr>
      <w:rFonts w:eastAsiaTheme="majorEastAsia"/>
      <w:kern w:val="0"/>
      <w:sz w:val="32"/>
    </w:rPr>
  </w:style>
  <w:style w:type="paragraph" w:styleId="13">
    <w:name w:val="Plain Text"/>
    <w:basedOn w:val="1"/>
    <w:link w:val="54"/>
    <w:semiHidden/>
    <w:unhideWhenUsed/>
    <w:qFormat/>
    <w:uiPriority w:val="99"/>
    <w:rPr>
      <w:rFonts w:ascii="宋体" w:hAnsi="Courier New" w:eastAsia="宋体" w:cs="Courier New"/>
      <w:szCs w:val="21"/>
    </w:rPr>
  </w:style>
  <w:style w:type="paragraph" w:styleId="14">
    <w:name w:val="Date"/>
    <w:basedOn w:val="1"/>
    <w:next w:val="1"/>
    <w:link w:val="52"/>
    <w:semiHidden/>
    <w:unhideWhenUsed/>
    <w:qFormat/>
    <w:uiPriority w:val="99"/>
    <w:pPr>
      <w:ind w:left="100" w:leftChars="2500"/>
    </w:pPr>
  </w:style>
  <w:style w:type="paragraph" w:styleId="15">
    <w:name w:val="Balloon Text"/>
    <w:basedOn w:val="1"/>
    <w:link w:val="47"/>
    <w:semiHidden/>
    <w:unhideWhenUsed/>
    <w:qFormat/>
    <w:uiPriority w:val="99"/>
    <w:rPr>
      <w:sz w:val="18"/>
      <w:szCs w:val="18"/>
    </w:rPr>
  </w:style>
  <w:style w:type="paragraph" w:styleId="16">
    <w:name w:val="footer"/>
    <w:basedOn w:val="1"/>
    <w:link w:val="45"/>
    <w:unhideWhenUsed/>
    <w:qFormat/>
    <w:uiPriority w:val="99"/>
    <w:pPr>
      <w:tabs>
        <w:tab w:val="center" w:pos="4153"/>
        <w:tab w:val="right" w:pos="8306"/>
      </w:tabs>
      <w:snapToGrid w:val="0"/>
      <w:jc w:val="left"/>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9"/>
    <w:next w:val="3"/>
    <w:unhideWhenUsed/>
    <w:qFormat/>
    <w:uiPriority w:val="39"/>
    <w:pPr>
      <w:widowControl/>
      <w:tabs>
        <w:tab w:val="left" w:pos="1176"/>
        <w:tab w:val="right" w:leader="dot" w:pos="9514"/>
      </w:tabs>
      <w:spacing w:line="440" w:lineRule="exact"/>
      <w:jc w:val="left"/>
    </w:pPr>
    <w:rPr>
      <w:rFonts w:eastAsia="黑体"/>
      <w:b/>
      <w:i w:val="0"/>
      <w:kern w:val="0"/>
      <w:sz w:val="30"/>
    </w:rPr>
  </w:style>
  <w:style w:type="paragraph" w:styleId="19">
    <w:name w:val="Quote"/>
    <w:basedOn w:val="1"/>
    <w:next w:val="1"/>
    <w:link w:val="46"/>
    <w:qFormat/>
    <w:uiPriority w:val="29"/>
    <w:rPr>
      <w:i/>
      <w:iCs/>
      <w:color w:val="000000" w:themeColor="text1"/>
      <w14:textFill>
        <w14:solidFill>
          <w14:schemeClr w14:val="tx1"/>
        </w14:solidFill>
      </w14:textFill>
    </w:rPr>
  </w:style>
  <w:style w:type="paragraph" w:styleId="20">
    <w:name w:val="toc 2"/>
    <w:basedOn w:val="19"/>
    <w:next w:val="4"/>
    <w:unhideWhenUsed/>
    <w:qFormat/>
    <w:uiPriority w:val="39"/>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lang w:val="zh-CN" w:eastAsia="zh-CN"/>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7"/>
    <w:next w:val="7"/>
    <w:link w:val="51"/>
    <w:semiHidden/>
    <w:unhideWhenUsed/>
    <w:qFormat/>
    <w:uiPriority w:val="99"/>
    <w:rPr>
      <w:b/>
      <w:bCs/>
    </w:rPr>
  </w:style>
  <w:style w:type="paragraph" w:styleId="23">
    <w:name w:val="Body Text First Indent 2"/>
    <w:basedOn w:val="11"/>
    <w:qFormat/>
    <w:uiPriority w:val="0"/>
    <w:pPr>
      <w:tabs>
        <w:tab w:val="left" w:pos="1680"/>
      </w:tabs>
      <w:spacing w:after="120"/>
      <w:ind w:left="420" w:leftChars="200" w:firstLine="420" w:firstLineChars="200"/>
    </w:pPr>
    <w:rPr>
      <w:sz w:val="21"/>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u w:val="none"/>
    </w:rPr>
  </w:style>
  <w:style w:type="character" w:styleId="29">
    <w:name w:val="Emphasis"/>
    <w:basedOn w:val="26"/>
    <w:qFormat/>
    <w:uiPriority w:val="20"/>
    <w:rPr>
      <w:b/>
      <w:bCs/>
    </w:rPr>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unhideWhenUsed/>
    <w:qFormat/>
    <w:uiPriority w:val="99"/>
    <w:rPr>
      <w:rFonts w:eastAsia="宋体"/>
      <w:color w:val="0000FF" w:themeColor="hyperlink"/>
      <w:u w:val="none"/>
      <w14:textFill>
        <w14:solidFill>
          <w14:schemeClr w14:val="hlink"/>
        </w14:solidFill>
      </w14:textFill>
    </w:rPr>
  </w:style>
  <w:style w:type="character" w:styleId="35">
    <w:name w:val="HTML Code"/>
    <w:basedOn w:val="26"/>
    <w:semiHidden/>
    <w:unhideWhenUsed/>
    <w:qFormat/>
    <w:uiPriority w:val="99"/>
    <w:rPr>
      <w:rFonts w:hint="default" w:ascii="monospace" w:hAnsi="monospace" w:eastAsia="monospace" w:cs="monospace"/>
      <w:sz w:val="20"/>
    </w:rPr>
  </w:style>
  <w:style w:type="character" w:styleId="36">
    <w:name w:val="annotation reference"/>
    <w:qFormat/>
    <w:uiPriority w:val="99"/>
    <w:rPr>
      <w:sz w:val="21"/>
    </w:rPr>
  </w:style>
  <w:style w:type="character" w:styleId="37">
    <w:name w:val="HTML Cite"/>
    <w:basedOn w:val="26"/>
    <w:semiHidden/>
    <w:unhideWhenUsed/>
    <w:qFormat/>
    <w:uiPriority w:val="99"/>
  </w:style>
  <w:style w:type="character" w:styleId="38">
    <w:name w:val="HTML Keyboard"/>
    <w:basedOn w:val="26"/>
    <w:semiHidden/>
    <w:unhideWhenUsed/>
    <w:qFormat/>
    <w:uiPriority w:val="99"/>
    <w:rPr>
      <w:rFonts w:ascii="monospace" w:hAnsi="monospace" w:eastAsia="monospace" w:cs="monospace"/>
      <w:sz w:val="20"/>
    </w:rPr>
  </w:style>
  <w:style w:type="character" w:styleId="39">
    <w:name w:val="HTML Sample"/>
    <w:basedOn w:val="26"/>
    <w:semiHidden/>
    <w:unhideWhenUsed/>
    <w:qFormat/>
    <w:uiPriority w:val="99"/>
    <w:rPr>
      <w:rFonts w:hint="default" w:ascii="monospace" w:hAnsi="monospace" w:eastAsia="monospace" w:cs="monospace"/>
    </w:rPr>
  </w:style>
  <w:style w:type="character" w:customStyle="1" w:styleId="40">
    <w:name w:val="标题 1 Char"/>
    <w:basedOn w:val="26"/>
    <w:link w:val="3"/>
    <w:qFormat/>
    <w:uiPriority w:val="9"/>
    <w:rPr>
      <w:b/>
      <w:bCs/>
      <w:kern w:val="44"/>
      <w:sz w:val="44"/>
      <w:szCs w:val="44"/>
    </w:rPr>
  </w:style>
  <w:style w:type="character" w:customStyle="1" w:styleId="41">
    <w:name w:val="标题 2 Char"/>
    <w:basedOn w:val="26"/>
    <w:link w:val="4"/>
    <w:qFormat/>
    <w:uiPriority w:val="9"/>
    <w:rPr>
      <w:rFonts w:asciiTheme="majorHAnsi" w:hAnsiTheme="majorHAnsi" w:eastAsiaTheme="majorEastAsia" w:cstheme="majorBidi"/>
      <w:b/>
      <w:bCs/>
      <w:sz w:val="32"/>
      <w:szCs w:val="32"/>
    </w:rPr>
  </w:style>
  <w:style w:type="paragraph" w:styleId="4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3">
    <w:name w:val="标题 3 Char"/>
    <w:basedOn w:val="26"/>
    <w:link w:val="5"/>
    <w:qFormat/>
    <w:uiPriority w:val="9"/>
    <w:rPr>
      <w:b/>
      <w:bCs/>
      <w:sz w:val="28"/>
      <w:szCs w:val="32"/>
    </w:rPr>
  </w:style>
  <w:style w:type="character" w:customStyle="1" w:styleId="44">
    <w:name w:val="页眉 Char"/>
    <w:basedOn w:val="26"/>
    <w:link w:val="17"/>
    <w:qFormat/>
    <w:uiPriority w:val="99"/>
    <w:rPr>
      <w:sz w:val="18"/>
      <w:szCs w:val="18"/>
    </w:rPr>
  </w:style>
  <w:style w:type="character" w:customStyle="1" w:styleId="45">
    <w:name w:val="页脚 Char"/>
    <w:basedOn w:val="26"/>
    <w:link w:val="16"/>
    <w:qFormat/>
    <w:uiPriority w:val="99"/>
    <w:rPr>
      <w:sz w:val="18"/>
      <w:szCs w:val="18"/>
    </w:rPr>
  </w:style>
  <w:style w:type="character" w:customStyle="1" w:styleId="46">
    <w:name w:val="引用 Char"/>
    <w:basedOn w:val="26"/>
    <w:link w:val="19"/>
    <w:qFormat/>
    <w:uiPriority w:val="29"/>
    <w:rPr>
      <w:i/>
      <w:iCs/>
      <w:color w:val="000000" w:themeColor="text1"/>
      <w14:textFill>
        <w14:solidFill>
          <w14:schemeClr w14:val="tx1"/>
        </w14:solidFill>
      </w14:textFill>
    </w:rPr>
  </w:style>
  <w:style w:type="character" w:customStyle="1" w:styleId="47">
    <w:name w:val="批注框文本 Char"/>
    <w:basedOn w:val="26"/>
    <w:link w:val="15"/>
    <w:semiHidden/>
    <w:qFormat/>
    <w:uiPriority w:val="99"/>
    <w:rPr>
      <w:sz w:val="18"/>
      <w:szCs w:val="18"/>
    </w:rPr>
  </w:style>
  <w:style w:type="character" w:customStyle="1" w:styleId="48">
    <w:name w:val="批注文字 Char"/>
    <w:basedOn w:val="26"/>
    <w:link w:val="7"/>
    <w:qFormat/>
    <w:uiPriority w:val="99"/>
  </w:style>
  <w:style w:type="paragraph" w:styleId="49">
    <w:name w:val="List Paragraph"/>
    <w:basedOn w:val="1"/>
    <w:link w:val="50"/>
    <w:qFormat/>
    <w:uiPriority w:val="34"/>
    <w:pPr>
      <w:ind w:firstLine="420" w:firstLineChars="200"/>
    </w:pPr>
  </w:style>
  <w:style w:type="character" w:customStyle="1" w:styleId="50">
    <w:name w:val="列出段落 Char"/>
    <w:link w:val="49"/>
    <w:qFormat/>
    <w:uiPriority w:val="34"/>
  </w:style>
  <w:style w:type="character" w:customStyle="1" w:styleId="51">
    <w:name w:val="批注主题 Char"/>
    <w:basedOn w:val="48"/>
    <w:link w:val="22"/>
    <w:semiHidden/>
    <w:qFormat/>
    <w:uiPriority w:val="99"/>
    <w:rPr>
      <w:b/>
      <w:bCs/>
    </w:rPr>
  </w:style>
  <w:style w:type="character" w:customStyle="1" w:styleId="52">
    <w:name w:val="日期 Char"/>
    <w:basedOn w:val="26"/>
    <w:link w:val="14"/>
    <w:semiHidden/>
    <w:qFormat/>
    <w:uiPriority w:val="99"/>
  </w:style>
  <w:style w:type="paragraph" w:customStyle="1" w:styleId="5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纯文本 Char"/>
    <w:basedOn w:val="26"/>
    <w:link w:val="13"/>
    <w:semiHidden/>
    <w:qFormat/>
    <w:uiPriority w:val="99"/>
    <w:rPr>
      <w:rFonts w:ascii="宋体" w:hAnsi="Courier New" w:eastAsia="宋体" w:cs="Courier New"/>
      <w:szCs w:val="21"/>
    </w:rPr>
  </w:style>
  <w:style w:type="paragraph" w:customStyle="1" w:styleId="55">
    <w:name w:val="Table Paragraph"/>
    <w:basedOn w:val="1"/>
    <w:qFormat/>
    <w:uiPriority w:val="1"/>
    <w:pPr>
      <w:widowControl w:val="0"/>
      <w:textAlignment w:val="auto"/>
    </w:pPr>
    <w:rPr>
      <w:rFonts w:ascii="宋体" w:hAnsi="宋体" w:cs="宋体"/>
      <w:sz w:val="24"/>
      <w:szCs w:val="24"/>
      <w:lang w:val="zh-CN" w:bidi="zh-CN"/>
    </w:rPr>
  </w:style>
  <w:style w:type="character" w:customStyle="1" w:styleId="56">
    <w:name w:val="hover"/>
    <w:basedOn w:val="26"/>
    <w:qFormat/>
    <w:uiPriority w:val="0"/>
    <w:rPr>
      <w:color w:val="2590EB"/>
    </w:rPr>
  </w:style>
  <w:style w:type="character" w:customStyle="1" w:styleId="57">
    <w:name w:val="hover1"/>
    <w:basedOn w:val="26"/>
    <w:qFormat/>
    <w:uiPriority w:val="0"/>
    <w:rPr>
      <w:color w:val="2590EB"/>
    </w:rPr>
  </w:style>
  <w:style w:type="character" w:customStyle="1" w:styleId="58">
    <w:name w:val="hover2"/>
    <w:basedOn w:val="26"/>
    <w:qFormat/>
    <w:uiPriority w:val="0"/>
  </w:style>
  <w:style w:type="character" w:customStyle="1" w:styleId="59">
    <w:name w:val="hover3"/>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46D28-DD63-4E45-A2EC-4C26E2D2ADA8}">
  <ds:schemaRefs/>
</ds:datastoreItem>
</file>

<file path=docProps/app.xml><?xml version="1.0" encoding="utf-8"?>
<Properties xmlns="http://schemas.openxmlformats.org/officeDocument/2006/extended-properties" xmlns:vt="http://schemas.openxmlformats.org/officeDocument/2006/docPropsVTypes">
  <Template>Normal</Template>
  <Pages>78</Pages>
  <Words>37267</Words>
  <Characters>38431</Characters>
  <Lines>528</Lines>
  <Paragraphs>148</Paragraphs>
  <TotalTime>207</TotalTime>
  <ScaleCrop>false</ScaleCrop>
  <LinksUpToDate>false</LinksUpToDate>
  <CharactersWithSpaces>43222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2022-07-12T01:59:00Z</dcterms:created>
  <dc:creator>502-2钱进</dc:creator>
  <cp:lastModifiedBy> 钱俊</cp:lastModifiedBy>
  <cp:lastPrinted>2021-11-02T09:11:00Z</cp:lastPrinted>
  <dcterms:modified xsi:type="dcterms:W3CDTF">2023-02-10T06:36:58Z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A3207FA6303D472F87707075756CD32E</vt:lpwstr>
  </property>
</Properties>
</file>