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2"/>
          <w:sz w:val="84"/>
          <w:szCs w:val="84"/>
        </w:rPr>
      </w:pPr>
    </w:p>
    <w:p>
      <w:pPr>
        <w:pStyle w:val="10"/>
        <w:ind w:left="640" w:firstLine="1687"/>
        <w:rPr>
          <w:rFonts w:ascii="宋体" w:hAnsi="宋体" w:eastAsia="宋体" w:cs="宋体"/>
          <w:b/>
          <w:sz w:val="84"/>
          <w:szCs w:val="84"/>
        </w:rPr>
      </w:pPr>
    </w:p>
    <w:p>
      <w:pPr>
        <w:pStyle w:val="10"/>
        <w:ind w:left="640" w:firstLine="1687"/>
        <w:rPr>
          <w:rFonts w:ascii="宋体" w:hAnsi="宋体" w:eastAsia="宋体" w:cs="宋体"/>
          <w:b/>
          <w:sz w:val="84"/>
          <w:szCs w:val="84"/>
        </w:rPr>
      </w:pPr>
    </w:p>
    <w:p>
      <w:pPr>
        <w:pStyle w:val="14"/>
      </w:pPr>
    </w:p>
    <w:p>
      <w:pPr>
        <w:rPr>
          <w:rFonts w:ascii="宋体" w:hAnsi="宋体" w:eastAsia="宋体" w:cs="宋体"/>
          <w:b/>
          <w:kern w:val="2"/>
          <w:sz w:val="84"/>
          <w:szCs w:val="84"/>
        </w:rPr>
      </w:pPr>
    </w:p>
    <w:p>
      <w:pPr>
        <w:jc w:val="center"/>
        <w:rPr>
          <w:rFonts w:ascii="宋体" w:hAnsi="宋体" w:eastAsia="宋体" w:cs="宋体"/>
          <w:b/>
          <w:kern w:val="2"/>
          <w:sz w:val="84"/>
          <w:szCs w:val="84"/>
        </w:rPr>
      </w:pPr>
      <w:r>
        <w:rPr>
          <w:rFonts w:hint="eastAsia" w:ascii="宋体" w:hAnsi="宋体" w:eastAsia="宋体" w:cs="宋体"/>
          <w:b/>
          <w:kern w:val="2"/>
          <w:sz w:val="84"/>
          <w:szCs w:val="84"/>
        </w:rPr>
        <w:t>竞争性磋商文件</w:t>
      </w:r>
    </w:p>
    <w:p>
      <w:pPr>
        <w:jc w:val="both"/>
        <w:rPr>
          <w:rFonts w:ascii="宋体" w:hAnsi="宋体" w:eastAsia="宋体" w:cs="宋体"/>
          <w:b/>
          <w:kern w:val="2"/>
          <w:sz w:val="84"/>
          <w:szCs w:val="84"/>
        </w:rPr>
      </w:pPr>
    </w:p>
    <w:p>
      <w:pPr>
        <w:pStyle w:val="2"/>
      </w:pPr>
    </w:p>
    <w:p>
      <w:pPr>
        <w:rPr>
          <w:rFonts w:ascii="宋体" w:hAnsi="宋体" w:eastAsia="宋体" w:cs="宋体"/>
          <w:b/>
          <w:kern w:val="2"/>
          <w:szCs w:val="32"/>
        </w:rPr>
      </w:pPr>
    </w:p>
    <w:p>
      <w:pPr>
        <w:ind w:left="2240" w:leftChars="200" w:hanging="1600" w:hangingChars="500"/>
        <w:rPr>
          <w:rFonts w:ascii="宋体" w:hAnsi="宋体" w:eastAsia="宋体" w:cs="宋体"/>
          <w:b/>
          <w:kern w:val="2"/>
          <w:szCs w:val="32"/>
        </w:rPr>
      </w:pPr>
      <w:r>
        <w:rPr>
          <w:rFonts w:hint="eastAsia" w:ascii="宋体" w:hAnsi="宋体" w:eastAsia="宋体" w:cs="宋体"/>
          <w:b/>
          <w:kern w:val="2"/>
          <w:szCs w:val="32"/>
        </w:rPr>
        <w:t>项目名称：广水市文化和旅游局图书馆新馆图书采购及数字化建设项目</w:t>
      </w:r>
    </w:p>
    <w:p>
      <w:pPr>
        <w:ind w:firstLine="885" w:firstLineChars="295"/>
        <w:rPr>
          <w:rFonts w:ascii="宋体" w:hAnsi="宋体" w:eastAsia="宋体" w:cs="宋体"/>
          <w:b/>
          <w:kern w:val="2"/>
          <w:sz w:val="30"/>
          <w:szCs w:val="30"/>
        </w:rPr>
      </w:pPr>
    </w:p>
    <w:p>
      <w:pPr>
        <w:pStyle w:val="16"/>
        <w:snapToGrid w:val="0"/>
        <w:spacing w:before="0" w:beforeAutospacing="0" w:after="0" w:afterAutospacing="0" w:line="360" w:lineRule="auto"/>
        <w:ind w:right="556" w:firstLine="960" w:firstLineChars="300"/>
        <w:jc w:val="both"/>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项目编号：HBGS-202303ZC-035</w:t>
      </w:r>
    </w:p>
    <w:p>
      <w:pPr>
        <w:rPr>
          <w:rFonts w:hint="eastAsia" w:ascii="宋体" w:hAnsi="宋体" w:eastAsia="宋体" w:cs="宋体"/>
          <w:b/>
          <w:kern w:val="2"/>
          <w:sz w:val="32"/>
          <w:szCs w:val="32"/>
          <w:lang w:val="en-US" w:eastAsia="zh-CN" w:bidi="ar-SA"/>
        </w:rPr>
      </w:pPr>
    </w:p>
    <w:p>
      <w:pPr>
        <w:snapToGrid w:val="0"/>
        <w:spacing w:line="420" w:lineRule="auto"/>
        <w:ind w:firstLine="944" w:firstLineChars="295"/>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采购人：广水市文化和旅游局</w:t>
      </w:r>
    </w:p>
    <w:p>
      <w:pPr>
        <w:snapToGrid w:val="0"/>
        <w:spacing w:line="420" w:lineRule="auto"/>
        <w:ind w:firstLine="944" w:firstLineChars="295"/>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采购代理机构：湖北楚振捷工程项目管理有限公司</w:t>
      </w:r>
    </w:p>
    <w:p>
      <w:pPr>
        <w:snapToGrid w:val="0"/>
        <w:spacing w:line="420" w:lineRule="auto"/>
        <w:ind w:firstLine="944" w:firstLineChars="295"/>
        <w:rPr>
          <w:rFonts w:hint="eastAsia" w:ascii="宋体" w:hAnsi="宋体" w:eastAsia="宋体" w:cs="宋体"/>
          <w:b/>
          <w:kern w:val="2"/>
          <w:sz w:val="32"/>
          <w:szCs w:val="32"/>
          <w:lang w:val="zh-CN" w:eastAsia="zh-CN" w:bidi="ar-SA"/>
        </w:rPr>
      </w:pPr>
      <w:r>
        <w:rPr>
          <w:rFonts w:hint="eastAsia" w:ascii="宋体" w:hAnsi="宋体" w:eastAsia="宋体" w:cs="宋体"/>
          <w:b/>
          <w:kern w:val="2"/>
          <w:sz w:val="32"/>
          <w:szCs w:val="32"/>
          <w:lang w:val="en-US" w:eastAsia="zh-CN" w:bidi="ar-SA"/>
        </w:rPr>
        <w:t>日期：2023年3月</w:t>
      </w:r>
    </w:p>
    <w:p>
      <w:pPr>
        <w:autoSpaceDE w:val="0"/>
        <w:autoSpaceDN w:val="0"/>
        <w:adjustRightInd w:val="0"/>
        <w:snapToGrid w:val="0"/>
        <w:spacing w:line="600" w:lineRule="exact"/>
        <w:ind w:firstLine="420"/>
        <w:jc w:val="center"/>
        <w:rPr>
          <w:rFonts w:hint="eastAsia" w:ascii="宋体" w:hAnsi="宋体" w:eastAsia="宋体" w:cs="宋体"/>
          <w:b/>
          <w:kern w:val="2"/>
          <w:sz w:val="32"/>
          <w:szCs w:val="32"/>
          <w:lang w:val="zh-CN" w:eastAsia="zh-CN" w:bidi="ar-SA"/>
        </w:rPr>
        <w:sectPr>
          <w:headerReference r:id="rId4" w:type="first"/>
          <w:footerReference r:id="rId6" w:type="first"/>
          <w:headerReference r:id="rId3" w:type="default"/>
          <w:footerReference r:id="rId5" w:type="default"/>
          <w:pgSz w:w="11906" w:h="16838"/>
          <w:pgMar w:top="1134" w:right="1247" w:bottom="851" w:left="1418" w:header="964" w:footer="851" w:gutter="0"/>
          <w:pgNumType w:start="1"/>
          <w:cols w:space="720" w:num="1"/>
          <w:titlePg/>
          <w:docGrid w:type="linesAndChars" w:linePitch="435" w:charSpace="0"/>
        </w:sectPr>
      </w:pPr>
    </w:p>
    <w:p>
      <w:pPr>
        <w:autoSpaceDE w:val="0"/>
        <w:autoSpaceDN w:val="0"/>
        <w:adjustRightInd w:val="0"/>
        <w:snapToGrid w:val="0"/>
        <w:spacing w:line="600" w:lineRule="exact"/>
        <w:ind w:firstLine="420"/>
        <w:jc w:val="center"/>
        <w:rPr>
          <w:rFonts w:ascii="宋体" w:hAnsi="宋体" w:eastAsia="宋体" w:cs="宋体"/>
          <w:b/>
          <w:sz w:val="28"/>
          <w:szCs w:val="28"/>
        </w:rPr>
      </w:pPr>
      <w:r>
        <w:rPr>
          <w:rFonts w:hint="eastAsia" w:ascii="宋体" w:hAnsi="宋体" w:eastAsia="宋体" w:cs="宋体"/>
          <w:b/>
          <w:sz w:val="28"/>
          <w:szCs w:val="28"/>
          <w:lang w:val="zh-CN"/>
        </w:rPr>
        <w:t xml:space="preserve">目 </w:t>
      </w:r>
      <w:r>
        <w:rPr>
          <w:rFonts w:hint="eastAsia" w:ascii="宋体" w:hAnsi="宋体" w:eastAsia="宋体" w:cs="宋体"/>
          <w:b/>
          <w:sz w:val="28"/>
          <w:szCs w:val="28"/>
        </w:rPr>
        <w:t xml:space="preserve"> </w:t>
      </w:r>
      <w:r>
        <w:rPr>
          <w:rFonts w:hint="eastAsia" w:ascii="宋体" w:hAnsi="宋体" w:eastAsia="宋体" w:cs="宋体"/>
          <w:b/>
          <w:sz w:val="28"/>
          <w:szCs w:val="28"/>
          <w:lang w:val="zh-CN"/>
        </w:rPr>
        <w:t>录</w:t>
      </w:r>
    </w:p>
    <w:p>
      <w:pPr>
        <w:pStyle w:val="15"/>
        <w:tabs>
          <w:tab w:val="right" w:leader="dot" w:pos="9241"/>
        </w:tabs>
        <w:ind w:left="64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"_Toc24464" </w:instrText>
      </w:r>
      <w:r>
        <w:fldChar w:fldCharType="separate"/>
      </w:r>
      <w:r>
        <w:rPr>
          <w:rFonts w:hint="eastAsia" w:ascii="宋体" w:hAnsi="宋体" w:eastAsia="宋体" w:cs="宋体"/>
          <w:sz w:val="28"/>
          <w:szCs w:val="28"/>
          <w:lang w:val="zh-CN"/>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_Toc24464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241"/>
        </w:tabs>
        <w:ind w:left="640"/>
        <w:rPr>
          <w:rFonts w:ascii="宋体" w:hAnsi="宋体" w:eastAsia="宋体" w:cs="宋体"/>
          <w:szCs w:val="32"/>
        </w:rPr>
      </w:pPr>
      <w:r>
        <w:fldChar w:fldCharType="begin"/>
      </w:r>
      <w:r>
        <w:instrText xml:space="preserve"> HYPERLINK \l "_Toc28534" </w:instrText>
      </w:r>
      <w:r>
        <w:fldChar w:fldCharType="separate"/>
      </w:r>
      <w:r>
        <w:rPr>
          <w:rFonts w:hint="eastAsia" w:ascii="宋体" w:hAnsi="宋体" w:eastAsia="宋体" w:cs="宋体"/>
          <w:sz w:val="28"/>
          <w:szCs w:val="28"/>
          <w:lang w:val="zh-CN"/>
        </w:rPr>
        <w:t>第二部分 磋商供应商须知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_Toc28534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241"/>
        </w:tabs>
        <w:ind w:left="640"/>
        <w:rPr>
          <w:rFonts w:ascii="宋体" w:hAnsi="宋体" w:eastAsia="宋体" w:cs="宋体"/>
          <w:sz w:val="28"/>
          <w:szCs w:val="28"/>
        </w:rPr>
      </w:pPr>
      <w:r>
        <w:fldChar w:fldCharType="begin"/>
      </w:r>
      <w:r>
        <w:instrText xml:space="preserve"> HYPERLINK \l "_Toc8224" </w:instrText>
      </w:r>
      <w:r>
        <w:fldChar w:fldCharType="separate"/>
      </w:r>
      <w:r>
        <w:rPr>
          <w:rFonts w:hint="eastAsia" w:ascii="宋体" w:hAnsi="宋体" w:eastAsia="宋体" w:cs="宋体"/>
          <w:sz w:val="28"/>
          <w:szCs w:val="28"/>
          <w:lang w:val="zh-CN"/>
        </w:rPr>
        <w:t>第三部分 磋商供应商须知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_Toc8224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241"/>
        </w:tabs>
        <w:ind w:left="640"/>
        <w:rPr>
          <w:rFonts w:ascii="宋体" w:hAnsi="宋体" w:eastAsia="宋体" w:cs="宋体"/>
          <w:sz w:val="28"/>
          <w:szCs w:val="28"/>
        </w:rPr>
      </w:pPr>
      <w:r>
        <w:fldChar w:fldCharType="begin"/>
      </w:r>
      <w:r>
        <w:instrText xml:space="preserve"> HYPERLINK \l "_Toc18031" </w:instrText>
      </w:r>
      <w:r>
        <w:fldChar w:fldCharType="separate"/>
      </w:r>
      <w:r>
        <w:rPr>
          <w:rFonts w:hint="eastAsia" w:ascii="宋体" w:hAnsi="宋体" w:eastAsia="宋体" w:cs="宋体"/>
          <w:sz w:val="28"/>
          <w:szCs w:val="28"/>
          <w:lang w:val="zh-CN"/>
        </w:rPr>
        <w:t>第四部分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_Toc18031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241"/>
        </w:tabs>
        <w:ind w:left="640"/>
        <w:rPr>
          <w:rFonts w:ascii="宋体" w:hAnsi="宋体" w:eastAsia="宋体" w:cs="宋体"/>
          <w:szCs w:val="32"/>
        </w:rPr>
      </w:pPr>
      <w:r>
        <w:fldChar w:fldCharType="begin"/>
      </w:r>
      <w:r>
        <w:instrText xml:space="preserve"> HYPERLINK \l "_Toc15340" </w:instrText>
      </w:r>
      <w:r>
        <w:fldChar w:fldCharType="separate"/>
      </w:r>
      <w:r>
        <w:rPr>
          <w:rFonts w:hint="eastAsia" w:ascii="宋体" w:hAnsi="宋体" w:eastAsia="宋体" w:cs="宋体"/>
          <w:sz w:val="28"/>
          <w:szCs w:val="28"/>
          <w:lang w:val="zh-CN"/>
        </w:rPr>
        <w:t>合同格式</w:t>
      </w:r>
      <w:r>
        <w:rPr>
          <w:rFonts w:hint="eastAsia" w:ascii="宋体" w:hAnsi="宋体" w:eastAsia="宋体" w:cs="宋体"/>
          <w:sz w:val="28"/>
          <w:szCs w:val="28"/>
        </w:rPr>
        <w:t>（参考）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_Toc15340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241"/>
        </w:tabs>
        <w:ind w:left="640"/>
        <w:rPr>
          <w:rFonts w:ascii="宋体" w:hAnsi="宋体" w:eastAsia="宋体" w:cs="宋体"/>
          <w:sz w:val="28"/>
          <w:szCs w:val="28"/>
        </w:rPr>
      </w:pPr>
      <w:r>
        <w:fldChar w:fldCharType="begin"/>
      </w:r>
      <w:r>
        <w:instrText xml:space="preserve"> HYPERLINK \l "_Toc30919" </w:instrText>
      </w:r>
      <w:r>
        <w:fldChar w:fldCharType="separate"/>
      </w:r>
      <w:r>
        <w:rPr>
          <w:rFonts w:hint="eastAsia" w:ascii="宋体" w:hAnsi="宋体" w:eastAsia="宋体" w:cs="宋体"/>
          <w:sz w:val="28"/>
          <w:szCs w:val="28"/>
          <w:lang w:val="zh-CN"/>
        </w:rPr>
        <w:t>第五部分 采购要求及内容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_Toc30919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firstLine="800" w:firstLineChars="250"/>
        <w:rPr>
          <w:rFonts w:ascii="宋体" w:hAnsi="宋体" w:eastAsia="宋体" w:cs="宋体"/>
          <w:sz w:val="28"/>
          <w:szCs w:val="28"/>
        </w:rPr>
      </w:pPr>
      <w:r>
        <w:fldChar w:fldCharType="begin"/>
      </w:r>
      <w:r>
        <w:instrText xml:space="preserve"> HYPERLINK \l "_Toc10164" </w:instrText>
      </w:r>
      <w:r>
        <w:fldChar w:fldCharType="separate"/>
      </w:r>
      <w:r>
        <w:rPr>
          <w:rFonts w:hint="eastAsia" w:ascii="宋体" w:hAnsi="宋体" w:eastAsia="宋体" w:cs="宋体"/>
          <w:sz w:val="28"/>
          <w:szCs w:val="28"/>
        </w:rPr>
        <w:t>第六部分 磋商办法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_Toc10164 \h </w:instrText>
      </w:r>
      <w:r>
        <w:rPr>
          <w:rFonts w:hint="eastAsia" w:ascii="宋体" w:hAnsi="宋体" w:eastAsia="宋体" w:cs="宋体"/>
          <w:sz w:val="28"/>
          <w:szCs w:val="28"/>
        </w:rPr>
        <w:fldChar w:fldCharType="separate"/>
      </w:r>
      <w:r>
        <w:rPr>
          <w:rFonts w:hint="eastAsia" w:ascii="宋体" w:hAnsi="宋体" w:eastAsia="宋体" w:cs="宋体"/>
          <w:sz w:val="28"/>
          <w:szCs w:val="28"/>
        </w:rPr>
        <w:t>99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241"/>
        </w:tabs>
        <w:ind w:left="640"/>
        <w:rPr>
          <w:rFonts w:ascii="宋体" w:hAnsi="宋体" w:eastAsia="宋体" w:cs="宋体"/>
          <w:szCs w:val="32"/>
        </w:rPr>
      </w:pPr>
      <w:r>
        <w:fldChar w:fldCharType="begin"/>
      </w:r>
      <w:r>
        <w:instrText xml:space="preserve"> HYPERLINK \l "_Toc16859" </w:instrText>
      </w:r>
      <w:r>
        <w:fldChar w:fldCharType="separate"/>
      </w:r>
      <w:r>
        <w:rPr>
          <w:rFonts w:hint="eastAsia" w:ascii="宋体" w:hAnsi="宋体" w:eastAsia="宋体" w:cs="宋体"/>
          <w:sz w:val="28"/>
          <w:szCs w:val="28"/>
          <w:lang w:val="zh-CN"/>
        </w:rPr>
        <w:t>七部分 响应性文件格式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_Toc16859 \h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pPr>
    </w:p>
    <w:p>
      <w:pPr>
        <w:snapToGrid w:val="0"/>
        <w:spacing w:line="600" w:lineRule="exact"/>
        <w:rPr>
          <w:rFonts w:ascii="宋体" w:hAnsi="宋体" w:eastAsia="宋体" w:cs="宋体"/>
          <w:sz w:val="28"/>
          <w:szCs w:val="28"/>
        </w:rPr>
      </w:pPr>
      <w:r>
        <w:rPr>
          <w:rFonts w:hint="eastAsia" w:ascii="宋体" w:hAnsi="宋体" w:eastAsia="宋体" w:cs="宋体"/>
          <w:szCs w:val="28"/>
        </w:rPr>
        <w:fldChar w:fldCharType="end"/>
      </w: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400" w:lineRule="exact"/>
        <w:jc w:val="center"/>
        <w:rPr>
          <w:rFonts w:ascii="宋体" w:hAnsi="宋体" w:eastAsia="宋体" w:cs="宋体"/>
          <w:b/>
          <w:szCs w:val="32"/>
        </w:rPr>
        <w:sectPr>
          <w:footerReference r:id="rId8" w:type="first"/>
          <w:footerReference r:id="rId7" w:type="default"/>
          <w:pgSz w:w="11906" w:h="16838"/>
          <w:pgMar w:top="1134" w:right="1247" w:bottom="851" w:left="1418" w:header="964" w:footer="851" w:gutter="0"/>
          <w:pgNumType w:start="2"/>
          <w:cols w:space="720" w:num="1"/>
          <w:titlePg/>
          <w:docGrid w:type="linesAndChars" w:linePitch="435" w:charSpace="0"/>
        </w:sectPr>
      </w:pPr>
    </w:p>
    <w:p>
      <w:pPr>
        <w:snapToGrid w:val="0"/>
        <w:spacing w:line="400" w:lineRule="exact"/>
        <w:jc w:val="center"/>
        <w:rPr>
          <w:rFonts w:ascii="宋体" w:hAnsi="宋体" w:eastAsia="宋体" w:cs="宋体"/>
          <w:b/>
          <w:szCs w:val="32"/>
        </w:rPr>
      </w:pPr>
    </w:p>
    <w:p>
      <w:pPr>
        <w:pStyle w:val="4"/>
        <w:snapToGrid w:val="0"/>
        <w:rPr>
          <w:rFonts w:cs="宋体"/>
          <w:lang w:val="zh-CN"/>
        </w:rPr>
      </w:pPr>
      <w:bookmarkStart w:id="0" w:name="_Toc24464"/>
      <w:bookmarkStart w:id="1" w:name="_Toc14425"/>
      <w:r>
        <w:rPr>
          <w:rFonts w:hint="eastAsia" w:cs="宋体"/>
          <w:lang w:val="zh-CN"/>
        </w:rPr>
        <w:t>第一部分 竞争性磋商公告</w:t>
      </w:r>
      <w:bookmarkEnd w:id="0"/>
      <w:bookmarkEnd w:id="1"/>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sz w:val="24"/>
          <w:szCs w:val="24"/>
        </w:rPr>
      </w:pPr>
      <w:bookmarkStart w:id="2" w:name="_Toc25355"/>
      <w:r>
        <w:rPr>
          <w:rFonts w:hint="eastAsia" w:ascii="宋体" w:hAnsi="宋体" w:eastAsia="宋体" w:cs="宋体"/>
          <w:sz w:val="24"/>
          <w:szCs w:val="24"/>
        </w:rPr>
        <w:t>项目概况：</w:t>
      </w:r>
    </w:p>
    <w:p>
      <w:pPr>
        <w:pBdr>
          <w:top w:val="none" w:color="auto" w:sz="0" w:space="1"/>
          <w:bottom w:val="none" w:color="auto" w:sz="0" w:space="1"/>
          <w:right w:val="none" w:color="auto" w:sz="0" w:space="4"/>
        </w:pBd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u w:val="single"/>
        </w:rPr>
        <w:t>广水市文化和旅游局图书馆新馆图书采购及数字化建设项目</w:t>
      </w:r>
      <w:r>
        <w:rPr>
          <w:rFonts w:hint="eastAsia" w:ascii="宋体" w:hAnsi="宋体" w:eastAsia="宋体" w:cs="宋体"/>
          <w:sz w:val="24"/>
          <w:szCs w:val="24"/>
        </w:rPr>
        <w:t>采购项目的</w:t>
      </w:r>
      <w:bookmarkStart w:id="3" w:name="_Toc35393629"/>
      <w:bookmarkStart w:id="4" w:name="_Toc28359089"/>
      <w:bookmarkStart w:id="5" w:name="_Toc35393798"/>
      <w:bookmarkStart w:id="6" w:name="_Toc28359012"/>
      <w:r>
        <w:rPr>
          <w:rFonts w:hint="eastAsia" w:ascii="宋体" w:hAnsi="宋体" w:eastAsia="宋体" w:cs="宋体"/>
          <w:color w:val="000000"/>
          <w:sz w:val="24"/>
          <w:szCs w:val="24"/>
        </w:rPr>
        <w:t>潜在供</w:t>
      </w:r>
      <w:r>
        <w:rPr>
          <w:rFonts w:hint="eastAsia" w:ascii="宋体" w:hAnsi="宋体" w:eastAsia="宋体" w:cs="宋体"/>
          <w:bCs/>
          <w:color w:val="000000"/>
          <w:sz w:val="24"/>
          <w:szCs w:val="24"/>
        </w:rPr>
        <w:t>应商应在湖北省电子招投标交易平台获取采购文件，并于2023年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4</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9 </w:t>
      </w:r>
      <w:r>
        <w:rPr>
          <w:rFonts w:hint="eastAsia" w:ascii="宋体" w:hAnsi="宋体" w:eastAsia="宋体" w:cs="宋体"/>
          <w:bCs/>
          <w:sz w:val="24"/>
          <w:szCs w:val="24"/>
        </w:rPr>
        <w:t>点</w:t>
      </w:r>
      <w:r>
        <w:rPr>
          <w:rFonts w:hint="eastAsia" w:ascii="宋体" w:hAnsi="宋体" w:eastAsia="宋体" w:cs="宋体"/>
          <w:bCs/>
          <w:color w:val="000000"/>
          <w:sz w:val="24"/>
          <w:szCs w:val="24"/>
          <w:u w:val="single"/>
        </w:rPr>
        <w:t xml:space="preserve"> 00 </w:t>
      </w:r>
      <w:r>
        <w:rPr>
          <w:rFonts w:hint="eastAsia" w:ascii="宋体" w:hAnsi="宋体" w:eastAsia="宋体" w:cs="宋体"/>
          <w:bCs/>
          <w:color w:val="000000"/>
          <w:sz w:val="24"/>
          <w:szCs w:val="24"/>
        </w:rPr>
        <w:t>分（北京时间）前提交响应文件</w:t>
      </w:r>
      <w:r>
        <w:rPr>
          <w:rFonts w:hint="eastAsia" w:ascii="宋体" w:hAnsi="宋体" w:eastAsia="宋体" w:cs="宋体"/>
          <w:color w:val="000000"/>
          <w:sz w:val="24"/>
          <w:szCs w:val="24"/>
        </w:rPr>
        <w:t>。</w:t>
      </w:r>
    </w:p>
    <w:p>
      <w:pPr>
        <w:snapToGrid w:val="0"/>
        <w:spacing w:line="360" w:lineRule="auto"/>
        <w:rPr>
          <w:rFonts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项目基本情况</w:t>
      </w:r>
      <w:bookmarkEnd w:id="3"/>
      <w:bookmarkEnd w:id="4"/>
      <w:bookmarkEnd w:id="5"/>
      <w:bookmarkEnd w:id="6"/>
      <w:r>
        <w:rPr>
          <w:rFonts w:hint="eastAsia" w:ascii="宋体" w:hAnsi="宋体" w:eastAsia="宋体" w:cs="宋体"/>
          <w:sz w:val="24"/>
          <w:szCs w:val="24"/>
        </w:rPr>
        <w:t>：</w:t>
      </w:r>
    </w:p>
    <w:p>
      <w:pPr>
        <w:pStyle w:val="16"/>
        <w:snapToGrid w:val="0"/>
        <w:spacing w:before="0" w:beforeAutospacing="0" w:after="0" w:afterAutospacing="0" w:line="360" w:lineRule="auto"/>
        <w:ind w:right="556" w:firstLine="480" w:firstLineChars="200"/>
        <w:jc w:val="both"/>
        <w:rPr>
          <w:rFonts w:hint="eastAsia" w:ascii="宋体" w:hAnsi="宋体" w:eastAsia="宋体" w:cs="宋体"/>
          <w:color w:val="auto"/>
          <w:lang w:val="en-US" w:eastAsia="zh-CN"/>
        </w:rPr>
      </w:pPr>
      <w:r>
        <w:rPr>
          <w:rFonts w:hint="eastAsia"/>
          <w:color w:val="auto"/>
        </w:rPr>
        <w:t>1、项目编号</w:t>
      </w:r>
      <w:r>
        <w:rPr>
          <w:rFonts w:hint="eastAsia" w:ascii="宋体" w:hAnsi="宋体" w:eastAsia="宋体" w:cs="宋体"/>
          <w:color w:val="auto"/>
          <w:lang w:val="en-US" w:eastAsia="zh-CN"/>
        </w:rPr>
        <w:t>： HBGS-202303ZC-035</w:t>
      </w:r>
    </w:p>
    <w:p>
      <w:pPr>
        <w:pStyle w:val="16"/>
        <w:snapToGrid w:val="0"/>
        <w:spacing w:before="0" w:beforeAutospacing="0" w:after="0" w:afterAutospacing="0" w:line="360" w:lineRule="auto"/>
        <w:ind w:right="556" w:firstLine="480" w:firstLineChars="200"/>
        <w:jc w:val="both"/>
        <w:rPr>
          <w:color w:val="auto"/>
        </w:rPr>
      </w:pPr>
      <w:r>
        <w:rPr>
          <w:rFonts w:hint="eastAsia"/>
          <w:color w:val="auto"/>
        </w:rPr>
        <w:t>2、采购计划备案号：</w:t>
      </w:r>
      <w:r>
        <w:rPr>
          <w:rFonts w:hint="eastAsia"/>
          <w:color w:val="auto"/>
          <w:lang w:val="en-US" w:eastAsia="zh-CN"/>
        </w:rPr>
        <w:t>421381-2023-00106</w:t>
      </w:r>
      <w:r>
        <w:rPr>
          <w:rFonts w:hint="eastAsia"/>
          <w:color w:val="auto"/>
        </w:rPr>
        <w:t xml:space="preserve"> </w:t>
      </w:r>
    </w:p>
    <w:p>
      <w:pPr>
        <w:snapToGrid w:val="0"/>
        <w:spacing w:line="360" w:lineRule="auto"/>
        <w:ind w:left="480" w:leftChars="150"/>
        <w:rPr>
          <w:rFonts w:ascii="宋体" w:hAnsi="宋体" w:eastAsia="宋体" w:cs="宋体"/>
          <w:bCs/>
          <w:sz w:val="24"/>
          <w:szCs w:val="24"/>
        </w:rPr>
      </w:pPr>
      <w:r>
        <w:rPr>
          <w:rFonts w:hint="eastAsia" w:ascii="宋体" w:hAnsi="宋体" w:eastAsia="宋体" w:cs="宋体"/>
          <w:sz w:val="24"/>
          <w:szCs w:val="24"/>
        </w:rPr>
        <w:t>3、项目名称：</w:t>
      </w:r>
      <w:r>
        <w:rPr>
          <w:rFonts w:hint="eastAsia" w:ascii="宋体" w:hAnsi="宋体" w:eastAsia="宋体" w:cs="宋体"/>
          <w:bCs/>
          <w:sz w:val="24"/>
          <w:szCs w:val="24"/>
        </w:rPr>
        <w:t>广水市文化和旅游局图书馆新馆图书采购及数字化建设项目</w:t>
      </w:r>
    </w:p>
    <w:p>
      <w:pPr>
        <w:pStyle w:val="10"/>
        <w:ind w:left="0" w:leftChars="0" w:firstLine="480"/>
        <w:rPr>
          <w:rFonts w:ascii="宋体" w:hAnsi="宋体" w:eastAsia="宋体" w:cs="宋体"/>
          <w:sz w:val="24"/>
        </w:rPr>
      </w:pPr>
      <w:r>
        <w:rPr>
          <w:rFonts w:hint="eastAsia" w:ascii="宋体" w:hAnsi="宋体" w:eastAsia="宋体" w:cs="宋体"/>
          <w:sz w:val="24"/>
        </w:rPr>
        <w:t>一包：图书馆新馆图书采购</w:t>
      </w:r>
    </w:p>
    <w:p>
      <w:pPr>
        <w:pStyle w:val="10"/>
        <w:ind w:left="0" w:leftChars="0" w:firstLine="480"/>
        <w:rPr>
          <w:rFonts w:hint="eastAsia" w:ascii="宋体" w:hAnsi="宋体" w:eastAsia="宋体" w:cs="宋体"/>
          <w:sz w:val="24"/>
        </w:rPr>
      </w:pPr>
      <w:r>
        <w:rPr>
          <w:rFonts w:hint="eastAsia" w:ascii="宋体" w:hAnsi="宋体" w:eastAsia="宋体" w:cs="宋体"/>
          <w:sz w:val="24"/>
        </w:rPr>
        <w:t>二包：图书馆数字化建设</w:t>
      </w:r>
    </w:p>
    <w:p>
      <w:pPr>
        <w:snapToGrid w:val="0"/>
        <w:spacing w:line="360" w:lineRule="auto"/>
        <w:ind w:left="480" w:leftChars="150"/>
        <w:rPr>
          <w:rFonts w:ascii="宋体" w:hAnsi="宋体" w:eastAsia="宋体" w:cs="宋体"/>
          <w:sz w:val="24"/>
          <w:szCs w:val="24"/>
        </w:rPr>
      </w:pPr>
      <w:r>
        <w:rPr>
          <w:rFonts w:hint="eastAsia" w:ascii="宋体" w:hAnsi="宋体" w:eastAsia="宋体" w:cs="宋体"/>
          <w:sz w:val="24"/>
          <w:szCs w:val="24"/>
        </w:rPr>
        <w:t>4、采购方式：竞争性磋商</w:t>
      </w:r>
    </w:p>
    <w:p>
      <w:pPr>
        <w:snapToGrid w:val="0"/>
        <w:spacing w:line="360" w:lineRule="auto"/>
        <w:ind w:firstLine="480" w:firstLineChars="200"/>
        <w:rPr>
          <w:rFonts w:ascii="宋体" w:hAnsi="宋体" w:eastAsia="宋体" w:cs="宋体"/>
          <w:bCs/>
          <w:kern w:val="2"/>
          <w:sz w:val="24"/>
          <w:szCs w:val="24"/>
          <w:lang w:bidi="ar"/>
        </w:rPr>
      </w:pPr>
      <w:r>
        <w:rPr>
          <w:rFonts w:hint="eastAsia" w:ascii="宋体" w:hAnsi="宋体" w:eastAsia="宋体" w:cs="宋体"/>
          <w:bCs/>
          <w:kern w:val="2"/>
          <w:sz w:val="24"/>
          <w:szCs w:val="24"/>
          <w:lang w:bidi="ar"/>
        </w:rPr>
        <w:t>5、预算金额：198万元，（1包：图书采购</w:t>
      </w:r>
      <w:r>
        <w:rPr>
          <w:rFonts w:hint="eastAsia" w:ascii="宋体" w:hAnsi="宋体" w:eastAsia="宋体" w:cs="宋体"/>
          <w:bCs/>
          <w:kern w:val="2"/>
          <w:sz w:val="24"/>
          <w:szCs w:val="24"/>
          <w:lang w:eastAsia="zh-CN" w:bidi="ar"/>
        </w:rPr>
        <w:t>：</w:t>
      </w:r>
      <w:r>
        <w:rPr>
          <w:rFonts w:hint="eastAsia" w:ascii="宋体" w:hAnsi="宋体" w:eastAsia="宋体" w:cs="宋体"/>
          <w:bCs/>
          <w:kern w:val="2"/>
          <w:sz w:val="24"/>
          <w:szCs w:val="24"/>
          <w:lang w:bidi="ar"/>
        </w:rPr>
        <w:t>110万元；2包：数字化建设：88万元）</w:t>
      </w:r>
    </w:p>
    <w:p>
      <w:pPr>
        <w:snapToGrid w:val="0"/>
        <w:spacing w:line="360" w:lineRule="auto"/>
        <w:ind w:firstLine="480" w:firstLineChars="200"/>
        <w:rPr>
          <w:rFonts w:eastAsia="宋体"/>
          <w:bCs/>
        </w:rPr>
      </w:pPr>
      <w:r>
        <w:rPr>
          <w:rFonts w:hint="eastAsia" w:ascii="宋体" w:hAnsi="宋体" w:eastAsia="宋体" w:cs="宋体"/>
          <w:bCs/>
          <w:sz w:val="24"/>
          <w:szCs w:val="24"/>
        </w:rPr>
        <w:t>6、最高限价：</w:t>
      </w:r>
      <w:r>
        <w:rPr>
          <w:rFonts w:hint="eastAsia" w:ascii="宋体" w:hAnsi="宋体" w:eastAsia="宋体" w:cs="宋体"/>
          <w:bCs/>
          <w:kern w:val="2"/>
          <w:sz w:val="24"/>
          <w:szCs w:val="24"/>
          <w:lang w:bidi="ar"/>
        </w:rPr>
        <w:t>198万元，（1包：图书采购</w:t>
      </w:r>
      <w:r>
        <w:rPr>
          <w:rFonts w:hint="eastAsia" w:ascii="宋体" w:hAnsi="宋体" w:eastAsia="宋体" w:cs="宋体"/>
          <w:bCs/>
          <w:kern w:val="2"/>
          <w:sz w:val="24"/>
          <w:szCs w:val="24"/>
          <w:lang w:eastAsia="zh-CN" w:bidi="ar"/>
        </w:rPr>
        <w:t>：</w:t>
      </w:r>
      <w:r>
        <w:rPr>
          <w:rFonts w:hint="eastAsia" w:ascii="宋体" w:hAnsi="宋体" w:eastAsia="宋体" w:cs="宋体"/>
          <w:bCs/>
          <w:kern w:val="2"/>
          <w:sz w:val="24"/>
          <w:szCs w:val="24"/>
          <w:lang w:bidi="ar"/>
        </w:rPr>
        <w:t>110万元；2包：数字化建设：88万元）</w:t>
      </w:r>
    </w:p>
    <w:p>
      <w:pPr>
        <w:snapToGrid w:val="0"/>
        <w:spacing w:line="360" w:lineRule="auto"/>
        <w:ind w:left="480" w:leftChars="150"/>
        <w:rPr>
          <w:rFonts w:ascii="宋体" w:hAnsi="宋体" w:eastAsia="宋体" w:cs="宋体"/>
          <w:color w:val="auto"/>
          <w:sz w:val="24"/>
          <w:szCs w:val="24"/>
        </w:rPr>
      </w:pPr>
      <w:r>
        <w:rPr>
          <w:rFonts w:hint="eastAsia" w:ascii="宋体" w:hAnsi="宋体" w:eastAsia="宋体" w:cs="宋体"/>
          <w:color w:val="auto"/>
          <w:sz w:val="24"/>
          <w:szCs w:val="24"/>
        </w:rPr>
        <w:t>7、采购需求：</w:t>
      </w:r>
    </w:p>
    <w:p>
      <w:pPr>
        <w:snapToGrid w:val="0"/>
        <w:spacing w:line="360" w:lineRule="auto"/>
        <w:ind w:left="480" w:leftChars="150" w:firstLine="0" w:firstLineChars="0"/>
        <w:rPr>
          <w:rFonts w:hint="eastAsia" w:ascii="宋体" w:hAnsi="宋体" w:eastAsia="宋体" w:cs="宋体"/>
          <w:bCs/>
          <w:kern w:val="2"/>
          <w:sz w:val="24"/>
          <w:szCs w:val="24"/>
          <w:lang w:bidi="ar"/>
        </w:rPr>
      </w:pPr>
      <w:r>
        <w:rPr>
          <w:rFonts w:hint="eastAsia" w:ascii="宋体" w:hAnsi="宋体" w:eastAsia="宋体" w:cs="宋体"/>
          <w:bCs/>
          <w:kern w:val="2"/>
          <w:sz w:val="24"/>
          <w:szCs w:val="24"/>
          <w:lang w:bidi="ar"/>
        </w:rPr>
        <w:t>一包：图书馆新馆图书采购，采购预算 110万元。采选图书以社会科学和自然科学类图书为主（少儿图书占25%），全部图书必须保证3万册以上。另外包含约7万册图书加工及上架服务.所有图书的类别、比例和复本数量均由采购人决定，成交方不得自行搭配和追加非图书馆现采、订购确认的品种或复本。采购人有权对已到但内容不符合要求的图书给予退货。采购人的采购方式为中标后协商，并按照图书馆要求派出编目员驻馆进行编目全加工，并承担加工材料以及图书还架工作。</w:t>
      </w:r>
    </w:p>
    <w:p>
      <w:pPr>
        <w:snapToGrid w:val="0"/>
        <w:spacing w:line="360" w:lineRule="auto"/>
        <w:ind w:left="480" w:leftChars="150" w:firstLine="0" w:firstLineChars="0"/>
        <w:rPr>
          <w:rFonts w:hint="eastAsia" w:ascii="宋体" w:hAnsi="宋体" w:eastAsia="宋体" w:cs="宋体"/>
          <w:bCs/>
          <w:kern w:val="2"/>
          <w:sz w:val="24"/>
          <w:szCs w:val="24"/>
          <w:lang w:bidi="ar"/>
        </w:rPr>
      </w:pPr>
      <w:r>
        <w:rPr>
          <w:rFonts w:hint="eastAsia" w:ascii="宋体" w:hAnsi="宋体" w:eastAsia="宋体" w:cs="宋体"/>
          <w:bCs/>
          <w:kern w:val="2"/>
          <w:sz w:val="24"/>
          <w:szCs w:val="24"/>
          <w:lang w:bidi="ar"/>
        </w:rPr>
        <w:t>二包：图书馆数字化建设</w:t>
      </w:r>
      <w:r>
        <w:rPr>
          <w:rFonts w:hint="eastAsia" w:ascii="宋体" w:hAnsi="宋体" w:eastAsia="宋体" w:cs="宋体"/>
          <w:bCs/>
          <w:kern w:val="2"/>
          <w:sz w:val="24"/>
          <w:szCs w:val="24"/>
          <w:lang w:eastAsia="zh-CN" w:bidi="ar"/>
        </w:rPr>
        <w:t>，</w:t>
      </w:r>
      <w:r>
        <w:rPr>
          <w:rFonts w:hint="eastAsia" w:ascii="宋体" w:hAnsi="宋体" w:eastAsia="宋体" w:cs="宋体"/>
          <w:bCs/>
          <w:kern w:val="2"/>
          <w:sz w:val="24"/>
          <w:szCs w:val="24"/>
          <w:lang w:bidi="ar"/>
        </w:rPr>
        <w:t>预算88万元，主要建设智慧图书管理系统、移动图书馆及图书、期刊、绘本数据库、服务大厅数字体验设备等。</w:t>
      </w:r>
    </w:p>
    <w:p>
      <w:pPr>
        <w:snapToGrid w:val="0"/>
        <w:spacing w:line="360" w:lineRule="auto"/>
        <w:ind w:firstLine="480" w:firstLineChars="200"/>
        <w:rPr>
          <w:rFonts w:hint="eastAsia" w:ascii="宋体" w:hAnsi="宋体" w:eastAsia="宋体" w:cs="宋体"/>
          <w:bCs/>
          <w:kern w:val="2"/>
          <w:sz w:val="24"/>
          <w:szCs w:val="24"/>
          <w:lang w:bidi="ar"/>
        </w:rPr>
      </w:pPr>
      <w:r>
        <w:rPr>
          <w:rFonts w:hint="eastAsia" w:ascii="宋体" w:hAnsi="宋体" w:eastAsia="宋体" w:cs="宋体"/>
          <w:bCs/>
          <w:kern w:val="2"/>
          <w:sz w:val="24"/>
          <w:szCs w:val="24"/>
          <w:lang w:bidi="ar"/>
        </w:rPr>
        <w:t>详细技术参数</w:t>
      </w:r>
      <w:r>
        <w:rPr>
          <w:rFonts w:hint="eastAsia" w:ascii="宋体" w:hAnsi="宋体" w:eastAsia="宋体" w:cs="宋体"/>
          <w:bCs/>
          <w:kern w:val="2"/>
          <w:sz w:val="24"/>
          <w:szCs w:val="24"/>
          <w:lang w:eastAsia="zh-CN" w:bidi="ar"/>
        </w:rPr>
        <w:t>及其他</w:t>
      </w:r>
      <w:r>
        <w:rPr>
          <w:rFonts w:hint="eastAsia" w:ascii="宋体" w:hAnsi="宋体" w:eastAsia="宋体" w:cs="宋体"/>
          <w:bCs/>
          <w:kern w:val="2"/>
          <w:sz w:val="24"/>
          <w:szCs w:val="24"/>
          <w:lang w:bidi="ar"/>
        </w:rPr>
        <w:t>详见竞争性磋商文件第五部分</w:t>
      </w:r>
      <w:r>
        <w:rPr>
          <w:rFonts w:hint="eastAsia" w:ascii="宋体" w:hAnsi="宋体" w:eastAsia="宋体" w:cs="宋体"/>
          <w:bCs/>
          <w:kern w:val="2"/>
          <w:sz w:val="24"/>
          <w:szCs w:val="24"/>
          <w:lang w:val="zh-CN" w:bidi="ar"/>
        </w:rPr>
        <w:t>采购要求及内容。</w:t>
      </w:r>
    </w:p>
    <w:p>
      <w:pPr>
        <w:snapToGrid w:val="0"/>
        <w:spacing w:line="360" w:lineRule="auto"/>
        <w:ind w:firstLine="480" w:firstLineChars="200"/>
        <w:rPr>
          <w:rFonts w:hint="eastAsia" w:ascii="宋体" w:hAnsi="宋体" w:eastAsia="宋体" w:cs="宋体"/>
          <w:bCs/>
          <w:kern w:val="2"/>
          <w:sz w:val="24"/>
          <w:szCs w:val="24"/>
          <w:lang w:bidi="ar"/>
        </w:rPr>
      </w:pPr>
      <w:r>
        <w:rPr>
          <w:rFonts w:hint="eastAsia" w:ascii="宋体" w:hAnsi="宋体" w:eastAsia="宋体" w:cs="宋体"/>
          <w:bCs/>
          <w:kern w:val="2"/>
          <w:sz w:val="24"/>
          <w:szCs w:val="24"/>
          <w:lang w:bidi="ar"/>
        </w:rPr>
        <w:t>8、合同履行期限：</w:t>
      </w:r>
      <w:r>
        <w:rPr>
          <w:rFonts w:hint="eastAsia" w:ascii="宋体" w:hAnsi="宋体" w:eastAsia="宋体" w:cs="宋体"/>
          <w:bCs/>
          <w:kern w:val="2"/>
          <w:sz w:val="24"/>
          <w:szCs w:val="24"/>
          <w:lang w:eastAsia="zh-CN" w:bidi="ar"/>
        </w:rPr>
        <w:t>以签订签订合同约定为准</w:t>
      </w:r>
      <w:r>
        <w:rPr>
          <w:rFonts w:hint="eastAsia" w:ascii="宋体" w:hAnsi="宋体" w:eastAsia="宋体" w:cs="宋体"/>
          <w:bCs/>
          <w:kern w:val="2"/>
          <w:sz w:val="24"/>
          <w:szCs w:val="24"/>
          <w:lang w:bidi="ar"/>
        </w:rPr>
        <w:t>。</w:t>
      </w:r>
    </w:p>
    <w:p>
      <w:pPr>
        <w:snapToGrid w:val="0"/>
        <w:spacing w:line="360" w:lineRule="auto"/>
        <w:ind w:firstLine="480" w:firstLineChars="200"/>
        <w:rPr>
          <w:rFonts w:ascii="宋体" w:hAnsi="宋体" w:eastAsia="宋体" w:cs="宋体"/>
          <w:color w:val="auto"/>
          <w:sz w:val="24"/>
          <w:szCs w:val="24"/>
        </w:rPr>
      </w:pPr>
      <w:bookmarkStart w:id="7" w:name="_Toc35393799"/>
      <w:bookmarkStart w:id="8" w:name="_Toc28359090"/>
      <w:bookmarkStart w:id="9" w:name="_Toc28359013"/>
      <w:bookmarkStart w:id="10" w:name="_Toc35393630"/>
      <w:r>
        <w:rPr>
          <w:rFonts w:hint="eastAsia" w:ascii="宋体" w:hAnsi="宋体" w:eastAsia="宋体" w:cs="宋体"/>
          <w:color w:val="auto"/>
          <w:sz w:val="24"/>
          <w:szCs w:val="24"/>
        </w:rPr>
        <w:t>9、本项目（是/否）接受联合体投标：否</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10、是否可采购进口产品：否</w:t>
      </w:r>
    </w:p>
    <w:p>
      <w:pPr>
        <w:snapToGrid w:val="0"/>
        <w:spacing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11、本项目（是/否）专门面向中小微企业：是</w:t>
      </w:r>
    </w:p>
    <w:p>
      <w:pPr>
        <w:snapToGrid w:val="0"/>
        <w:spacing w:line="360" w:lineRule="auto"/>
        <w:rPr>
          <w:rFonts w:ascii="宋体" w:hAnsi="宋体" w:eastAsia="宋体" w:cs="宋体"/>
          <w:sz w:val="24"/>
          <w:szCs w:val="24"/>
        </w:rPr>
      </w:pPr>
      <w:r>
        <w:rPr>
          <w:rFonts w:hint="eastAsia" w:ascii="宋体" w:hAnsi="宋体" w:eastAsia="宋体" w:cs="宋体"/>
          <w:sz w:val="24"/>
          <w:szCs w:val="24"/>
        </w:rPr>
        <w:t>二、申请人的资格要求：</w:t>
      </w:r>
      <w:bookmarkEnd w:id="7"/>
      <w:bookmarkEnd w:id="8"/>
      <w:bookmarkEnd w:id="9"/>
      <w:bookmarkEnd w:id="10"/>
    </w:p>
    <w:p>
      <w:pPr>
        <w:snapToGrid w:val="0"/>
        <w:spacing w:line="360" w:lineRule="auto"/>
        <w:ind w:firstLine="480" w:firstLineChars="200"/>
        <w:rPr>
          <w:rFonts w:ascii="宋体" w:hAnsi="宋体" w:eastAsia="宋体" w:cs="宋体"/>
          <w:kern w:val="2"/>
          <w:sz w:val="24"/>
          <w:szCs w:val="24"/>
        </w:rPr>
      </w:pPr>
      <w:bookmarkStart w:id="11" w:name="_Toc28359014"/>
      <w:bookmarkStart w:id="12" w:name="_Toc28359091"/>
      <w:r>
        <w:rPr>
          <w:rFonts w:hint="eastAsia" w:ascii="宋体" w:hAnsi="宋体" w:eastAsia="宋体" w:cs="宋体"/>
          <w:kern w:val="2"/>
          <w:sz w:val="24"/>
          <w:szCs w:val="24"/>
        </w:rPr>
        <w:t>1、满足《中华人民共和国政府采购法》第二十二条规定，即：</w:t>
      </w:r>
    </w:p>
    <w:p>
      <w:pPr>
        <w:widowControl/>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（1）具有独立承担民事责任的能力；</w:t>
      </w:r>
    </w:p>
    <w:p>
      <w:pPr>
        <w:widowControl/>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（2）具有良好的商业信誉和健全的财务会计制度；</w:t>
      </w:r>
    </w:p>
    <w:p>
      <w:pPr>
        <w:widowControl/>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（3）具有履行合同所必需的设备和专业技术能力；</w:t>
      </w:r>
    </w:p>
    <w:p>
      <w:pPr>
        <w:widowControl/>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（4）有依法缴纳税收和社会保障资金的良好记录；</w:t>
      </w:r>
    </w:p>
    <w:p>
      <w:pPr>
        <w:widowControl/>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（5）参加政府采购活动前三年内，在经营活动中没有重大违法记录；</w:t>
      </w:r>
    </w:p>
    <w:p>
      <w:pPr>
        <w:widowControl/>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（6）法律、行政法规规定的其他条件。</w:t>
      </w:r>
    </w:p>
    <w:p>
      <w:p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2、单位负责人为同一人或者存在直接控股、管理关系的不同投标人，不得参加本项目同一合同项下的政府采购活动。</w:t>
      </w:r>
    </w:p>
    <w:p>
      <w:p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3、为本采购项目提供整体设计、规范编制或者项目管理、监理、检测等服务的，不得再参加本项目的其他招标采购活动。</w:t>
      </w:r>
    </w:p>
    <w:p>
      <w:p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4、未被列入失信被执行人、重大税收违法案件当事人名单，未被列入政府采购严重违法失信行为记录名单。</w:t>
      </w:r>
    </w:p>
    <w:p>
      <w:p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5、落实政府采购政策需满足的资格要求：本项目专门面向中小微企业采购。</w:t>
      </w:r>
    </w:p>
    <w:p>
      <w:p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6、本项目的特定资格要求：</w:t>
      </w:r>
      <w:bookmarkStart w:id="13" w:name="_Toc35393631"/>
      <w:bookmarkStart w:id="14" w:name="_Toc35393800"/>
    </w:p>
    <w:p>
      <w:pPr>
        <w:pStyle w:val="1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8"/>
          <w:szCs w:val="28"/>
          <w:highlight w:val="none"/>
        </w:rPr>
        <w:t>一包</w:t>
      </w:r>
      <w:r>
        <w:rPr>
          <w:rFonts w:hint="eastAsia" w:ascii="宋体" w:hAnsi="宋体" w:eastAsia="宋体" w:cs="宋体"/>
          <w:color w:val="auto"/>
          <w:sz w:val="24"/>
          <w:szCs w:val="24"/>
          <w:highlight w:val="none"/>
          <w:lang w:val="en-US" w:eastAsia="zh-CN" w:bidi="ar-SA"/>
        </w:rPr>
        <w:t>：</w:t>
      </w:r>
    </w:p>
    <w:p>
      <w:pPr>
        <w:pStyle w:val="1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6.1须具有中华人民共和国颁发的《中华人民共和国出版物经营许可证》</w:t>
      </w:r>
    </w:p>
    <w:p>
      <w:pPr>
        <w:widowControl/>
        <w:adjustRightInd w:val="0"/>
        <w:snapToGrid w:val="0"/>
        <w:spacing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6.2</w:t>
      </w:r>
      <w:r>
        <w:rPr>
          <w:rFonts w:hint="eastAsia" w:ascii="宋体" w:hAnsi="宋体" w:eastAsia="宋体" w:cs="宋体"/>
          <w:color w:val="auto"/>
          <w:sz w:val="24"/>
          <w:szCs w:val="24"/>
          <w:highlight w:val="none"/>
        </w:rPr>
        <w:t>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信用服务栏查询失信被执行人查询、重大税收违法案件和“中国政府采购”网（www.ccgp.gov.cn）政府采购严重违法失信行为记录名单，并提供网页截图以证明；</w:t>
      </w:r>
    </w:p>
    <w:p>
      <w:pPr>
        <w:pStyle w:val="10"/>
        <w:ind w:left="0" w:leftChars="0" w:firstLine="0" w:firstLineChars="0"/>
        <w:rPr>
          <w:rFonts w:eastAsia="宋体"/>
          <w:color w:val="auto"/>
          <w:highlight w:val="none"/>
        </w:rPr>
      </w:pPr>
      <w:r>
        <w:rPr>
          <w:rFonts w:hint="eastAsia" w:ascii="宋体" w:hAnsi="宋体" w:eastAsia="宋体" w:cs="宋体"/>
          <w:color w:val="auto"/>
          <w:sz w:val="24"/>
          <w:highlight w:val="none"/>
        </w:rPr>
        <w:t>二包：</w:t>
      </w:r>
    </w:p>
    <w:p>
      <w:pPr>
        <w:widowControl/>
        <w:adjustRightInd w:val="0"/>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信用服务栏查询失信被执行人查询、重大税收违法案件和“中国政府采购”网（www.ccgp.gov.cn）政府采购严重违法失信行为记录名单，并提供网页截图以证明；</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三、获取采购文件</w:t>
      </w:r>
      <w:bookmarkEnd w:id="11"/>
      <w:bookmarkEnd w:id="12"/>
      <w:bookmarkEnd w:id="13"/>
      <w:bookmarkEnd w:id="14"/>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color w:val="000000"/>
          <w:sz w:val="24"/>
          <w:szCs w:val="24"/>
        </w:rPr>
      </w:pPr>
      <w:bookmarkStart w:id="15" w:name="_Toc28359092"/>
      <w:bookmarkStart w:id="16" w:name="_Toc28359015"/>
      <w:bookmarkStart w:id="17" w:name="_Toc35393801"/>
      <w:bookmarkStart w:id="18" w:name="_Toc35393632"/>
      <w:bookmarkStart w:id="19" w:name="_Toc35393636"/>
      <w:bookmarkStart w:id="20" w:name="_Toc28359095"/>
      <w:bookmarkStart w:id="21" w:name="_Toc28359018"/>
      <w:bookmarkStart w:id="22" w:name="_Toc35393805"/>
      <w:r>
        <w:rPr>
          <w:rFonts w:hint="eastAsia" w:ascii="宋体" w:hAnsi="宋体" w:eastAsia="宋体" w:cs="宋体"/>
          <w:sz w:val="24"/>
          <w:szCs w:val="24"/>
        </w:rPr>
        <w:t>1、时间：2023 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22</w:t>
      </w:r>
      <w:r>
        <w:rPr>
          <w:rFonts w:hint="eastAsia" w:ascii="宋体" w:hAnsi="宋体" w:eastAsia="宋体" w:cs="宋体"/>
          <w:sz w:val="24"/>
          <w:szCs w:val="24"/>
          <w:u w:val="single"/>
        </w:rPr>
        <w:t xml:space="preserve">   </w:t>
      </w:r>
      <w:r>
        <w:rPr>
          <w:rFonts w:hint="eastAsia" w:ascii="宋体" w:hAnsi="宋体" w:eastAsia="宋体" w:cs="宋体"/>
          <w:sz w:val="24"/>
          <w:szCs w:val="24"/>
        </w:rPr>
        <w:t>日至 2023 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color w:val="000000"/>
          <w:sz w:val="24"/>
          <w:szCs w:val="24"/>
        </w:rPr>
        <w:t xml:space="preserve"> 24:00 止（北京时间）；</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2、地点：湖北省电子招投标交易平台；</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3、方式：</w:t>
      </w:r>
    </w:p>
    <w:p>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（1）本项目采用新交易系统进行全流程运行，凡有意参加投标者，应当在湖北省电子招投标交易平台（以下简称“电子交易平台”，下同）（网址：http://www.hbbidcloud.com/）进行注册登记，并办理 CA 数字证书。具体操作参见《“电子交易平台”—办事指南—交易主体注册登记指南》，各供应商如对电子招投标存在软件使用方法有疑问请拨打软件使用客服电话 4009980000 咨询。</w:t>
      </w:r>
    </w:p>
    <w:p>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（2）完成注册登记后，通过互联网使用CA 数字证书登录“电子交易平台”，在所投标</w:t>
      </w:r>
      <w:r>
        <w:rPr>
          <w:rFonts w:hint="eastAsia" w:ascii="宋体" w:hAnsi="宋体" w:eastAsia="宋体" w:cs="宋体"/>
          <w:sz w:val="24"/>
          <w:szCs w:val="24"/>
          <w:lang w:eastAsia="zh-CN"/>
        </w:rPr>
        <w:t>阶段</w:t>
      </w:r>
      <w:r>
        <w:rPr>
          <w:rFonts w:hint="eastAsia" w:ascii="宋体" w:hAnsi="宋体" w:eastAsia="宋体" w:cs="宋体"/>
          <w:sz w:val="24"/>
          <w:szCs w:val="24"/>
        </w:rPr>
        <w:t>免费下载磋商文件。联合体投标的，由联合体牵头人下载磋商文件（具体操作参见“电子交易平台”—办事指南—招标（资审）文件下载指南）。</w:t>
      </w:r>
    </w:p>
    <w:p>
      <w:pPr>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（3）未按规定从“电子交易平台”下载招标文件的，招标人 （“电子交易平台”）拒收其投标文件。</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4、售价：0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元）</w:t>
      </w:r>
    </w:p>
    <w:p>
      <w:pPr>
        <w:snapToGri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四、响应文件提交</w:t>
      </w:r>
      <w:bookmarkEnd w:id="15"/>
      <w:bookmarkEnd w:id="16"/>
      <w:bookmarkEnd w:id="17"/>
      <w:bookmarkEnd w:id="18"/>
      <w:r>
        <w:rPr>
          <w:rFonts w:hint="eastAsia" w:ascii="宋体" w:hAnsi="宋体" w:cs="宋体"/>
          <w:color w:val="000000"/>
          <w:sz w:val="24"/>
          <w:szCs w:val="24"/>
        </w:rPr>
        <w:t>：</w:t>
      </w:r>
    </w:p>
    <w:p>
      <w:pPr>
        <w:snapToGrid w:val="0"/>
        <w:spacing w:line="360" w:lineRule="auto"/>
        <w:ind w:firstLine="480" w:firstLineChars="200"/>
        <w:rPr>
          <w:rFonts w:ascii="宋体" w:hAnsi="宋体" w:eastAsia="宋体" w:cs="宋体"/>
          <w:bCs/>
          <w:sz w:val="24"/>
          <w:szCs w:val="24"/>
          <w:u w:val="single"/>
        </w:rPr>
      </w:pPr>
      <w:r>
        <w:rPr>
          <w:rFonts w:ascii="宋体" w:hAnsi="宋体" w:eastAsia="宋体" w:cs="宋体"/>
          <w:bCs/>
          <w:kern w:val="2"/>
          <w:sz w:val="24"/>
          <w:szCs w:val="24"/>
        </w:rPr>
        <w:t>1</w:t>
      </w:r>
      <w:r>
        <w:rPr>
          <w:rFonts w:hint="eastAsia" w:ascii="宋体" w:hAnsi="宋体" w:eastAsia="宋体" w:cs="宋体"/>
          <w:bCs/>
          <w:kern w:val="2"/>
          <w:sz w:val="24"/>
          <w:szCs w:val="24"/>
        </w:rPr>
        <w:t>、截止时间：2023年</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u w:val="single"/>
          <w:lang w:val="en-US" w:eastAsia="zh-CN"/>
        </w:rPr>
        <w:t>4</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月</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u w:val="single"/>
          <w:lang w:val="en-US" w:eastAsia="zh-CN"/>
        </w:rPr>
        <w:t>3</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日</w:t>
      </w:r>
      <w:r>
        <w:rPr>
          <w:rFonts w:hint="eastAsia" w:ascii="宋体" w:hAnsi="宋体" w:eastAsia="宋体" w:cs="宋体"/>
          <w:bCs/>
          <w:kern w:val="2"/>
          <w:sz w:val="24"/>
          <w:szCs w:val="24"/>
          <w:u w:val="single"/>
        </w:rPr>
        <w:t xml:space="preserve"> 9 </w:t>
      </w:r>
      <w:r>
        <w:rPr>
          <w:rFonts w:hint="eastAsia" w:ascii="宋体" w:hAnsi="宋体" w:eastAsia="宋体" w:cs="宋体"/>
          <w:bCs/>
          <w:kern w:val="2"/>
          <w:sz w:val="24"/>
          <w:szCs w:val="24"/>
        </w:rPr>
        <w:t>点 00 分（北京时间）</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、地点：网上递交（湖北省电子招投标交易平台）。</w:t>
      </w:r>
    </w:p>
    <w:p>
      <w:pPr>
        <w:snapToGrid w:val="0"/>
        <w:spacing w:line="360" w:lineRule="auto"/>
        <w:rPr>
          <w:rFonts w:ascii="宋体" w:hAnsi="宋体" w:eastAsia="宋体" w:cs="宋体"/>
          <w:color w:val="000000"/>
          <w:sz w:val="24"/>
          <w:szCs w:val="24"/>
        </w:rPr>
      </w:pPr>
      <w:bookmarkStart w:id="23" w:name="_Toc28359094"/>
      <w:bookmarkStart w:id="24" w:name="_Toc35393803"/>
      <w:bookmarkStart w:id="25" w:name="_Toc28359017"/>
      <w:bookmarkStart w:id="26" w:name="_Toc35393634"/>
      <w:r>
        <w:rPr>
          <w:rFonts w:hint="eastAsia" w:ascii="宋体" w:hAnsi="宋体" w:eastAsia="宋体" w:cs="宋体"/>
          <w:color w:val="000000"/>
          <w:sz w:val="24"/>
          <w:szCs w:val="24"/>
        </w:rPr>
        <w:t>五、公告期限</w:t>
      </w:r>
      <w:bookmarkEnd w:id="23"/>
      <w:bookmarkEnd w:id="24"/>
      <w:bookmarkEnd w:id="25"/>
      <w:bookmarkEnd w:id="26"/>
      <w:r>
        <w:rPr>
          <w:rFonts w:hint="eastAsia" w:ascii="宋体" w:hAnsi="宋体" w:eastAsia="宋体" w:cs="宋体"/>
          <w:color w:val="000000"/>
          <w:sz w:val="24"/>
          <w:szCs w:val="24"/>
        </w:rPr>
        <w:t>：</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自本公告发布之日起5个工作日。</w:t>
      </w:r>
    </w:p>
    <w:p>
      <w:pPr>
        <w:spacing w:line="360" w:lineRule="auto"/>
        <w:rPr>
          <w:rFonts w:ascii="宋体" w:hAnsi="宋体" w:eastAsia="宋体" w:cs="宋体"/>
          <w:sz w:val="24"/>
          <w:szCs w:val="24"/>
        </w:rPr>
      </w:pPr>
      <w:bookmarkStart w:id="27" w:name="_Toc35393635"/>
      <w:bookmarkStart w:id="28" w:name="_Toc35393804"/>
      <w:r>
        <w:rPr>
          <w:rFonts w:hint="eastAsia" w:ascii="宋体" w:hAnsi="宋体" w:eastAsia="宋体" w:cs="宋体"/>
          <w:sz w:val="24"/>
          <w:szCs w:val="24"/>
        </w:rPr>
        <w:t>六、其他补充事宜</w:t>
      </w:r>
      <w:bookmarkEnd w:id="27"/>
      <w:bookmarkEnd w:id="28"/>
      <w:r>
        <w:rPr>
          <w:rFonts w:hint="eastAsia" w:ascii="宋体" w:hAnsi="宋体" w:eastAsia="宋体" w:cs="宋体"/>
          <w:sz w:val="24"/>
          <w:szCs w:val="24"/>
        </w:rPr>
        <w:t>：</w:t>
      </w:r>
    </w:p>
    <w:p>
      <w:pPr>
        <w:pStyle w:val="16"/>
        <w:spacing w:before="0" w:beforeAutospacing="0" w:after="300" w:afterAutospacing="0" w:line="360" w:lineRule="auto"/>
        <w:ind w:left="556" w:right="556"/>
        <w:jc w:val="both"/>
      </w:pPr>
      <w:r>
        <w:rPr>
          <w:rFonts w:hint="eastAsia"/>
        </w:rPr>
        <w:t>1、磋商响应文件递交为网上递交加密的电子磋商响应文件。</w:t>
      </w:r>
    </w:p>
    <w:p>
      <w:pPr>
        <w:pStyle w:val="16"/>
        <w:spacing w:before="0" w:beforeAutospacing="0" w:after="300" w:afterAutospacing="0" w:line="360" w:lineRule="auto"/>
        <w:ind w:right="556" w:firstLine="720" w:firstLineChars="300"/>
        <w:jc w:val="both"/>
        <w:rPr>
          <w:shd w:val="clear" w:color="auto" w:fill="FFFFFF"/>
        </w:rPr>
      </w:pPr>
      <w:r>
        <w:rPr>
          <w:rFonts w:hint="eastAsia"/>
          <w:shd w:val="clear" w:color="auto" w:fill="FFFFFF"/>
        </w:rPr>
        <w:t>2、发布公告的媒体：</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湖北省电子招投标交易平台（http://www.hbbidcloud.com/hubei/xzzq/about.html）；</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湖北省政府采购网（http://www.ccgp-hubei.gov.cn/）；</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广水市人民政府网（http://www.guangshui.gov.cn/）。</w:t>
      </w:r>
    </w:p>
    <w:p>
      <w:pPr>
        <w:pStyle w:val="16"/>
        <w:spacing w:before="0" w:beforeAutospacing="0" w:after="300" w:afterAutospacing="0"/>
        <w:ind w:left="556" w:right="556"/>
        <w:jc w:val="both"/>
        <w:rPr>
          <w:shd w:val="clear" w:color="auto" w:fill="FFFFFF"/>
        </w:rPr>
      </w:pPr>
      <w:r>
        <w:rPr>
          <w:rFonts w:hint="eastAsia"/>
          <w:shd w:val="clear" w:color="auto" w:fill="FFFFFF"/>
        </w:rPr>
        <w:t>2、政府采购相关政策执行：</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2.1落实政府采购强制、优先采购节能产品政策；政府采购优先采购环保产品政策；政府采购促进中小企业发展（监狱企业、残疾人福利性单位视同小微企业）等政策。</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2.2、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w:t>
      </w:r>
      <w:r>
        <w:rPr>
          <w:rFonts w:hint="eastAsia"/>
          <w:shd w:val="clear" w:color="auto" w:fill="FFFFFF"/>
          <w:lang w:eastAsia="zh-CN"/>
        </w:rPr>
        <w:t>：</w:t>
      </w:r>
      <w:r>
        <w:rPr>
          <w:rFonts w:hint="eastAsia"/>
          <w:shd w:val="clear" w:color="auto" w:fill="FFFFFF"/>
        </w:rPr>
        <w:t>111.47.173.88:9999/guangshui/）—供应商登录”，登录后在“待选择采购订单列表”处选择需融资的采购合同，填写融资申请信息。</w:t>
      </w:r>
    </w:p>
    <w:p>
      <w:pPr>
        <w:pStyle w:val="16"/>
        <w:spacing w:before="0" w:beforeAutospacing="0" w:after="300" w:afterAutospacing="0"/>
        <w:ind w:left="556" w:right="556"/>
        <w:jc w:val="both"/>
        <w:rPr>
          <w:shd w:val="clear" w:color="auto" w:fill="FFFFFF"/>
        </w:rPr>
      </w:pPr>
      <w:r>
        <w:rPr>
          <w:rFonts w:hint="eastAsia"/>
          <w:shd w:val="clear" w:color="auto" w:fill="FFFFFF"/>
        </w:rPr>
        <w:t>3、询问和质疑</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相关供应商对磋商文件、磋商过程和成交结果有异议的，可以在知道或者应知其权益受到损害之日起七个工作日内，向政府采购代理处提出询问和质疑。提出质疑时请提交书面质疑函一份（</w:t>
      </w:r>
      <w:r>
        <w:rPr>
          <w:rFonts w:hint="eastAsia"/>
          <w:shd w:val="clear" w:color="auto" w:fill="FFFFFF"/>
          <w:lang w:eastAsia="zh-CN"/>
        </w:rPr>
        <w:t>法定代表人</w:t>
      </w:r>
      <w:r>
        <w:rPr>
          <w:rFonts w:hint="eastAsia"/>
          <w:shd w:val="clear" w:color="auto" w:fill="FFFFFF"/>
        </w:rPr>
        <w:t>签字、单位公章），质疑函格式采用政府财政部公布的《政府采购供应商质疑函范本》并附相关证据材料。</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4、投标人应当在投标截止时间前，通过互联网使用CA数字证书登录“电子交易平台”，选择所投标包将加密的电子响应性文件上传。投标人完成响应性文件上传后，“电子交易平台”</w:t>
      </w:r>
      <w:r>
        <w:rPr>
          <w:rFonts w:hint="eastAsia"/>
          <w:shd w:val="clear" w:color="auto" w:fill="FFFFFF"/>
          <w:lang w:eastAsia="zh-CN"/>
        </w:rPr>
        <w:t>及时</w:t>
      </w:r>
      <w:r>
        <w:rPr>
          <w:rFonts w:hint="eastAsia"/>
          <w:shd w:val="clear" w:color="auto" w:fill="FFFFFF"/>
        </w:rPr>
        <w:t>向投标人发出电子签收凭证，递交时间以电子签收凭证载明的传输完成时间为准。逾期未完成上传或未加密的电子投标文件，采购人（“电子交易平台”）将拒收。</w:t>
      </w:r>
    </w:p>
    <w:p>
      <w:pPr>
        <w:pStyle w:val="16"/>
        <w:spacing w:before="0" w:beforeAutospacing="0" w:after="300" w:afterAutospacing="0" w:line="360" w:lineRule="auto"/>
        <w:ind w:left="556" w:right="556"/>
        <w:jc w:val="both"/>
        <w:rPr>
          <w:shd w:val="clear" w:color="auto" w:fill="FFFFFF"/>
        </w:rPr>
      </w:pPr>
      <w:r>
        <w:rPr>
          <w:rFonts w:hint="eastAsia"/>
          <w:shd w:val="clear" w:color="auto" w:fill="FFFFFF"/>
        </w:rPr>
        <w:t>5、本项目采用“网上开标”交易方式，网上开标时间同投标文件递交截止时间。</w:t>
      </w:r>
    </w:p>
    <w:p>
      <w:pPr>
        <w:pStyle w:val="16"/>
        <w:spacing w:before="0" w:beforeAutospacing="0" w:after="300" w:afterAutospacing="0" w:line="360" w:lineRule="auto"/>
        <w:ind w:left="556" w:right="556"/>
        <w:jc w:val="both"/>
      </w:pPr>
      <w:r>
        <w:rPr>
          <w:rFonts w:hint="eastAsia"/>
          <w:shd w:val="clear" w:color="auto" w:fill="FFFFFF"/>
        </w:rPr>
        <w:t xml:space="preserve">6、投标人应当在投标截止时间前，使用投标人CA数字证书登录网上开标大厅，在线签到并准时参加开标活动，并在规定时间内完成投标文件解密、答疑澄清等。逾期解密或者没有准时在线参加开标活动导致的一切后果投标人自行承担。 </w:t>
      </w:r>
    </w:p>
    <w:p>
      <w:pPr>
        <w:snapToGrid w:val="0"/>
        <w:spacing w:line="360" w:lineRule="auto"/>
        <w:rPr>
          <w:rFonts w:ascii="宋体" w:hAnsi="宋体" w:eastAsia="宋体" w:cs="宋体"/>
          <w:sz w:val="24"/>
          <w:szCs w:val="24"/>
        </w:rPr>
      </w:pPr>
      <w:r>
        <w:rPr>
          <w:rFonts w:hint="eastAsia" w:ascii="宋体" w:hAnsi="宋体" w:eastAsia="宋体" w:cs="宋体"/>
          <w:sz w:val="24"/>
          <w:szCs w:val="24"/>
        </w:rPr>
        <w:t>七、凡对本次采购提出询问，请按以下方式联系</w:t>
      </w:r>
      <w:bookmarkEnd w:id="19"/>
      <w:bookmarkEnd w:id="20"/>
      <w:bookmarkEnd w:id="21"/>
      <w:bookmarkEnd w:id="22"/>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bookmarkStart w:id="29" w:name="_Toc28359019"/>
      <w:bookmarkStart w:id="30" w:name="_Toc28359096"/>
      <w:bookmarkStart w:id="31" w:name="_Toc35393637"/>
      <w:bookmarkStart w:id="32" w:name="_Toc35393806"/>
      <w:r>
        <w:rPr>
          <w:rFonts w:hint="eastAsia" w:ascii="宋体" w:hAnsi="宋体" w:eastAsia="宋体" w:cs="宋体"/>
          <w:sz w:val="24"/>
          <w:szCs w:val="24"/>
        </w:rPr>
        <w:t>1、采购人信息</w:t>
      </w:r>
      <w:bookmarkEnd w:id="29"/>
      <w:bookmarkEnd w:id="30"/>
      <w:bookmarkEnd w:id="31"/>
      <w:bookmarkEnd w:id="32"/>
    </w:p>
    <w:p>
      <w:pPr>
        <w:snapToGrid w:val="0"/>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名    称：广水市文化和旅游局</w:t>
      </w:r>
    </w:p>
    <w:p>
      <w:pPr>
        <w:snapToGrid w:val="0"/>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地   址：广水市应山办事处广安路52号</w:t>
      </w:r>
    </w:p>
    <w:p>
      <w:pPr>
        <w:snapToGrid w:val="0"/>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联 系 人：黄先生</w:t>
      </w:r>
    </w:p>
    <w:p>
      <w:pPr>
        <w:snapToGrid w:val="0"/>
        <w:spacing w:line="360" w:lineRule="auto"/>
        <w:ind w:firstLine="720" w:firstLineChars="300"/>
        <w:jc w:val="left"/>
        <w:rPr>
          <w:rFonts w:hint="default" w:eastAsia="宋体"/>
          <w:color w:val="auto"/>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0722-6232016</w:t>
      </w:r>
    </w:p>
    <w:p>
      <w:pPr>
        <w:spacing w:line="360" w:lineRule="auto"/>
        <w:ind w:firstLine="480" w:firstLineChars="200"/>
        <w:rPr>
          <w:rFonts w:ascii="宋体" w:hAnsi="宋体" w:eastAsia="宋体" w:cs="宋体"/>
          <w:bCs/>
          <w:sz w:val="24"/>
          <w:szCs w:val="24"/>
          <w:lang w:bidi="ar-EG"/>
        </w:rPr>
      </w:pPr>
      <w:r>
        <w:rPr>
          <w:rFonts w:hint="eastAsia" w:ascii="宋体" w:hAnsi="宋体" w:eastAsia="宋体" w:cs="宋体"/>
          <w:bCs/>
          <w:sz w:val="24"/>
          <w:szCs w:val="24"/>
          <w:lang w:bidi="ar-EG"/>
        </w:rPr>
        <w:t>2、采购代理机构信息</w:t>
      </w:r>
    </w:p>
    <w:p>
      <w:pPr>
        <w:spacing w:line="360" w:lineRule="auto"/>
        <w:ind w:firstLine="480" w:firstLineChars="200"/>
        <w:rPr>
          <w:rFonts w:ascii="宋体" w:hAnsi="宋体" w:eastAsia="宋体" w:cs="宋体"/>
          <w:bCs/>
          <w:sz w:val="24"/>
          <w:szCs w:val="24"/>
          <w:lang w:bidi="ar-EG"/>
        </w:rPr>
      </w:pPr>
      <w:r>
        <w:rPr>
          <w:rFonts w:hint="eastAsia" w:ascii="宋体" w:hAnsi="宋体" w:eastAsia="宋体" w:cs="宋体"/>
          <w:bCs/>
          <w:sz w:val="24"/>
          <w:szCs w:val="24"/>
          <w:lang w:bidi="ar-EG"/>
        </w:rPr>
        <w:t>名 称：湖北楚振捷工程项目管理有限公司</w:t>
      </w:r>
    </w:p>
    <w:p>
      <w:pPr>
        <w:spacing w:line="360" w:lineRule="auto"/>
        <w:ind w:firstLine="480" w:firstLineChars="200"/>
        <w:rPr>
          <w:rFonts w:ascii="宋体" w:hAnsi="宋体" w:eastAsia="宋体" w:cs="宋体"/>
          <w:bCs/>
          <w:sz w:val="24"/>
          <w:szCs w:val="24"/>
          <w:lang w:bidi="ar-EG"/>
        </w:rPr>
      </w:pPr>
      <w:r>
        <w:rPr>
          <w:rFonts w:hint="eastAsia" w:ascii="宋体" w:hAnsi="宋体" w:eastAsia="宋体" w:cs="宋体"/>
          <w:bCs/>
          <w:sz w:val="24"/>
          <w:szCs w:val="24"/>
          <w:lang w:bidi="ar-EG"/>
        </w:rPr>
        <w:t>地　址：广水市永阳一路41号</w:t>
      </w:r>
    </w:p>
    <w:p>
      <w:pPr>
        <w:spacing w:line="360" w:lineRule="auto"/>
        <w:ind w:firstLine="480" w:firstLineChars="200"/>
        <w:rPr>
          <w:rFonts w:ascii="宋体" w:hAnsi="宋体" w:eastAsia="宋体" w:cs="宋体"/>
          <w:bCs/>
          <w:sz w:val="24"/>
          <w:szCs w:val="24"/>
          <w:lang w:bidi="ar-EG"/>
        </w:rPr>
      </w:pPr>
      <w:r>
        <w:rPr>
          <w:rFonts w:hint="eastAsia" w:ascii="宋体" w:hAnsi="宋体" w:eastAsia="宋体" w:cs="宋体"/>
          <w:bCs/>
          <w:sz w:val="24"/>
          <w:szCs w:val="24"/>
          <w:lang w:bidi="ar-EG"/>
        </w:rPr>
        <w:t>联系方式：0722-6256088</w:t>
      </w:r>
    </w:p>
    <w:p>
      <w:pPr>
        <w:spacing w:line="360" w:lineRule="auto"/>
        <w:ind w:firstLine="480" w:firstLineChars="200"/>
        <w:rPr>
          <w:rFonts w:ascii="宋体" w:hAnsi="宋体" w:eastAsia="宋体" w:cs="宋体"/>
          <w:bCs/>
          <w:sz w:val="24"/>
          <w:szCs w:val="24"/>
          <w:lang w:bidi="ar-EG"/>
        </w:rPr>
      </w:pPr>
      <w:r>
        <w:rPr>
          <w:rFonts w:hint="eastAsia" w:ascii="宋体" w:hAnsi="宋体" w:eastAsia="宋体" w:cs="宋体"/>
          <w:bCs/>
          <w:sz w:val="24"/>
          <w:szCs w:val="24"/>
          <w:lang w:bidi="ar-EG"/>
        </w:rPr>
        <w:t>3、项目联系方式</w:t>
      </w:r>
    </w:p>
    <w:p>
      <w:pPr>
        <w:spacing w:line="360" w:lineRule="auto"/>
        <w:ind w:firstLine="480" w:firstLineChars="200"/>
        <w:rPr>
          <w:rFonts w:eastAsia="宋体"/>
        </w:rPr>
      </w:pPr>
      <w:r>
        <w:rPr>
          <w:rFonts w:hint="eastAsia" w:ascii="宋体" w:hAnsi="宋体" w:eastAsia="宋体" w:cs="宋体"/>
          <w:bCs/>
          <w:sz w:val="24"/>
          <w:szCs w:val="24"/>
          <w:lang w:bidi="ar-EG"/>
        </w:rPr>
        <w:t>项目联系人：熊女士</w:t>
      </w:r>
    </w:p>
    <w:p>
      <w:pPr>
        <w:spacing w:line="360" w:lineRule="auto"/>
        <w:ind w:firstLine="480" w:firstLineChars="200"/>
        <w:rPr>
          <w:rFonts w:ascii="宋体" w:hAnsi="宋体" w:eastAsia="宋体" w:cs="宋体"/>
          <w:lang w:val="zh-CN"/>
        </w:rPr>
      </w:pPr>
      <w:r>
        <w:rPr>
          <w:rFonts w:hint="eastAsia" w:ascii="宋体" w:hAnsi="宋体" w:eastAsia="宋体" w:cs="宋体"/>
          <w:bCs/>
          <w:sz w:val="24"/>
          <w:szCs w:val="24"/>
          <w:lang w:bidi="ar-EG"/>
        </w:rPr>
        <w:t>电话：0722-6256088</w:t>
      </w:r>
    </w:p>
    <w:p>
      <w:pPr>
        <w:pStyle w:val="10"/>
        <w:ind w:left="640" w:firstLine="480"/>
        <w:rPr>
          <w:rFonts w:ascii="宋体" w:hAnsi="宋体" w:eastAsia="宋体" w:cs="宋体"/>
          <w:sz w:val="24"/>
        </w:rPr>
      </w:pPr>
    </w:p>
    <w:p>
      <w:pPr>
        <w:pStyle w:val="10"/>
        <w:ind w:left="640" w:firstLine="480"/>
        <w:rPr>
          <w:rFonts w:ascii="宋体" w:hAnsi="宋体" w:eastAsia="宋体" w:cs="宋体"/>
          <w:sz w:val="24"/>
        </w:rPr>
      </w:pPr>
    </w:p>
    <w:p>
      <w:pPr>
        <w:pStyle w:val="14"/>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pPr>
    </w:p>
    <w:p>
      <w:pPr>
        <w:pStyle w:val="14"/>
        <w:rPr>
          <w:rFonts w:ascii="宋体" w:hAnsi="宋体" w:eastAsia="宋体" w:cs="宋体"/>
          <w:sz w:val="24"/>
          <w:szCs w:val="24"/>
        </w:rPr>
      </w:pPr>
    </w:p>
    <w:p>
      <w:pPr>
        <w:rPr>
          <w:rFonts w:ascii="宋体" w:hAnsi="宋体" w:eastAsia="宋体" w:cs="宋体"/>
          <w:sz w:val="24"/>
          <w:szCs w:val="24"/>
        </w:rPr>
      </w:pPr>
    </w:p>
    <w:p>
      <w:pPr>
        <w:pStyle w:val="4"/>
        <w:snapToGrid w:val="0"/>
        <w:spacing w:line="560" w:lineRule="exact"/>
        <w:rPr>
          <w:rFonts w:cs="宋体"/>
          <w:lang w:val="zh-CN"/>
        </w:rPr>
      </w:pPr>
      <w:bookmarkStart w:id="33" w:name="_Toc28534"/>
      <w:r>
        <w:rPr>
          <w:rFonts w:hint="eastAsia" w:cs="宋体"/>
          <w:lang w:val="zh-CN"/>
        </w:rPr>
        <w:t>第二部分 磋商供应商须知</w:t>
      </w:r>
      <w:bookmarkEnd w:id="33"/>
    </w:p>
    <w:p>
      <w:pPr>
        <w:pStyle w:val="4"/>
        <w:snapToGrid w:val="0"/>
        <w:spacing w:line="560" w:lineRule="exact"/>
        <w:rPr>
          <w:rFonts w:cs="宋体"/>
          <w:lang w:val="zh-CN"/>
        </w:rPr>
      </w:pPr>
      <w:bookmarkStart w:id="34" w:name="_Toc10483"/>
      <w:r>
        <w:rPr>
          <w:rFonts w:hint="eastAsia" w:cs="宋体"/>
          <w:lang w:val="zh-CN"/>
        </w:rPr>
        <w:t>前附表</w:t>
      </w:r>
      <w:bookmarkEnd w:id="2"/>
      <w:bookmarkEnd w:id="34"/>
    </w:p>
    <w:tbl>
      <w:tblPr>
        <w:tblStyle w:val="18"/>
        <w:tblW w:w="967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3"/>
        <w:gridCol w:w="64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1" w:type="dxa"/>
            <w:vAlign w:val="center"/>
          </w:tcPr>
          <w:p>
            <w:pPr>
              <w:snapToGrid w:val="0"/>
              <w:spacing w:line="500" w:lineRule="exact"/>
              <w:rPr>
                <w:rFonts w:ascii="宋体" w:hAnsi="宋体" w:eastAsia="宋体" w:cs="宋体"/>
                <w:b/>
                <w:kern w:val="2"/>
                <w:sz w:val="24"/>
                <w:szCs w:val="24"/>
              </w:rPr>
            </w:pPr>
            <w:r>
              <w:rPr>
                <w:rFonts w:hint="eastAsia" w:ascii="宋体" w:hAnsi="宋体" w:eastAsia="宋体" w:cs="宋体"/>
                <w:b/>
                <w:kern w:val="2"/>
                <w:sz w:val="24"/>
                <w:szCs w:val="24"/>
              </w:rPr>
              <w:t>序号</w:t>
            </w:r>
          </w:p>
        </w:tc>
        <w:tc>
          <w:tcPr>
            <w:tcW w:w="2343" w:type="dxa"/>
            <w:vAlign w:val="center"/>
          </w:tcPr>
          <w:p>
            <w:pPr>
              <w:snapToGrid w:val="0"/>
              <w:spacing w:line="500" w:lineRule="exact"/>
              <w:rPr>
                <w:rFonts w:ascii="宋体" w:hAnsi="宋体" w:eastAsia="宋体" w:cs="宋体"/>
                <w:b/>
                <w:kern w:val="2"/>
                <w:sz w:val="24"/>
                <w:szCs w:val="24"/>
              </w:rPr>
            </w:pPr>
            <w:r>
              <w:rPr>
                <w:rFonts w:hint="eastAsia" w:ascii="宋体" w:hAnsi="宋体" w:eastAsia="宋体" w:cs="宋体"/>
                <w:b/>
                <w:kern w:val="2"/>
                <w:sz w:val="24"/>
                <w:szCs w:val="24"/>
              </w:rPr>
              <w:t>内  容</w:t>
            </w:r>
          </w:p>
        </w:tc>
        <w:tc>
          <w:tcPr>
            <w:tcW w:w="6483" w:type="dxa"/>
            <w:vAlign w:val="center"/>
          </w:tcPr>
          <w:p>
            <w:pPr>
              <w:snapToGrid w:val="0"/>
              <w:spacing w:line="500" w:lineRule="exact"/>
              <w:rPr>
                <w:rFonts w:ascii="宋体" w:hAnsi="宋体" w:eastAsia="宋体" w:cs="宋体"/>
                <w:b/>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w:t>
            </w:r>
          </w:p>
        </w:tc>
        <w:tc>
          <w:tcPr>
            <w:tcW w:w="2343" w:type="dxa"/>
            <w:vAlign w:val="center"/>
          </w:tcPr>
          <w:p>
            <w:pPr>
              <w:snapToGrid w:val="0"/>
              <w:spacing w:line="500" w:lineRule="exact"/>
              <w:rPr>
                <w:rFonts w:ascii="宋体" w:hAnsi="宋体" w:eastAsia="宋体" w:cs="宋体"/>
                <w:kern w:val="2"/>
                <w:sz w:val="24"/>
              </w:rPr>
            </w:pPr>
            <w:r>
              <w:rPr>
                <w:rFonts w:hint="eastAsia" w:ascii="宋体" w:hAnsi="宋体" w:eastAsia="宋体" w:cs="宋体"/>
                <w:kern w:val="2"/>
                <w:sz w:val="24"/>
                <w:szCs w:val="24"/>
              </w:rPr>
              <w:t xml:space="preserve">项目名称： </w:t>
            </w:r>
          </w:p>
          <w:p>
            <w:pPr>
              <w:snapToGrid w:val="0"/>
              <w:spacing w:line="500" w:lineRule="exact"/>
              <w:ind w:left="-3" w:firstLine="3"/>
              <w:rPr>
                <w:rFonts w:ascii="宋体" w:hAnsi="宋体" w:eastAsia="宋体" w:cs="宋体"/>
                <w:kern w:val="2"/>
                <w:sz w:val="24"/>
              </w:rPr>
            </w:pPr>
            <w:r>
              <w:rPr>
                <w:rFonts w:hint="eastAsia" w:ascii="宋体" w:hAnsi="宋体" w:eastAsia="宋体" w:cs="宋体"/>
                <w:kern w:val="2"/>
                <w:sz w:val="24"/>
              </w:rPr>
              <w:t>采购方式：</w:t>
            </w:r>
          </w:p>
          <w:p>
            <w:pPr>
              <w:snapToGrid w:val="0"/>
              <w:spacing w:line="500" w:lineRule="exact"/>
              <w:ind w:left="-3" w:firstLine="3"/>
              <w:rPr>
                <w:rFonts w:ascii="宋体" w:hAnsi="宋体" w:eastAsia="宋体" w:cs="宋体"/>
                <w:kern w:val="2"/>
                <w:sz w:val="24"/>
                <w:szCs w:val="24"/>
              </w:rPr>
            </w:pPr>
            <w:r>
              <w:rPr>
                <w:rFonts w:hint="eastAsia" w:ascii="宋体" w:hAnsi="宋体" w:eastAsia="宋体" w:cs="宋体"/>
                <w:kern w:val="2"/>
                <w:sz w:val="24"/>
              </w:rPr>
              <w:t>项目类别：</w:t>
            </w:r>
          </w:p>
        </w:tc>
        <w:tc>
          <w:tcPr>
            <w:tcW w:w="648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广水市文化和旅游局图书馆新馆图书采购及数字化建设项目竞争性磋商</w:t>
            </w:r>
          </w:p>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政府采购货物类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51" w:type="dxa"/>
            <w:vAlign w:val="center"/>
          </w:tcPr>
          <w:p>
            <w:pPr>
              <w:snapToGrid w:val="0"/>
              <w:spacing w:line="500" w:lineRule="exact"/>
              <w:ind w:right="102"/>
              <w:rPr>
                <w:rFonts w:ascii="宋体" w:hAnsi="宋体" w:eastAsia="宋体" w:cs="宋体"/>
                <w:kern w:val="2"/>
                <w:sz w:val="24"/>
                <w:szCs w:val="24"/>
              </w:rPr>
            </w:pPr>
            <w:r>
              <w:rPr>
                <w:rFonts w:hint="eastAsia" w:ascii="宋体" w:hAnsi="宋体" w:eastAsia="宋体" w:cs="宋体"/>
                <w:kern w:val="2"/>
                <w:sz w:val="24"/>
                <w:szCs w:val="24"/>
              </w:rPr>
              <w:t>2</w:t>
            </w:r>
          </w:p>
        </w:tc>
        <w:tc>
          <w:tcPr>
            <w:tcW w:w="2343" w:type="dxa"/>
            <w:vAlign w:val="center"/>
          </w:tcPr>
          <w:p>
            <w:pPr>
              <w:snapToGrid w:val="0"/>
              <w:spacing w:line="500" w:lineRule="exact"/>
              <w:ind w:left="-3" w:firstLine="3"/>
              <w:rPr>
                <w:rFonts w:ascii="宋体" w:hAnsi="宋体" w:eastAsia="宋体" w:cs="宋体"/>
                <w:kern w:val="2"/>
                <w:sz w:val="24"/>
                <w:szCs w:val="24"/>
              </w:rPr>
            </w:pPr>
            <w:r>
              <w:rPr>
                <w:rFonts w:hint="eastAsia" w:ascii="宋体" w:hAnsi="宋体" w:eastAsia="宋体" w:cs="宋体"/>
                <w:kern w:val="2"/>
                <w:sz w:val="24"/>
                <w:szCs w:val="24"/>
              </w:rPr>
              <w:t xml:space="preserve">采购人： </w:t>
            </w:r>
          </w:p>
          <w:p>
            <w:pPr>
              <w:snapToGrid w:val="0"/>
              <w:spacing w:line="500" w:lineRule="exact"/>
              <w:ind w:left="-3" w:firstLine="3"/>
              <w:rPr>
                <w:rFonts w:ascii="宋体" w:hAnsi="宋体" w:eastAsia="宋体" w:cs="宋体"/>
                <w:kern w:val="2"/>
                <w:sz w:val="24"/>
                <w:szCs w:val="24"/>
              </w:rPr>
            </w:pPr>
            <w:r>
              <w:rPr>
                <w:rFonts w:hint="eastAsia" w:ascii="宋体" w:hAnsi="宋体" w:eastAsia="宋体" w:cs="宋体"/>
                <w:kern w:val="2"/>
                <w:sz w:val="24"/>
              </w:rPr>
              <w:t>采购人联系方式</w:t>
            </w:r>
          </w:p>
        </w:tc>
        <w:tc>
          <w:tcPr>
            <w:tcW w:w="648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广水市文化和旅游局</w:t>
            </w:r>
          </w:p>
          <w:p>
            <w:pPr>
              <w:snapToGrid w:val="0"/>
              <w:spacing w:line="500" w:lineRule="exact"/>
              <w:rPr>
                <w:rFonts w:ascii="宋体" w:hAnsi="宋体" w:eastAsia="宋体" w:cs="宋体"/>
                <w:kern w:val="2"/>
                <w:sz w:val="24"/>
                <w:szCs w:val="24"/>
              </w:rPr>
            </w:pPr>
            <w:r>
              <w:rPr>
                <w:rFonts w:hint="eastAsia" w:ascii="宋体" w:hAnsi="宋体" w:eastAsia="宋体" w:cs="宋体"/>
                <w:color w:val="auto"/>
                <w:kern w:val="2"/>
                <w:sz w:val="24"/>
              </w:rPr>
              <w:t>联系人及电话：</w:t>
            </w:r>
            <w:r>
              <w:rPr>
                <w:rFonts w:hint="eastAsia" w:ascii="宋体" w:hAnsi="宋体" w:eastAsia="宋体" w:cs="宋体"/>
                <w:color w:val="auto"/>
                <w:sz w:val="24"/>
                <w:szCs w:val="24"/>
                <w:lang w:eastAsia="zh-CN"/>
              </w:rPr>
              <w:t>黄</w:t>
            </w:r>
            <w:r>
              <w:rPr>
                <w:rFonts w:hint="eastAsia" w:ascii="宋体" w:hAnsi="宋体" w:eastAsia="宋体" w:cs="宋体"/>
                <w:color w:val="auto"/>
                <w:sz w:val="24"/>
                <w:szCs w:val="24"/>
              </w:rPr>
              <w:t>先生</w:t>
            </w:r>
            <w:r>
              <w:rPr>
                <w:rFonts w:hint="eastAsia" w:ascii="宋体" w:hAnsi="宋体" w:eastAsia="宋体" w:cs="宋体"/>
                <w:color w:val="auto"/>
                <w:sz w:val="24"/>
                <w:szCs w:val="24"/>
                <w:lang w:val="en-US" w:eastAsia="zh-CN"/>
              </w:rPr>
              <w:t>0722-6232016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51" w:type="dxa"/>
            <w:vAlign w:val="center"/>
          </w:tcPr>
          <w:p>
            <w:pPr>
              <w:snapToGrid w:val="0"/>
              <w:spacing w:line="500" w:lineRule="exact"/>
              <w:ind w:right="102"/>
              <w:rPr>
                <w:rFonts w:ascii="宋体" w:hAnsi="宋体" w:eastAsia="宋体" w:cs="宋体"/>
                <w:kern w:val="2"/>
                <w:sz w:val="24"/>
                <w:szCs w:val="24"/>
              </w:rPr>
            </w:pPr>
            <w:r>
              <w:rPr>
                <w:rFonts w:hint="eastAsia" w:ascii="宋体" w:hAnsi="宋体" w:eastAsia="宋体" w:cs="宋体"/>
                <w:kern w:val="2"/>
                <w:sz w:val="24"/>
                <w:szCs w:val="24"/>
              </w:rPr>
              <w:t>3</w:t>
            </w:r>
          </w:p>
        </w:tc>
        <w:tc>
          <w:tcPr>
            <w:tcW w:w="2343" w:type="dxa"/>
            <w:vAlign w:val="center"/>
          </w:tcPr>
          <w:p>
            <w:pPr>
              <w:snapToGrid w:val="0"/>
              <w:spacing w:line="500" w:lineRule="exact"/>
              <w:ind w:left="-3" w:firstLine="3"/>
              <w:rPr>
                <w:rFonts w:ascii="宋体" w:hAnsi="宋体" w:eastAsia="宋体" w:cs="宋体"/>
                <w:kern w:val="2"/>
                <w:sz w:val="24"/>
                <w:szCs w:val="24"/>
              </w:rPr>
            </w:pPr>
            <w:r>
              <w:rPr>
                <w:rFonts w:hint="eastAsia" w:ascii="宋体" w:hAnsi="宋体" w:eastAsia="宋体" w:cs="宋体"/>
                <w:kern w:val="2"/>
                <w:sz w:val="24"/>
                <w:szCs w:val="24"/>
              </w:rPr>
              <w:t>采购代理机构：</w:t>
            </w:r>
          </w:p>
          <w:p>
            <w:pPr>
              <w:snapToGrid w:val="0"/>
              <w:spacing w:line="500" w:lineRule="exact"/>
              <w:ind w:left="-3" w:firstLine="3"/>
              <w:rPr>
                <w:rFonts w:ascii="宋体" w:hAnsi="宋体" w:eastAsia="宋体" w:cs="宋体"/>
                <w:kern w:val="2"/>
                <w:sz w:val="24"/>
                <w:szCs w:val="24"/>
              </w:rPr>
            </w:pPr>
            <w:r>
              <w:rPr>
                <w:rFonts w:hint="eastAsia" w:ascii="宋体" w:hAnsi="宋体" w:eastAsia="宋体" w:cs="宋体"/>
                <w:kern w:val="2"/>
                <w:sz w:val="24"/>
                <w:szCs w:val="24"/>
              </w:rPr>
              <w:t>联系人：</w:t>
            </w:r>
          </w:p>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 xml:space="preserve">电话： </w:t>
            </w:r>
          </w:p>
        </w:tc>
        <w:tc>
          <w:tcPr>
            <w:tcW w:w="6483" w:type="dxa"/>
            <w:vAlign w:val="center"/>
          </w:tcPr>
          <w:p>
            <w:pPr>
              <w:snapToGrid w:val="0"/>
              <w:spacing w:line="500" w:lineRule="exact"/>
              <w:ind w:left="1887" w:hanging="1887"/>
              <w:rPr>
                <w:rFonts w:ascii="宋体" w:hAnsi="宋体" w:eastAsia="宋体" w:cs="宋体"/>
                <w:kern w:val="2"/>
                <w:sz w:val="24"/>
                <w:szCs w:val="24"/>
              </w:rPr>
            </w:pPr>
            <w:r>
              <w:rPr>
                <w:rFonts w:hint="eastAsia" w:ascii="宋体" w:hAnsi="宋体" w:eastAsia="宋体" w:cs="宋体"/>
                <w:kern w:val="2"/>
                <w:sz w:val="24"/>
                <w:szCs w:val="24"/>
              </w:rPr>
              <w:t>湖北楚振捷工程项目管理有限公司</w:t>
            </w:r>
          </w:p>
          <w:p>
            <w:pPr>
              <w:snapToGrid w:val="0"/>
              <w:spacing w:line="500" w:lineRule="exact"/>
              <w:ind w:left="1887" w:hanging="1887"/>
              <w:rPr>
                <w:rFonts w:ascii="宋体" w:hAnsi="宋体" w:eastAsia="宋体" w:cs="宋体"/>
                <w:kern w:val="2"/>
                <w:sz w:val="24"/>
                <w:szCs w:val="24"/>
              </w:rPr>
            </w:pPr>
            <w:r>
              <w:rPr>
                <w:rFonts w:hint="eastAsia" w:ascii="宋体" w:hAnsi="宋体" w:eastAsia="宋体" w:cs="宋体"/>
                <w:kern w:val="2"/>
                <w:sz w:val="24"/>
                <w:szCs w:val="24"/>
              </w:rPr>
              <w:t>熊女士</w:t>
            </w:r>
          </w:p>
          <w:p>
            <w:pPr>
              <w:snapToGrid w:val="0"/>
              <w:spacing w:line="500" w:lineRule="exact"/>
              <w:ind w:left="1887" w:hanging="1887"/>
              <w:rPr>
                <w:rFonts w:ascii="宋体" w:hAnsi="宋体" w:eastAsia="宋体" w:cs="宋体"/>
                <w:kern w:val="2"/>
                <w:sz w:val="24"/>
                <w:szCs w:val="24"/>
              </w:rPr>
            </w:pPr>
            <w:r>
              <w:rPr>
                <w:rFonts w:hint="eastAsia" w:ascii="宋体" w:hAnsi="宋体" w:eastAsia="宋体" w:cs="宋体"/>
                <w:kern w:val="2"/>
                <w:sz w:val="24"/>
                <w:szCs w:val="24"/>
              </w:rPr>
              <w:t>0722-6256088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4</w:t>
            </w:r>
          </w:p>
        </w:tc>
        <w:tc>
          <w:tcPr>
            <w:tcW w:w="2343" w:type="dxa"/>
            <w:vAlign w:val="center"/>
          </w:tcPr>
          <w:p>
            <w:pPr>
              <w:snapToGrid w:val="0"/>
              <w:spacing w:line="500" w:lineRule="exact"/>
              <w:ind w:left="1887" w:hanging="1887"/>
              <w:rPr>
                <w:rFonts w:ascii="宋体" w:hAnsi="宋体" w:eastAsia="宋体" w:cs="宋体"/>
                <w:kern w:val="2"/>
                <w:sz w:val="24"/>
                <w:szCs w:val="24"/>
              </w:rPr>
            </w:pPr>
            <w:r>
              <w:rPr>
                <w:rFonts w:hint="eastAsia" w:ascii="宋体" w:hAnsi="宋体" w:eastAsia="宋体" w:cs="宋体"/>
                <w:kern w:val="2"/>
                <w:sz w:val="24"/>
              </w:rPr>
              <w:t>响应文件有效期：</w:t>
            </w:r>
            <w:r>
              <w:rPr>
                <w:rFonts w:hint="eastAsia" w:ascii="宋体" w:hAnsi="宋体" w:eastAsia="宋体" w:cs="宋体"/>
                <w:kern w:val="2"/>
                <w:sz w:val="24"/>
                <w:szCs w:val="24"/>
              </w:rPr>
              <w:t xml:space="preserve"> </w:t>
            </w:r>
          </w:p>
        </w:tc>
        <w:tc>
          <w:tcPr>
            <w:tcW w:w="6483" w:type="dxa"/>
            <w:vAlign w:val="center"/>
          </w:tcPr>
          <w:p>
            <w:pPr>
              <w:snapToGrid w:val="0"/>
              <w:spacing w:line="500" w:lineRule="exact"/>
              <w:rPr>
                <w:rFonts w:ascii="宋体" w:hAnsi="宋体" w:eastAsia="宋体" w:cs="宋体"/>
                <w:b/>
                <w:kern w:val="2"/>
                <w:sz w:val="24"/>
                <w:szCs w:val="24"/>
              </w:rPr>
            </w:pPr>
            <w:r>
              <w:rPr>
                <w:rFonts w:hint="eastAsia" w:ascii="宋体" w:hAnsi="宋体" w:eastAsia="宋体" w:cs="宋体"/>
                <w:kern w:val="2"/>
                <w:sz w:val="24"/>
              </w:rPr>
              <w:t>提交首次响应文件截止时间后</w:t>
            </w:r>
            <w:r>
              <w:rPr>
                <w:rFonts w:hint="eastAsia" w:ascii="宋体" w:hAnsi="宋体" w:eastAsia="宋体" w:cs="宋体"/>
                <w:kern w:val="2"/>
                <w:sz w:val="24"/>
                <w:u w:val="single"/>
              </w:rPr>
              <w:t xml:space="preserve"> 90 </w:t>
            </w:r>
            <w:r>
              <w:rPr>
                <w:rFonts w:hint="eastAsia" w:ascii="宋体" w:hAnsi="宋体" w:eastAsia="宋体" w:cs="宋体"/>
                <w:kern w:val="2"/>
                <w:sz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5</w:t>
            </w:r>
          </w:p>
        </w:tc>
        <w:tc>
          <w:tcPr>
            <w:tcW w:w="234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 xml:space="preserve">采购预算： </w:t>
            </w:r>
          </w:p>
        </w:tc>
        <w:tc>
          <w:tcPr>
            <w:tcW w:w="6483" w:type="dxa"/>
            <w:vAlign w:val="center"/>
          </w:tcPr>
          <w:p>
            <w:pPr>
              <w:snapToGrid w:val="0"/>
              <w:spacing w:line="360" w:lineRule="auto"/>
              <w:rPr>
                <w:rFonts w:ascii="宋体" w:hAnsi="宋体" w:eastAsia="宋体" w:cs="宋体"/>
                <w:b/>
                <w:bCs/>
                <w:color w:val="FF0000"/>
                <w:kern w:val="2"/>
                <w:sz w:val="24"/>
                <w:szCs w:val="24"/>
              </w:rPr>
            </w:pPr>
            <w:r>
              <w:rPr>
                <w:rFonts w:hint="eastAsia" w:ascii="宋体" w:hAnsi="宋体" w:eastAsia="宋体" w:cs="宋体"/>
                <w:b/>
                <w:kern w:val="2"/>
                <w:sz w:val="24"/>
                <w:szCs w:val="24"/>
                <w:lang w:bidi="ar"/>
              </w:rPr>
              <w:t>采购拦标价：</w:t>
            </w:r>
            <w:r>
              <w:rPr>
                <w:rFonts w:hint="eastAsia" w:ascii="宋体" w:hAnsi="宋体" w:eastAsia="宋体" w:cs="宋体"/>
                <w:bCs/>
                <w:kern w:val="2"/>
                <w:sz w:val="24"/>
                <w:szCs w:val="24"/>
                <w:lang w:bidi="ar"/>
              </w:rPr>
              <w:t>198万元，（1包：图书采购</w:t>
            </w:r>
            <w:r>
              <w:rPr>
                <w:rFonts w:hint="eastAsia" w:ascii="宋体" w:hAnsi="宋体" w:eastAsia="宋体" w:cs="宋体"/>
                <w:bCs/>
                <w:kern w:val="2"/>
                <w:sz w:val="24"/>
                <w:szCs w:val="24"/>
                <w:lang w:eastAsia="zh-CN" w:bidi="ar"/>
              </w:rPr>
              <w:t>：</w:t>
            </w:r>
            <w:r>
              <w:rPr>
                <w:rFonts w:hint="eastAsia" w:ascii="宋体" w:hAnsi="宋体" w:eastAsia="宋体" w:cs="宋体"/>
                <w:bCs/>
                <w:kern w:val="2"/>
                <w:sz w:val="24"/>
                <w:szCs w:val="24"/>
                <w:lang w:bidi="ar"/>
              </w:rPr>
              <w:t>110万元；2包：数字化建设：88万元）</w:t>
            </w:r>
          </w:p>
          <w:p>
            <w:pPr>
              <w:snapToGrid w:val="0"/>
              <w:spacing w:line="500" w:lineRule="exact"/>
              <w:rPr>
                <w:rFonts w:ascii="宋体" w:hAnsi="宋体" w:eastAsia="宋体" w:cs="宋体"/>
                <w:b/>
                <w:kern w:val="2"/>
                <w:sz w:val="24"/>
                <w:szCs w:val="24"/>
              </w:rPr>
            </w:pPr>
            <w:r>
              <w:rPr>
                <w:rFonts w:hint="eastAsia" w:ascii="宋体" w:hAnsi="宋体" w:eastAsia="宋体" w:cs="宋体"/>
                <w:b/>
                <w:bCs/>
                <w:sz w:val="24"/>
                <w:szCs w:val="24"/>
                <w:lang w:bidi="he-IL"/>
              </w:rPr>
              <w:t>供应商首次报价或最后报价超出本项目公布拦标价的（含单价最高限价），按照无效报价处理</w:t>
            </w:r>
            <w:r>
              <w:rPr>
                <w:rFonts w:hint="eastAsia" w:ascii="宋体" w:hAnsi="宋体" w:eastAsia="宋体" w:cs="宋体"/>
                <w:sz w:val="24"/>
                <w:szCs w:val="24"/>
                <w:lang w:bidi="he-I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6</w:t>
            </w:r>
          </w:p>
        </w:tc>
        <w:tc>
          <w:tcPr>
            <w:tcW w:w="2343" w:type="dxa"/>
            <w:vAlign w:val="center"/>
          </w:tcPr>
          <w:p>
            <w:pPr>
              <w:snapToGrid w:val="0"/>
              <w:spacing w:line="500" w:lineRule="exact"/>
              <w:rPr>
                <w:rFonts w:ascii="宋体" w:hAnsi="宋体" w:eastAsia="宋体" w:cs="宋体"/>
                <w:kern w:val="2"/>
                <w:sz w:val="24"/>
                <w:szCs w:val="24"/>
                <w:lang w:bidi="he-IL"/>
              </w:rPr>
            </w:pPr>
            <w:r>
              <w:rPr>
                <w:rFonts w:hint="eastAsia" w:ascii="宋体" w:hAnsi="宋体" w:eastAsia="宋体" w:cs="宋体"/>
                <w:kern w:val="2"/>
                <w:sz w:val="24"/>
                <w:szCs w:val="24"/>
                <w:lang w:bidi="he-IL"/>
              </w:rPr>
              <w:t>响应文件递交</w:t>
            </w:r>
          </w:p>
        </w:tc>
        <w:tc>
          <w:tcPr>
            <w:tcW w:w="6483" w:type="dxa"/>
            <w:vAlign w:val="center"/>
          </w:tcPr>
          <w:p>
            <w:pPr>
              <w:snapToGrid w:val="0"/>
              <w:spacing w:line="500" w:lineRule="exact"/>
              <w:rPr>
                <w:rFonts w:ascii="宋体" w:hAnsi="宋体" w:eastAsia="宋体" w:cs="宋体"/>
                <w:b/>
                <w:bCs/>
                <w:kern w:val="2"/>
                <w:sz w:val="24"/>
                <w:szCs w:val="24"/>
              </w:rPr>
            </w:pPr>
            <w:r>
              <w:rPr>
                <w:rFonts w:hint="eastAsia" w:ascii="宋体" w:hAnsi="宋体" w:eastAsia="宋体" w:cs="宋体"/>
                <w:sz w:val="24"/>
                <w:szCs w:val="24"/>
              </w:rPr>
              <w:t>加密的电子磋商响应文件一份。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7</w:t>
            </w:r>
          </w:p>
        </w:tc>
        <w:tc>
          <w:tcPr>
            <w:tcW w:w="234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联合体形式：</w:t>
            </w:r>
          </w:p>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lang w:bidi="he-IL"/>
              </w:rPr>
              <w:t>踏勘现场：</w:t>
            </w:r>
          </w:p>
        </w:tc>
        <w:tc>
          <w:tcPr>
            <w:tcW w:w="6483" w:type="dxa"/>
            <w:vAlign w:val="center"/>
          </w:tcPr>
          <w:p>
            <w:pPr>
              <w:snapToGrid w:val="0"/>
              <w:spacing w:line="500" w:lineRule="exact"/>
              <w:rPr>
                <w:rFonts w:ascii="宋体" w:hAnsi="宋体" w:eastAsia="宋体" w:cs="宋体"/>
                <w:sz w:val="21"/>
                <w:szCs w:val="21"/>
              </w:rPr>
            </w:pPr>
            <w:r>
              <w:rPr>
                <w:rFonts w:hint="eastAsia" w:ascii="宋体" w:hAnsi="宋体" w:eastAsia="宋体" w:cs="宋体"/>
                <w:sz w:val="24"/>
                <w:szCs w:val="24"/>
              </w:rPr>
              <w:t>本项目不接受联合体形式参加磋商。</w:t>
            </w:r>
          </w:p>
          <w:p>
            <w:pPr>
              <w:snapToGrid w:val="0"/>
              <w:spacing w:line="500" w:lineRule="exact"/>
              <w:rPr>
                <w:rFonts w:ascii="宋体" w:hAnsi="宋体" w:eastAsia="宋体" w:cs="宋体"/>
                <w:b/>
                <w:kern w:val="2"/>
                <w:sz w:val="24"/>
                <w:szCs w:val="24"/>
              </w:rPr>
            </w:pPr>
            <w:r>
              <w:rPr>
                <w:rFonts w:hint="eastAsia" w:ascii="宋体" w:hAnsi="宋体" w:eastAsia="宋体" w:cs="宋体"/>
                <w:kern w:val="2"/>
                <w:sz w:val="24"/>
                <w:szCs w:val="24"/>
              </w:rPr>
              <w:t>采购人不组织统一踏勘现场的活动。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8</w:t>
            </w:r>
          </w:p>
        </w:tc>
        <w:tc>
          <w:tcPr>
            <w:tcW w:w="2343" w:type="dxa"/>
            <w:vAlign w:val="center"/>
          </w:tcPr>
          <w:p>
            <w:pPr>
              <w:snapToGrid w:val="0"/>
              <w:spacing w:line="420" w:lineRule="exact"/>
              <w:rPr>
                <w:rFonts w:ascii="宋体" w:hAnsi="宋体" w:eastAsia="宋体" w:cs="宋体"/>
                <w:color w:val="auto"/>
                <w:kern w:val="2"/>
                <w:sz w:val="24"/>
                <w:szCs w:val="24"/>
              </w:rPr>
            </w:pPr>
            <w:r>
              <w:rPr>
                <w:rFonts w:hint="eastAsia" w:ascii="宋体" w:hAnsi="宋体" w:eastAsia="宋体"/>
                <w:color w:val="auto"/>
                <w:sz w:val="24"/>
                <w:szCs w:val="28"/>
              </w:rPr>
              <w:t>响应性文件递交截止时间</w:t>
            </w:r>
          </w:p>
        </w:tc>
        <w:tc>
          <w:tcPr>
            <w:tcW w:w="6483" w:type="dxa"/>
            <w:vAlign w:val="center"/>
          </w:tcPr>
          <w:p>
            <w:pPr>
              <w:snapToGrid w:val="0"/>
              <w:spacing w:line="420" w:lineRule="exact"/>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rPr>
              <w:t>2023</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 xml:space="preserve">  4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 xml:space="preserve">  3 </w:t>
            </w:r>
            <w:r>
              <w:rPr>
                <w:rFonts w:hint="eastAsia" w:ascii="宋体" w:hAnsi="宋体" w:eastAsia="宋体" w:cs="宋体"/>
                <w:color w:val="auto"/>
                <w:kern w:val="2"/>
                <w:sz w:val="24"/>
                <w:szCs w:val="24"/>
              </w:rPr>
              <w:t>日9时00 分00秒。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9</w:t>
            </w:r>
          </w:p>
        </w:tc>
        <w:tc>
          <w:tcPr>
            <w:tcW w:w="2343" w:type="dxa"/>
            <w:vAlign w:val="center"/>
          </w:tcPr>
          <w:p>
            <w:pPr>
              <w:snapToGrid w:val="0"/>
              <w:spacing w:line="360" w:lineRule="exact"/>
              <w:rPr>
                <w:rFonts w:ascii="宋体" w:hAnsi="宋体" w:eastAsia="宋体" w:cs="宋体"/>
                <w:kern w:val="2"/>
                <w:sz w:val="24"/>
                <w:szCs w:val="24"/>
              </w:rPr>
            </w:pPr>
            <w:r>
              <w:rPr>
                <w:rFonts w:hint="eastAsia" w:ascii="宋体" w:hAnsi="宋体" w:eastAsia="宋体" w:cs="宋体"/>
                <w:kern w:val="2"/>
                <w:sz w:val="24"/>
                <w:szCs w:val="24"/>
              </w:rPr>
              <w:t>磋商开启会议时间（以下简称磋商会议）及地点</w:t>
            </w:r>
          </w:p>
        </w:tc>
        <w:tc>
          <w:tcPr>
            <w:tcW w:w="6483" w:type="dxa"/>
            <w:vAlign w:val="center"/>
          </w:tcPr>
          <w:p>
            <w:pPr>
              <w:rPr>
                <w:rFonts w:ascii="宋体" w:hAnsi="宋体" w:eastAsia="宋体" w:cs="宋体"/>
                <w:sz w:val="24"/>
                <w:szCs w:val="24"/>
              </w:rPr>
            </w:pPr>
            <w:r>
              <w:rPr>
                <w:rFonts w:hint="eastAsia" w:ascii="宋体" w:hAnsi="宋体" w:eastAsia="宋体" w:cs="宋体"/>
                <w:kern w:val="2"/>
                <w:sz w:val="24"/>
                <w:szCs w:val="24"/>
              </w:rPr>
              <w:t>磋商会议时间：</w:t>
            </w:r>
            <w:r>
              <w:rPr>
                <w:rFonts w:hint="eastAsia" w:ascii="宋体" w:hAnsi="宋体" w:eastAsia="宋体" w:cs="宋体"/>
                <w:sz w:val="24"/>
                <w:szCs w:val="24"/>
              </w:rPr>
              <w:t>同投标截止时间</w:t>
            </w:r>
          </w:p>
          <w:p>
            <w:pPr>
              <w:snapToGrid w:val="0"/>
              <w:spacing w:line="500" w:lineRule="exact"/>
              <w:rPr>
                <w:rFonts w:ascii="宋体" w:hAnsi="宋体" w:eastAsia="宋体" w:cs="宋体"/>
                <w:kern w:val="2"/>
                <w:sz w:val="24"/>
                <w:szCs w:val="24"/>
              </w:rPr>
            </w:pPr>
            <w:r>
              <w:rPr>
                <w:rFonts w:hint="eastAsia" w:ascii="宋体" w:hAnsi="宋体" w:eastAsia="宋体" w:cs="宋体"/>
                <w:sz w:val="24"/>
                <w:szCs w:val="24"/>
              </w:rPr>
              <w:t>地点：</w:t>
            </w:r>
            <w:r>
              <w:rPr>
                <w:rFonts w:hint="eastAsia" w:ascii="宋体" w:hAnsi="宋体" w:eastAsia="宋体" w:cs="宋体"/>
                <w:color w:val="000000"/>
                <w:kern w:val="2"/>
                <w:sz w:val="24"/>
                <w:szCs w:val="24"/>
              </w:rPr>
              <w:t>网上递交（湖北省电子招投标交易平台）。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10</w:t>
            </w:r>
          </w:p>
        </w:tc>
        <w:tc>
          <w:tcPr>
            <w:tcW w:w="234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 xml:space="preserve">评审方法： </w:t>
            </w:r>
          </w:p>
        </w:tc>
        <w:tc>
          <w:tcPr>
            <w:tcW w:w="6483" w:type="dxa"/>
            <w:vAlign w:val="center"/>
          </w:tcPr>
          <w:p>
            <w:pPr>
              <w:jc w:val="left"/>
            </w:pPr>
            <w:r>
              <w:rPr>
                <w:rFonts w:hint="eastAsia" w:ascii="宋体" w:hAnsi="宋体" w:eastAsia="宋体" w:cs="宋体"/>
                <w:kern w:val="2"/>
                <w:sz w:val="24"/>
                <w:szCs w:val="24"/>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11</w:t>
            </w:r>
          </w:p>
        </w:tc>
        <w:tc>
          <w:tcPr>
            <w:tcW w:w="2343" w:type="dxa"/>
            <w:vAlign w:val="center"/>
          </w:tcPr>
          <w:p>
            <w:pPr>
              <w:snapToGrid w:val="0"/>
              <w:spacing w:line="500" w:lineRule="exact"/>
              <w:rPr>
                <w:rFonts w:ascii="宋体" w:hAnsi="宋体" w:eastAsia="宋体" w:cs="宋体"/>
                <w:kern w:val="2"/>
                <w:sz w:val="24"/>
                <w:szCs w:val="24"/>
                <w:lang w:bidi="he-IL"/>
              </w:rPr>
            </w:pPr>
            <w:r>
              <w:rPr>
                <w:rFonts w:hint="eastAsia" w:ascii="宋体" w:hAnsi="宋体" w:eastAsia="宋体"/>
                <w:color w:val="000000"/>
                <w:sz w:val="24"/>
                <w:szCs w:val="28"/>
              </w:rPr>
              <w:t>中标后须提交的纸质响应文件</w:t>
            </w:r>
          </w:p>
        </w:tc>
        <w:tc>
          <w:tcPr>
            <w:tcW w:w="6483" w:type="dxa"/>
            <w:vAlign w:val="center"/>
          </w:tcPr>
          <w:p>
            <w:pPr>
              <w:snapToGrid w:val="0"/>
              <w:spacing w:line="420" w:lineRule="exact"/>
              <w:rPr>
                <w:rFonts w:ascii="宋体" w:hAnsi="宋体" w:eastAsia="宋体" w:cs="宋体"/>
                <w:kern w:val="2"/>
                <w:sz w:val="24"/>
                <w:szCs w:val="24"/>
              </w:rPr>
            </w:pPr>
            <w:r>
              <w:rPr>
                <w:rFonts w:hint="eastAsia" w:ascii="宋体" w:hAnsi="宋体" w:eastAsia="宋体"/>
                <w:color w:val="000000"/>
                <w:sz w:val="24"/>
                <w:szCs w:val="28"/>
              </w:rPr>
              <w:t>份数：1 份，中标人提交的纸质响应文件应当与导入电子开标评标系统的电子响应文件内容一致（领取</w:t>
            </w:r>
            <w:r>
              <w:rPr>
                <w:rFonts w:hint="eastAsia" w:ascii="宋体" w:hAnsi="宋体" w:eastAsia="宋体"/>
                <w:color w:val="000000"/>
                <w:sz w:val="24"/>
                <w:szCs w:val="28"/>
                <w:lang w:eastAsia="zh-CN"/>
              </w:rPr>
              <w:t>中标</w:t>
            </w:r>
            <w:r>
              <w:rPr>
                <w:rFonts w:hint="eastAsia" w:ascii="宋体" w:hAnsi="宋体" w:eastAsia="宋体"/>
                <w:color w:val="000000"/>
                <w:sz w:val="24"/>
                <w:szCs w:val="28"/>
              </w:rPr>
              <w:t>通知书后将此纸质响应文件一起递交给采购人签订合同）。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12</w:t>
            </w:r>
          </w:p>
        </w:tc>
        <w:tc>
          <w:tcPr>
            <w:tcW w:w="2343" w:type="dxa"/>
            <w:vAlign w:val="center"/>
          </w:tcPr>
          <w:p>
            <w:pPr>
              <w:jc w:val="left"/>
              <w:rPr>
                <w:rFonts w:ascii="宋体" w:hAnsi="宋体" w:eastAsia="宋体" w:cs="宋体"/>
                <w:kern w:val="2"/>
                <w:sz w:val="24"/>
                <w:szCs w:val="24"/>
              </w:rPr>
            </w:pPr>
            <w:r>
              <w:rPr>
                <w:rFonts w:hint="eastAsia" w:ascii="宋体" w:hAnsi="宋体" w:eastAsia="宋体" w:cs="宋体"/>
                <w:kern w:val="2"/>
                <w:sz w:val="24"/>
                <w:szCs w:val="24"/>
              </w:rPr>
              <w:t>落实政府采购政策需满足的资格要求</w:t>
            </w:r>
          </w:p>
        </w:tc>
        <w:tc>
          <w:tcPr>
            <w:tcW w:w="6483" w:type="dxa"/>
            <w:vAlign w:val="center"/>
          </w:tcPr>
          <w:p>
            <w:pPr>
              <w:snapToGrid w:val="0"/>
              <w:spacing w:line="500" w:lineRule="exact"/>
              <w:rPr>
                <w:rFonts w:ascii="宋体" w:hAnsi="宋体" w:eastAsia="宋体"/>
                <w:sz w:val="24"/>
                <w:szCs w:val="28"/>
              </w:rPr>
            </w:pPr>
            <w:r>
              <w:rPr>
                <w:rFonts w:hint="eastAsia" w:ascii="宋体" w:hAnsi="宋体" w:eastAsia="宋体"/>
                <w:sz w:val="24"/>
                <w:szCs w:val="28"/>
              </w:rPr>
              <w:t>本项目专门面向中小微企业采购。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13</w:t>
            </w:r>
          </w:p>
        </w:tc>
        <w:tc>
          <w:tcPr>
            <w:tcW w:w="2343" w:type="dxa"/>
            <w:vAlign w:val="center"/>
          </w:tcPr>
          <w:p>
            <w:pPr>
              <w:jc w:val="left"/>
              <w:rPr>
                <w:rFonts w:ascii="宋体" w:hAnsi="宋体" w:eastAsia="宋体" w:cs="宋体"/>
                <w:kern w:val="2"/>
                <w:sz w:val="24"/>
                <w:szCs w:val="24"/>
              </w:rPr>
            </w:pPr>
            <w:r>
              <w:rPr>
                <w:rFonts w:hint="eastAsia" w:ascii="宋体" w:hAnsi="宋体" w:eastAsia="宋体" w:cs="宋体"/>
                <w:kern w:val="2"/>
                <w:sz w:val="24"/>
                <w:szCs w:val="24"/>
              </w:rPr>
              <w:t>政府采购相关政策执行</w:t>
            </w:r>
          </w:p>
        </w:tc>
        <w:tc>
          <w:tcPr>
            <w:tcW w:w="6483" w:type="dxa"/>
            <w:vAlign w:val="center"/>
          </w:tcPr>
          <w:p>
            <w:pPr>
              <w:spacing w:line="400" w:lineRule="exact"/>
              <w:rPr>
                <w:rFonts w:ascii="宋体" w:hAnsi="宋体" w:eastAsia="宋体" w:cs="宋体"/>
                <w:kern w:val="2"/>
                <w:sz w:val="24"/>
                <w:szCs w:val="24"/>
              </w:rPr>
            </w:pPr>
            <w:r>
              <w:rPr>
                <w:rFonts w:hint="eastAsia" w:ascii="宋体" w:hAnsi="宋体" w:eastAsia="宋体" w:cs="宋体"/>
                <w:kern w:val="2"/>
                <w:sz w:val="24"/>
                <w:szCs w:val="24"/>
              </w:rPr>
              <w:t>一、中小企业价格评议</w:t>
            </w:r>
          </w:p>
          <w:p>
            <w:pPr>
              <w:spacing w:line="400" w:lineRule="exact"/>
              <w:rPr>
                <w:rFonts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非专门面向中小企业的货物类采购项目，投标人是小型和微型企业的价格给予6%的扣除，用扣除后的价格参与评审。</w:t>
            </w:r>
          </w:p>
          <w:p>
            <w:pPr>
              <w:spacing w:line="400" w:lineRule="exact"/>
              <w:rPr>
                <w:rFonts w:ascii="宋体" w:hAnsi="宋体" w:eastAsia="宋体" w:cs="宋体"/>
                <w:kern w:val="2"/>
                <w:sz w:val="24"/>
                <w:szCs w:val="24"/>
              </w:rPr>
            </w:pPr>
            <w:r>
              <w:rPr>
                <w:rFonts w:hint="eastAsia" w:ascii="宋体" w:hAnsi="宋体" w:eastAsia="宋体" w:cs="宋体"/>
                <w:kern w:val="2"/>
                <w:sz w:val="24"/>
                <w:szCs w:val="24"/>
              </w:rPr>
              <w:t>2、非专门面向中小企业的工程、服务类采购项目，供应商是小型和微型企业的价格给予6%的扣除，用扣除后的价格参与评审。</w:t>
            </w:r>
          </w:p>
          <w:p>
            <w:pPr>
              <w:spacing w:line="400" w:lineRule="exact"/>
              <w:rPr>
                <w:rFonts w:ascii="宋体" w:hAnsi="宋体" w:eastAsia="宋体" w:cs="宋体"/>
                <w:kern w:val="2"/>
                <w:sz w:val="24"/>
                <w:szCs w:val="24"/>
                <w:lang w:val="zh-CN"/>
              </w:rPr>
            </w:pPr>
            <w:r>
              <w:rPr>
                <w:rFonts w:hint="eastAsia" w:ascii="宋体" w:hAnsi="宋体" w:eastAsia="宋体" w:cs="宋体"/>
                <w:kern w:val="2"/>
                <w:sz w:val="24"/>
                <w:szCs w:val="24"/>
              </w:rPr>
              <w:t>3、</w:t>
            </w:r>
            <w:r>
              <w:rPr>
                <w:rFonts w:hint="eastAsia" w:ascii="宋体" w:hAnsi="宋体" w:eastAsia="宋体" w:cs="宋体"/>
                <w:kern w:val="2"/>
                <w:sz w:val="24"/>
                <w:szCs w:val="24"/>
                <w:lang w:val="zh-CN"/>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kern w:val="2"/>
                <w:sz w:val="24"/>
                <w:szCs w:val="24"/>
              </w:rPr>
              <w:t>3</w:t>
            </w:r>
            <w:r>
              <w:rPr>
                <w:rFonts w:hint="eastAsia" w:ascii="宋体" w:hAnsi="宋体" w:eastAsia="宋体" w:cs="宋体"/>
                <w:kern w:val="2"/>
                <w:sz w:val="24"/>
                <w:szCs w:val="24"/>
                <w:lang w:val="zh-CN"/>
              </w:rPr>
              <w:t>0%以上的，可给予联合体3%的价格扣除，不重复享受政策。</w:t>
            </w:r>
          </w:p>
          <w:p>
            <w:pPr>
              <w:spacing w:line="400" w:lineRule="exact"/>
              <w:rPr>
                <w:rFonts w:ascii="宋体" w:hAnsi="宋体" w:eastAsia="宋体" w:cs="宋体"/>
                <w:kern w:val="2"/>
                <w:sz w:val="24"/>
                <w:szCs w:val="24"/>
                <w:lang w:val="zh-CN"/>
              </w:rPr>
            </w:pPr>
            <w:r>
              <w:rPr>
                <w:rFonts w:hint="eastAsia" w:ascii="宋体" w:hAnsi="宋体" w:eastAsia="宋体" w:cs="宋体"/>
                <w:kern w:val="2"/>
                <w:sz w:val="24"/>
                <w:szCs w:val="24"/>
              </w:rPr>
              <w:t>4、</w:t>
            </w:r>
            <w:r>
              <w:rPr>
                <w:rFonts w:hint="eastAsia" w:ascii="宋体" w:hAnsi="宋体" w:eastAsia="宋体" w:cs="宋体"/>
                <w:kern w:val="2"/>
                <w:sz w:val="24"/>
                <w:szCs w:val="24"/>
                <w:lang w:val="zh-CN"/>
              </w:rPr>
              <w:t>监狱企业、残疾人福利性单位视同小型、微型企业，享受预留份额、评审中价格扣除等政府采购促进中小企业发展的政府采购政策，残疾人福利性单位属于小型、微型企业的，不重复享受政策。</w:t>
            </w:r>
          </w:p>
          <w:p>
            <w:pPr>
              <w:spacing w:line="400" w:lineRule="exact"/>
              <w:rPr>
                <w:rFonts w:ascii="宋体" w:hAnsi="宋体" w:eastAsia="宋体" w:cs="宋体"/>
                <w:b/>
                <w:bCs/>
                <w:kern w:val="2"/>
                <w:sz w:val="24"/>
                <w:szCs w:val="24"/>
              </w:rPr>
            </w:pPr>
            <w:r>
              <w:rPr>
                <w:rFonts w:hint="eastAsia" w:ascii="宋体" w:hAnsi="宋体" w:eastAsia="宋体" w:cs="宋体"/>
                <w:kern w:val="2"/>
                <w:sz w:val="24"/>
                <w:szCs w:val="24"/>
                <w:lang w:val="zh-CN"/>
              </w:rPr>
              <w:t>二、根据《湖北省政府采购合同融资实施方案》和《广水市财政局关于落实政府采购融资政策的通知》要求，中小微企业可凭政府采购合同到金融机构申请融资。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14</w:t>
            </w:r>
          </w:p>
        </w:tc>
        <w:tc>
          <w:tcPr>
            <w:tcW w:w="234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 xml:space="preserve">中标服务费： </w:t>
            </w:r>
          </w:p>
        </w:tc>
        <w:tc>
          <w:tcPr>
            <w:tcW w:w="6483" w:type="dxa"/>
            <w:vAlign w:val="center"/>
          </w:tcPr>
          <w:p>
            <w:pPr>
              <w:snapToGrid w:val="0"/>
              <w:spacing w:line="500" w:lineRule="exact"/>
              <w:ind w:left="1920" w:hanging="1920" w:hangingChars="800"/>
              <w:rPr>
                <w:rFonts w:ascii="宋体" w:hAnsi="宋体" w:eastAsia="宋体" w:cs="宋体"/>
                <w:kern w:val="2"/>
                <w:sz w:val="24"/>
                <w:szCs w:val="24"/>
              </w:rPr>
            </w:pPr>
            <w:r>
              <w:rPr>
                <w:rFonts w:hint="eastAsia" w:ascii="宋体" w:hAnsi="宋体" w:eastAsia="宋体" w:cs="宋体"/>
                <w:kern w:val="2"/>
                <w:sz w:val="24"/>
                <w:szCs w:val="24"/>
              </w:rPr>
              <w:t>招标代理服务费金额按原国家计委计价格[2002]1980号</w:t>
            </w:r>
          </w:p>
          <w:p>
            <w:pPr>
              <w:snapToGrid w:val="0"/>
              <w:spacing w:line="500" w:lineRule="exact"/>
              <w:ind w:left="1920" w:hanging="1920" w:hangingChars="800"/>
              <w:rPr>
                <w:rFonts w:ascii="宋体" w:hAnsi="宋体" w:eastAsia="宋体" w:cs="宋体"/>
                <w:kern w:val="2"/>
                <w:sz w:val="24"/>
                <w:szCs w:val="24"/>
              </w:rPr>
            </w:pPr>
            <w:r>
              <w:rPr>
                <w:rFonts w:hint="eastAsia" w:ascii="宋体" w:hAnsi="宋体" w:eastAsia="宋体" w:cs="宋体"/>
                <w:kern w:val="2"/>
                <w:sz w:val="24"/>
                <w:szCs w:val="24"/>
              </w:rPr>
              <w:t>《招标代理服务收费管理暂行办法》和国家</w:t>
            </w:r>
            <w:r>
              <w:rPr>
                <w:rFonts w:hint="eastAsia" w:ascii="宋体" w:hAnsi="宋体" w:eastAsia="宋体" w:cs="宋体"/>
                <w:kern w:val="2"/>
                <w:sz w:val="24"/>
                <w:szCs w:val="24"/>
                <w:lang w:eastAsia="zh-CN"/>
              </w:rPr>
              <w:t>发展和改革委</w:t>
            </w:r>
          </w:p>
          <w:p>
            <w:pPr>
              <w:snapToGrid w:val="0"/>
              <w:spacing w:line="500" w:lineRule="exact"/>
              <w:ind w:left="1920" w:hanging="1920" w:hangingChars="800"/>
              <w:rPr>
                <w:rFonts w:ascii="宋体" w:hAnsi="宋体" w:eastAsia="宋体" w:cs="宋体"/>
                <w:kern w:val="2"/>
                <w:sz w:val="24"/>
                <w:szCs w:val="24"/>
              </w:rPr>
            </w:pPr>
            <w:r>
              <w:rPr>
                <w:rFonts w:hint="eastAsia" w:ascii="宋体" w:hAnsi="宋体" w:eastAsia="宋体" w:cs="宋体"/>
                <w:kern w:val="2"/>
                <w:sz w:val="24"/>
                <w:szCs w:val="24"/>
              </w:rPr>
              <w:t>员会办公厅发改办价格[2003]857号文所规定的收费标</w:t>
            </w:r>
          </w:p>
          <w:p>
            <w:pPr>
              <w:snapToGrid w:val="0"/>
              <w:spacing w:line="500" w:lineRule="exact"/>
              <w:ind w:left="1920" w:hanging="1920" w:hangingChars="800"/>
              <w:rPr>
                <w:rFonts w:ascii="宋体" w:hAnsi="宋体" w:eastAsia="宋体" w:cs="宋体"/>
                <w:sz w:val="24"/>
                <w:szCs w:val="28"/>
              </w:rPr>
            </w:pPr>
            <w:r>
              <w:rPr>
                <w:rFonts w:hint="eastAsia" w:ascii="宋体" w:hAnsi="宋体" w:eastAsia="宋体" w:cs="宋体"/>
                <w:kern w:val="2"/>
                <w:sz w:val="24"/>
                <w:szCs w:val="24"/>
              </w:rPr>
              <w:t>准计取。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51"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15</w:t>
            </w:r>
          </w:p>
        </w:tc>
        <w:tc>
          <w:tcPr>
            <w:tcW w:w="2343" w:type="dxa"/>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磋商会议现场供应商参会人员身份核实</w:t>
            </w:r>
          </w:p>
        </w:tc>
        <w:tc>
          <w:tcPr>
            <w:tcW w:w="6483" w:type="dxa"/>
            <w:vAlign w:val="center"/>
          </w:tcPr>
          <w:p>
            <w:pPr>
              <w:snapToGrid w:val="0"/>
              <w:spacing w:line="500" w:lineRule="exact"/>
              <w:rPr>
                <w:rFonts w:ascii="宋体" w:hAnsi="宋体" w:eastAsia="宋体" w:cs="宋体"/>
                <w:b/>
                <w:kern w:val="2"/>
                <w:sz w:val="24"/>
                <w:szCs w:val="24"/>
              </w:rPr>
            </w:pPr>
            <w:r>
              <w:rPr>
                <w:rFonts w:hint="eastAsia" w:ascii="宋体" w:hAnsi="宋体" w:eastAsia="宋体" w:cs="宋体"/>
                <w:sz w:val="24"/>
                <w:szCs w:val="24"/>
              </w:rPr>
              <w:t>供应商应在网上全程关注开标程序并在指定时间内对磋商或最后报价等作出相应回复。须在发出磋商记录或最后报价后的指定时间内</w:t>
            </w:r>
            <w:r>
              <w:rPr>
                <w:rFonts w:hint="eastAsia" w:ascii="宋体" w:hAnsi="宋体" w:eastAsia="宋体" w:cs="宋体"/>
                <w:sz w:val="24"/>
                <w:szCs w:val="24"/>
                <w:lang w:eastAsia="zh-CN"/>
              </w:rPr>
              <w:t>做出</w:t>
            </w:r>
            <w:r>
              <w:rPr>
                <w:rFonts w:hint="eastAsia" w:ascii="宋体" w:hAnsi="宋体" w:eastAsia="宋体" w:cs="宋体"/>
                <w:sz w:val="24"/>
                <w:szCs w:val="24"/>
              </w:rPr>
              <w:t xml:space="preserve">相应回复。否则磋商小组可认为供应商放弃相关权利，由此产生的后果供应商自行承担。 </w:t>
            </w:r>
          </w:p>
        </w:tc>
      </w:tr>
    </w:tbl>
    <w:p>
      <w:pPr>
        <w:autoSpaceDE w:val="0"/>
        <w:autoSpaceDN w:val="0"/>
        <w:adjustRightInd w:val="0"/>
        <w:spacing w:line="276" w:lineRule="auto"/>
        <w:jc w:val="center"/>
        <w:rPr>
          <w:rFonts w:ascii="宋体" w:hAnsi="宋体" w:eastAsia="宋体" w:cs="宋体"/>
          <w:sz w:val="18"/>
          <w:szCs w:val="18"/>
          <w:lang w:val="zh-CN"/>
        </w:rPr>
      </w:pPr>
    </w:p>
    <w:p>
      <w:pPr>
        <w:rPr>
          <w:rFonts w:eastAsia="宋体" w:cs="宋体"/>
          <w:lang w:val="zh-CN"/>
        </w:rPr>
      </w:pPr>
      <w:bookmarkStart w:id="35" w:name="_Toc13909"/>
    </w:p>
    <w:p>
      <w:pPr>
        <w:pStyle w:val="10"/>
        <w:ind w:left="640"/>
        <w:rPr>
          <w:lang w:val="zh-CN"/>
        </w:rPr>
      </w:pPr>
    </w:p>
    <w:p>
      <w:pPr>
        <w:pStyle w:val="4"/>
        <w:snapToGrid w:val="0"/>
        <w:spacing w:line="560" w:lineRule="exact"/>
        <w:rPr>
          <w:rFonts w:cs="宋体"/>
          <w:lang w:val="zh-CN"/>
        </w:rPr>
      </w:pPr>
      <w:bookmarkStart w:id="36" w:name="_Toc8224"/>
      <w:r>
        <w:rPr>
          <w:rFonts w:hint="eastAsia" w:cs="宋体"/>
          <w:lang w:val="zh-CN"/>
        </w:rPr>
        <w:t>第三部分 磋商供应商须知</w:t>
      </w:r>
      <w:bookmarkEnd w:id="35"/>
      <w:bookmarkEnd w:id="36"/>
    </w:p>
    <w:p>
      <w:pPr>
        <w:autoSpaceDE w:val="0"/>
        <w:autoSpaceDN w:val="0"/>
        <w:adjustRightInd w:val="0"/>
        <w:spacing w:line="440" w:lineRule="exact"/>
        <w:outlineLvl w:val="0"/>
        <w:rPr>
          <w:rFonts w:ascii="宋体" w:hAnsi="宋体" w:eastAsia="宋体" w:cs="宋体"/>
          <w:b/>
          <w:bCs/>
          <w:sz w:val="24"/>
          <w:szCs w:val="28"/>
          <w:lang w:val="zh-CN"/>
        </w:rPr>
      </w:pPr>
      <w:bookmarkStart w:id="37" w:name="_Toc4261"/>
      <w:bookmarkStart w:id="38" w:name="_Toc1653"/>
      <w:bookmarkStart w:id="39" w:name="_Toc29208"/>
      <w:bookmarkStart w:id="40" w:name="_Toc22985"/>
      <w:r>
        <w:rPr>
          <w:rFonts w:hint="eastAsia" w:ascii="宋体" w:hAnsi="宋体" w:eastAsia="宋体" w:cs="宋体"/>
          <w:b/>
          <w:bCs/>
          <w:sz w:val="24"/>
          <w:szCs w:val="28"/>
          <w:lang w:val="zh-CN"/>
        </w:rPr>
        <w:t>A说明</w:t>
      </w:r>
      <w:bookmarkEnd w:id="37"/>
      <w:bookmarkEnd w:id="38"/>
      <w:bookmarkEnd w:id="39"/>
      <w:bookmarkEnd w:id="40"/>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lang w:val="zh-CN"/>
        </w:rPr>
        <w:t>1.适用范围：</w:t>
      </w:r>
    </w:p>
    <w:p>
      <w:pPr>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1.1本次竞争性磋商文件仅适用于本次竞争性磋商公告中所叙述的</w:t>
      </w:r>
      <w:r>
        <w:rPr>
          <w:rFonts w:hint="eastAsia" w:ascii="宋体" w:hAnsi="宋体" w:eastAsia="宋体" w:cs="宋体"/>
          <w:sz w:val="24"/>
          <w:szCs w:val="28"/>
        </w:rPr>
        <w:t>广水市文化和旅游局图书馆新馆图书采购及数字化建设项目。</w:t>
      </w:r>
    </w:p>
    <w:p>
      <w:pPr>
        <w:autoSpaceDE w:val="0"/>
        <w:autoSpaceDN w:val="0"/>
        <w:adjustRightIn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1.2本竞争性磋商文件的解释权属于广水市文化和旅游局和湖北楚振捷工程项目管理有限公司。</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lang w:val="zh-CN"/>
        </w:rPr>
        <w:t>2.定义</w:t>
      </w:r>
    </w:p>
    <w:p>
      <w:pPr>
        <w:autoSpaceDE w:val="0"/>
        <w:autoSpaceDN w:val="0"/>
        <w:adjustRightInd w:val="0"/>
        <w:spacing w:line="420" w:lineRule="exact"/>
        <w:ind w:firstLine="560"/>
        <w:rPr>
          <w:rFonts w:ascii="宋体" w:hAnsi="宋体" w:eastAsia="宋体" w:cs="宋体"/>
          <w:sz w:val="24"/>
          <w:szCs w:val="28"/>
          <w:lang w:val="zh-CN"/>
        </w:rPr>
      </w:pPr>
      <w:r>
        <w:rPr>
          <w:rFonts w:hint="eastAsia" w:ascii="宋体" w:hAnsi="宋体" w:eastAsia="宋体" w:cs="宋体"/>
          <w:sz w:val="24"/>
          <w:szCs w:val="28"/>
          <w:lang w:val="zh-CN"/>
        </w:rPr>
        <w:t>2.1“采购人” 见磋商供应商须知前附表。</w:t>
      </w:r>
    </w:p>
    <w:p>
      <w:pPr>
        <w:autoSpaceDE w:val="0"/>
        <w:autoSpaceDN w:val="0"/>
        <w:adjustRightInd w:val="0"/>
        <w:spacing w:line="420" w:lineRule="exact"/>
        <w:ind w:firstLine="560"/>
        <w:rPr>
          <w:rFonts w:ascii="宋体" w:hAnsi="宋体" w:eastAsia="宋体" w:cs="宋体"/>
          <w:sz w:val="24"/>
          <w:szCs w:val="28"/>
          <w:lang w:val="zh-CN"/>
        </w:rPr>
      </w:pPr>
      <w:r>
        <w:rPr>
          <w:rFonts w:hint="eastAsia" w:ascii="宋体" w:hAnsi="宋体" w:eastAsia="宋体" w:cs="宋体"/>
          <w:sz w:val="24"/>
          <w:szCs w:val="28"/>
          <w:lang w:val="zh-CN"/>
        </w:rPr>
        <w:t>2.2“采购代理机构” 见磋商供应商须知前附表。</w:t>
      </w:r>
    </w:p>
    <w:p>
      <w:pPr>
        <w:autoSpaceDE w:val="0"/>
        <w:autoSpaceDN w:val="0"/>
        <w:adjustRightInd w:val="0"/>
        <w:spacing w:line="420" w:lineRule="exact"/>
        <w:ind w:firstLine="560"/>
        <w:rPr>
          <w:rFonts w:ascii="宋体" w:hAnsi="宋体" w:eastAsia="宋体" w:cs="宋体"/>
          <w:sz w:val="24"/>
          <w:szCs w:val="28"/>
          <w:lang w:val="zh-CN"/>
        </w:rPr>
      </w:pPr>
      <w:r>
        <w:rPr>
          <w:rFonts w:hint="eastAsia" w:ascii="宋体" w:hAnsi="宋体" w:eastAsia="宋体" w:cs="宋体"/>
          <w:sz w:val="24"/>
          <w:szCs w:val="28"/>
          <w:lang w:val="zh-CN"/>
        </w:rPr>
        <w:t>2.3“磋商供应商”指符合竞争性磋商文件规定的各项条件，按时参加磋商的供应商。</w:t>
      </w:r>
    </w:p>
    <w:p>
      <w:pPr>
        <w:autoSpaceDE w:val="0"/>
        <w:autoSpaceDN w:val="0"/>
        <w:adjustRightInd w:val="0"/>
        <w:spacing w:before="15" w:after="15" w:line="420" w:lineRule="exact"/>
        <w:ind w:firstLine="549"/>
        <w:rPr>
          <w:rFonts w:ascii="宋体" w:hAnsi="宋体" w:eastAsia="宋体" w:cs="宋体"/>
          <w:sz w:val="24"/>
          <w:szCs w:val="28"/>
          <w:lang w:val="zh-CN"/>
        </w:rPr>
      </w:pPr>
      <w:r>
        <w:rPr>
          <w:rFonts w:hint="eastAsia" w:ascii="宋体" w:hAnsi="宋体" w:eastAsia="宋体" w:cs="宋体"/>
          <w:sz w:val="24"/>
          <w:szCs w:val="28"/>
          <w:lang w:val="zh-CN"/>
        </w:rPr>
        <w:t>2.4“货物”指磋商供应商按竞争性磋商文件规定需向采购人提供的产品及其他相关的证明资料和材料。</w:t>
      </w:r>
    </w:p>
    <w:p>
      <w:pPr>
        <w:autoSpaceDE w:val="0"/>
        <w:autoSpaceDN w:val="0"/>
        <w:adjustRightInd w:val="0"/>
        <w:spacing w:line="420" w:lineRule="exact"/>
        <w:ind w:firstLine="560"/>
        <w:rPr>
          <w:rFonts w:ascii="宋体" w:hAnsi="宋体" w:eastAsia="宋体" w:cs="宋体"/>
          <w:sz w:val="24"/>
          <w:szCs w:val="28"/>
          <w:lang w:val="zh-CN"/>
        </w:rPr>
      </w:pPr>
      <w:r>
        <w:rPr>
          <w:rFonts w:hint="eastAsia" w:ascii="宋体" w:hAnsi="宋体" w:eastAsia="宋体" w:cs="宋体"/>
          <w:sz w:val="24"/>
          <w:szCs w:val="28"/>
          <w:lang w:val="zh-CN"/>
        </w:rPr>
        <w:t>2.5“服务”指竞争性磋商文件规定磋商供应商须承担的施工、维修、维护和其他类似的义务。</w:t>
      </w:r>
    </w:p>
    <w:p>
      <w:pPr>
        <w:autoSpaceDE w:val="0"/>
        <w:autoSpaceDN w:val="0"/>
        <w:adjustRightInd w:val="0"/>
        <w:spacing w:line="420" w:lineRule="exact"/>
        <w:ind w:firstLine="560"/>
        <w:rPr>
          <w:rFonts w:ascii="宋体" w:hAnsi="宋体" w:eastAsia="宋体" w:cs="宋体"/>
          <w:sz w:val="24"/>
          <w:szCs w:val="28"/>
          <w:lang w:val="zh-CN"/>
        </w:rPr>
      </w:pPr>
      <w:r>
        <w:rPr>
          <w:rFonts w:hint="eastAsia" w:ascii="宋体" w:hAnsi="宋体" w:eastAsia="宋体" w:cs="宋体"/>
          <w:sz w:val="24"/>
          <w:szCs w:val="28"/>
          <w:lang w:val="zh-CN"/>
        </w:rPr>
        <w:t>2.6“响应性文件”指磋商供应商响应本竞争性磋商文件要求编制并在规定时间内提交的文件。</w:t>
      </w:r>
    </w:p>
    <w:p>
      <w:pPr>
        <w:tabs>
          <w:tab w:val="left" w:pos="6830"/>
        </w:tabs>
        <w:autoSpaceDE w:val="0"/>
        <w:autoSpaceDN w:val="0"/>
        <w:adjustRightInd w:val="0"/>
        <w:spacing w:line="420" w:lineRule="exact"/>
        <w:ind w:right="6" w:firstLine="560"/>
        <w:jc w:val="left"/>
        <w:rPr>
          <w:rFonts w:ascii="宋体" w:hAnsi="宋体" w:eastAsia="宋体" w:cs="宋体"/>
          <w:sz w:val="24"/>
          <w:szCs w:val="28"/>
          <w:lang w:val="zh-CN"/>
        </w:rPr>
      </w:pPr>
      <w:r>
        <w:rPr>
          <w:rFonts w:hint="eastAsia" w:ascii="宋体" w:hAnsi="宋体" w:eastAsia="宋体" w:cs="宋体"/>
          <w:sz w:val="24"/>
          <w:szCs w:val="28"/>
          <w:lang w:val="zh-CN"/>
        </w:rPr>
        <w:t>2.7“成交供应商”指接到采购人签发的成交通知书，最终被授予合同的供应商。</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lang w:val="zh-CN"/>
        </w:rPr>
        <w:t>3.合格的磋商供应商</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3.1、满足《中华人民共和国政府采购法》第二十二条规定，提供下列材料；</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3.1.1具有独立承担民事责任的能力；</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3.1.2具有良好的商业信誉和健全的财务会计制度；</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3.1.3具有履行合同所必需的设备和专业技术能力；</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3.1.4有依法缴纳税收和社会保障资金的良好记录；</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3.1.5参加政府采购活动前三年内，在经营活动中没有重大违法记录；</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3.1.6法律、行政法规规定的其他条件。</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lang w:val="zh-CN"/>
        </w:rPr>
        <w:t>3.2、单位负责人为同一人或者存在直接控股、管理关系的不同投标人，不得参加本项目同一合同项下的政府采购活动。</w:t>
      </w:r>
    </w:p>
    <w:p>
      <w:pPr>
        <w:autoSpaceDE w:val="0"/>
        <w:autoSpaceDN w:val="0"/>
        <w:adjustRightInd w:val="0"/>
        <w:spacing w:line="440" w:lineRule="exact"/>
        <w:ind w:firstLine="561"/>
        <w:rPr>
          <w:rFonts w:ascii="宋体" w:hAnsi="宋体" w:eastAsia="宋体" w:cs="宋体"/>
          <w:sz w:val="24"/>
          <w:szCs w:val="28"/>
          <w:lang w:val="zh-CN"/>
        </w:rPr>
      </w:pPr>
      <w:r>
        <w:rPr>
          <w:rFonts w:hint="eastAsia" w:ascii="宋体" w:hAnsi="宋体" w:eastAsia="宋体" w:cs="宋体"/>
          <w:sz w:val="24"/>
          <w:szCs w:val="28"/>
        </w:rPr>
        <w:t>3.</w:t>
      </w:r>
      <w:r>
        <w:rPr>
          <w:rFonts w:hint="eastAsia" w:ascii="宋体" w:hAnsi="宋体" w:eastAsia="宋体" w:cs="宋体"/>
          <w:sz w:val="24"/>
          <w:szCs w:val="28"/>
          <w:lang w:val="zh-CN"/>
        </w:rPr>
        <w:t>3、为本采购项目提供整体设计、规范编制或者项目管理、监理、检测等服务的，不得再参加本项目的其他招标采购活动。</w:t>
      </w:r>
    </w:p>
    <w:p>
      <w:pPr>
        <w:autoSpaceDE w:val="0"/>
        <w:autoSpaceDN w:val="0"/>
        <w:adjustRightInd w:val="0"/>
        <w:spacing w:line="440" w:lineRule="exact"/>
        <w:ind w:firstLine="560"/>
        <w:rPr>
          <w:rFonts w:ascii="宋体" w:hAnsi="宋体" w:eastAsia="宋体" w:cs="宋体"/>
          <w:sz w:val="24"/>
          <w:szCs w:val="28"/>
          <w:lang w:val="zh-CN"/>
        </w:rPr>
      </w:pPr>
      <w:r>
        <w:rPr>
          <w:rFonts w:hint="eastAsia" w:ascii="宋体" w:hAnsi="宋体" w:eastAsia="宋体" w:cs="宋体"/>
          <w:sz w:val="24"/>
          <w:szCs w:val="28"/>
        </w:rPr>
        <w:t>3.</w:t>
      </w:r>
      <w:r>
        <w:rPr>
          <w:rFonts w:hint="eastAsia" w:ascii="宋体" w:hAnsi="宋体" w:eastAsia="宋体" w:cs="宋体"/>
          <w:sz w:val="24"/>
          <w:szCs w:val="28"/>
          <w:lang w:val="zh-CN"/>
        </w:rPr>
        <w:t>4、未被列入失信被执行人、重大税收违法案件当事人名单，未被列入政府采购严重违法失信行为记录名单。</w:t>
      </w:r>
    </w:p>
    <w:p>
      <w:pPr>
        <w:autoSpaceDE w:val="0"/>
        <w:autoSpaceDN w:val="0"/>
        <w:adjustRightInd w:val="0"/>
        <w:spacing w:line="440" w:lineRule="exact"/>
        <w:ind w:firstLine="560"/>
        <w:rPr>
          <w:rFonts w:ascii="宋体" w:hAnsi="宋体" w:eastAsia="宋体" w:cs="宋体"/>
          <w:sz w:val="24"/>
          <w:szCs w:val="28"/>
          <w:lang w:val="zh-CN"/>
        </w:rPr>
      </w:pPr>
      <w:r>
        <w:rPr>
          <w:rFonts w:hint="eastAsia" w:ascii="宋体" w:hAnsi="宋体" w:eastAsia="宋体" w:cs="宋体"/>
          <w:sz w:val="24"/>
          <w:szCs w:val="28"/>
        </w:rPr>
        <w:t>3.</w:t>
      </w:r>
      <w:r>
        <w:rPr>
          <w:rFonts w:hint="eastAsia" w:ascii="宋体" w:hAnsi="宋体" w:eastAsia="宋体" w:cs="宋体"/>
          <w:sz w:val="24"/>
          <w:szCs w:val="28"/>
          <w:lang w:val="zh-CN"/>
        </w:rPr>
        <w:t>5、落实政府采购政策需满足的资格要求：</w:t>
      </w:r>
      <w:r>
        <w:rPr>
          <w:rFonts w:hint="eastAsia" w:ascii="宋体" w:hAnsi="宋体" w:eastAsia="宋体" w:cs="宋体"/>
          <w:sz w:val="24"/>
          <w:szCs w:val="28"/>
        </w:rPr>
        <w:t>本项目专门面向中小企业采购</w:t>
      </w:r>
      <w:r>
        <w:rPr>
          <w:rFonts w:hint="eastAsia" w:ascii="宋体" w:hAnsi="宋体" w:eastAsia="宋体" w:cs="宋体"/>
          <w:sz w:val="24"/>
          <w:szCs w:val="28"/>
          <w:lang w:val="zh-CN"/>
        </w:rPr>
        <w:t>。</w:t>
      </w:r>
    </w:p>
    <w:p>
      <w:pPr>
        <w:pStyle w:val="1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8"/>
          <w:szCs w:val="28"/>
          <w:highlight w:val="none"/>
        </w:rPr>
        <w:t>一包</w:t>
      </w:r>
      <w:r>
        <w:rPr>
          <w:rFonts w:hint="eastAsia" w:ascii="宋体" w:hAnsi="宋体" w:eastAsia="宋体" w:cs="宋体"/>
          <w:color w:val="auto"/>
          <w:sz w:val="24"/>
          <w:szCs w:val="24"/>
          <w:highlight w:val="none"/>
          <w:lang w:val="en-US" w:eastAsia="zh-CN" w:bidi="ar-SA"/>
        </w:rPr>
        <w:t>：</w:t>
      </w:r>
    </w:p>
    <w:p>
      <w:pPr>
        <w:pStyle w:val="1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3.5.1须具有中华人民共和国颁发的《中华人民共和国出版物经营许可证》</w:t>
      </w:r>
    </w:p>
    <w:p>
      <w:pPr>
        <w:widowControl/>
        <w:adjustRightInd w:val="0"/>
        <w:snapToGrid w:val="0"/>
        <w:spacing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3.5.2</w:t>
      </w:r>
      <w:r>
        <w:rPr>
          <w:rFonts w:hint="eastAsia" w:ascii="宋体" w:hAnsi="宋体" w:eastAsia="宋体" w:cs="宋体"/>
          <w:color w:val="auto"/>
          <w:sz w:val="24"/>
          <w:szCs w:val="24"/>
          <w:highlight w:val="none"/>
        </w:rPr>
        <w:t>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信用服务栏查询失信被执行人查询、重大税收违法案件和“中国政府采购”网（www.ccgp.gov.cn）政府采购严重违法失信行为记录名单，并提供网页截图以证明；</w:t>
      </w:r>
    </w:p>
    <w:p>
      <w:pPr>
        <w:pStyle w:val="10"/>
        <w:ind w:left="0" w:leftChars="0" w:firstLine="0" w:firstLineChars="0"/>
        <w:rPr>
          <w:rFonts w:eastAsia="宋体"/>
          <w:color w:val="auto"/>
          <w:highlight w:val="none"/>
        </w:rPr>
      </w:pPr>
      <w:r>
        <w:rPr>
          <w:rFonts w:hint="eastAsia" w:ascii="宋体" w:hAnsi="宋体" w:eastAsia="宋体" w:cs="宋体"/>
          <w:color w:val="auto"/>
          <w:sz w:val="24"/>
          <w:highlight w:val="none"/>
        </w:rPr>
        <w:t>二包：</w:t>
      </w:r>
    </w:p>
    <w:p>
      <w:pPr>
        <w:widowControl/>
        <w:adjustRightInd w:val="0"/>
        <w:snapToGrid w:val="0"/>
        <w:spacing w:line="360" w:lineRule="auto"/>
        <w:jc w:val="left"/>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信用服务栏查询失信被执行人查询、重大税收违法案件和“中国政府采购”网（www.ccgp.gov.cn）政府采购严重违法失信行为记录名单，并提供网页截图以证明；</w:t>
      </w:r>
    </w:p>
    <w:p>
      <w:pPr>
        <w:autoSpaceDE w:val="0"/>
        <w:autoSpaceDN w:val="0"/>
        <w:adjustRightInd w:val="0"/>
        <w:spacing w:line="440" w:lineRule="exact"/>
        <w:rPr>
          <w:rFonts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lang w:val="en-US" w:eastAsia="zh-CN"/>
        </w:rPr>
        <w:t>6</w:t>
      </w:r>
      <w:r>
        <w:rPr>
          <w:rFonts w:hint="eastAsia" w:ascii="宋体" w:hAnsi="宋体" w:eastAsia="宋体" w:cs="宋体"/>
          <w:sz w:val="24"/>
          <w:szCs w:val="28"/>
        </w:rPr>
        <w:t>、</w:t>
      </w:r>
      <w:r>
        <w:rPr>
          <w:rFonts w:hint="eastAsia" w:ascii="宋体" w:hAnsi="宋体" w:eastAsia="宋体" w:cs="宋体"/>
          <w:sz w:val="24"/>
          <w:szCs w:val="28"/>
          <w:lang w:val="zh-CN"/>
        </w:rPr>
        <w:t>由于政府采购项目的差异性，供应商在参与具体政府采购项目活动时，还要仔细阅读该项目（或包）的特定资质及相关要求。</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lang w:val="zh-CN"/>
        </w:rPr>
        <w:t>4.磋商费用</w:t>
      </w:r>
    </w:p>
    <w:p>
      <w:pPr>
        <w:spacing w:line="440" w:lineRule="exact"/>
        <w:ind w:firstLine="480" w:firstLineChars="200"/>
        <w:rPr>
          <w:rFonts w:ascii="宋体" w:hAnsi="宋体" w:eastAsia="宋体" w:cs="宋体"/>
          <w:sz w:val="24"/>
        </w:rPr>
      </w:pPr>
      <w:r>
        <w:rPr>
          <w:rFonts w:hint="eastAsia" w:ascii="宋体" w:hAnsi="宋体" w:eastAsia="宋体" w:cs="宋体"/>
          <w:sz w:val="24"/>
        </w:rPr>
        <w:t>4.1供应商应自行承担所有与参加磋商有关的费用。不论磋商的结果如何，招标人和采购代理机构在任何情况下均无义务和责任承担这些费用。</w:t>
      </w:r>
    </w:p>
    <w:p>
      <w:pPr>
        <w:spacing w:line="440" w:lineRule="exact"/>
        <w:ind w:firstLine="480" w:firstLineChars="200"/>
        <w:rPr>
          <w:rFonts w:ascii="宋体" w:hAnsi="宋体" w:eastAsia="宋体" w:cs="宋体"/>
          <w:kern w:val="2"/>
          <w:sz w:val="24"/>
          <w:szCs w:val="24"/>
        </w:rPr>
      </w:pPr>
      <w:r>
        <w:rPr>
          <w:rFonts w:hint="eastAsia" w:ascii="宋体" w:hAnsi="宋体" w:eastAsia="宋体" w:cs="宋体"/>
          <w:sz w:val="24"/>
        </w:rPr>
        <w:t>4.2招标代理服务费金额按原国家计委计价格[2002]1980号《招标代理服务收费管理暂行办法》和</w:t>
      </w:r>
      <w:r>
        <w:rPr>
          <w:rFonts w:hint="eastAsia" w:ascii="宋体" w:hAnsi="宋体" w:eastAsia="宋体" w:cs="宋体"/>
          <w:sz w:val="24"/>
          <w:lang w:eastAsia="zh-CN"/>
        </w:rPr>
        <w:t>国家发展和改革委员会</w:t>
      </w:r>
      <w:r>
        <w:rPr>
          <w:rFonts w:hint="eastAsia" w:ascii="宋体" w:hAnsi="宋体" w:eastAsia="宋体" w:cs="宋体"/>
          <w:sz w:val="24"/>
        </w:rPr>
        <w:t>办公厅发改办价格[2003]857号文所规定的收费标</w:t>
      </w:r>
      <w:r>
        <w:rPr>
          <w:rFonts w:hint="eastAsia" w:ascii="宋体" w:hAnsi="宋体" w:eastAsia="宋体" w:cs="宋体"/>
          <w:kern w:val="2"/>
          <w:sz w:val="24"/>
          <w:szCs w:val="24"/>
        </w:rPr>
        <w:t>准计取。</w:t>
      </w:r>
    </w:p>
    <w:p>
      <w:pPr>
        <w:autoSpaceDE w:val="0"/>
        <w:autoSpaceDN w:val="0"/>
        <w:adjustRightInd w:val="0"/>
        <w:spacing w:line="440" w:lineRule="exact"/>
        <w:outlineLvl w:val="0"/>
        <w:rPr>
          <w:rFonts w:ascii="宋体" w:hAnsi="宋体" w:eastAsia="宋体" w:cs="宋体"/>
          <w:b/>
          <w:bCs/>
          <w:sz w:val="24"/>
          <w:szCs w:val="28"/>
          <w:lang w:val="zh-CN"/>
        </w:rPr>
      </w:pPr>
      <w:bookmarkStart w:id="41" w:name="_Toc11564"/>
      <w:bookmarkStart w:id="42" w:name="_Toc13914"/>
      <w:bookmarkStart w:id="43" w:name="_Toc4387"/>
      <w:bookmarkStart w:id="44" w:name="_Toc11879"/>
      <w:r>
        <w:rPr>
          <w:rFonts w:hint="eastAsia" w:ascii="宋体" w:hAnsi="宋体" w:eastAsia="宋体" w:cs="宋体"/>
          <w:b/>
          <w:bCs/>
          <w:sz w:val="24"/>
          <w:szCs w:val="28"/>
          <w:lang w:val="zh-CN"/>
        </w:rPr>
        <w:t>B.磋商说明</w:t>
      </w:r>
      <w:bookmarkEnd w:id="41"/>
      <w:bookmarkEnd w:id="42"/>
      <w:bookmarkEnd w:id="43"/>
      <w:bookmarkEnd w:id="44"/>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rPr>
        <w:t>5</w:t>
      </w:r>
      <w:r>
        <w:rPr>
          <w:rFonts w:hint="eastAsia" w:ascii="宋体" w:hAnsi="宋体" w:eastAsia="宋体" w:cs="宋体"/>
          <w:b/>
          <w:bCs/>
          <w:sz w:val="24"/>
          <w:szCs w:val="28"/>
          <w:lang w:val="zh-CN"/>
        </w:rPr>
        <w:t>.竞争性磋商文件的构成</w:t>
      </w:r>
    </w:p>
    <w:p>
      <w:pPr>
        <w:autoSpaceDE w:val="0"/>
        <w:autoSpaceDN w:val="0"/>
        <w:adjustRightInd w:val="0"/>
        <w:spacing w:line="440" w:lineRule="exact"/>
        <w:ind w:firstLine="354" w:firstLineChars="147"/>
        <w:rPr>
          <w:rFonts w:ascii="宋体" w:hAnsi="宋体" w:eastAsia="宋体" w:cs="宋体"/>
          <w:b/>
          <w:bCs/>
          <w:sz w:val="24"/>
          <w:szCs w:val="28"/>
          <w:lang w:val="zh-CN"/>
        </w:rPr>
      </w:pPr>
      <w:r>
        <w:rPr>
          <w:rFonts w:hint="eastAsia" w:ascii="宋体" w:hAnsi="宋体" w:eastAsia="宋体" w:cs="宋体"/>
          <w:b/>
          <w:bCs/>
          <w:sz w:val="24"/>
          <w:szCs w:val="28"/>
          <w:lang w:val="zh-CN"/>
        </w:rPr>
        <w:t>供应商应完整地按磋商文件提供的磋商响应文件格式填写磋商响应文件，磋商响应文件应包括以下内容：</w:t>
      </w:r>
    </w:p>
    <w:p>
      <w:pPr>
        <w:autoSpaceDE w:val="0"/>
        <w:autoSpaceDN w:val="0"/>
        <w:adjustRightInd w:val="0"/>
        <w:spacing w:line="440" w:lineRule="exact"/>
        <w:ind w:left="483"/>
        <w:rPr>
          <w:rFonts w:ascii="宋体" w:hAnsi="宋体" w:eastAsia="宋体" w:cs="宋体"/>
          <w:sz w:val="24"/>
          <w:szCs w:val="28"/>
          <w:lang w:val="zh-CN"/>
        </w:rPr>
      </w:pPr>
      <w:r>
        <w:rPr>
          <w:rFonts w:hint="eastAsia" w:ascii="宋体" w:hAnsi="宋体" w:eastAsia="宋体" w:cs="宋体"/>
          <w:sz w:val="24"/>
          <w:szCs w:val="28"/>
          <w:lang w:val="zh-CN"/>
        </w:rPr>
        <w:t>竞争性磋商文件用以阐明所需货物及相关服务、磋商程序、磋商标准和合同条款等，</w:t>
      </w:r>
    </w:p>
    <w:p>
      <w:pPr>
        <w:autoSpaceDE w:val="0"/>
        <w:autoSpaceDN w:val="0"/>
        <w:adjustRightInd w:val="0"/>
        <w:spacing w:line="440" w:lineRule="exact"/>
        <w:rPr>
          <w:rFonts w:ascii="宋体" w:hAnsi="宋体" w:eastAsia="宋体" w:cs="宋体"/>
          <w:sz w:val="24"/>
          <w:szCs w:val="28"/>
          <w:lang w:val="zh-CN"/>
        </w:rPr>
      </w:pPr>
      <w:r>
        <w:rPr>
          <w:rFonts w:hint="eastAsia" w:ascii="宋体" w:hAnsi="宋体" w:eastAsia="宋体" w:cs="宋体"/>
          <w:sz w:val="24"/>
          <w:szCs w:val="28"/>
          <w:lang w:val="zh-CN"/>
        </w:rPr>
        <w:t>由下述部分组成：</w:t>
      </w:r>
    </w:p>
    <w:p>
      <w:pPr>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（1）竞争性磋商公告</w:t>
      </w:r>
    </w:p>
    <w:p>
      <w:pPr>
        <w:tabs>
          <w:tab w:val="left" w:pos="540"/>
        </w:tabs>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（2）磋商供应商须知前附表</w:t>
      </w:r>
    </w:p>
    <w:p>
      <w:pPr>
        <w:tabs>
          <w:tab w:val="left" w:pos="540"/>
        </w:tabs>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（3）磋商供应商须知</w:t>
      </w:r>
    </w:p>
    <w:p>
      <w:pPr>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（4）合同范本（参考样本）</w:t>
      </w:r>
    </w:p>
    <w:p>
      <w:pPr>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（5）采购要求及内容</w:t>
      </w:r>
    </w:p>
    <w:p>
      <w:pPr>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（6）磋商办法</w:t>
      </w:r>
    </w:p>
    <w:p>
      <w:pPr>
        <w:autoSpaceDE w:val="0"/>
        <w:autoSpaceDN w:val="0"/>
        <w:adjustRightInd w:val="0"/>
        <w:spacing w:line="440" w:lineRule="exact"/>
        <w:ind w:firstLine="420"/>
        <w:rPr>
          <w:rFonts w:ascii="宋体" w:hAnsi="宋体" w:eastAsia="宋体" w:cs="宋体"/>
          <w:sz w:val="24"/>
          <w:szCs w:val="28"/>
          <w:lang w:val="zh-CN"/>
        </w:rPr>
      </w:pPr>
      <w:r>
        <w:rPr>
          <w:rFonts w:hint="eastAsia" w:ascii="宋体" w:hAnsi="宋体" w:eastAsia="宋体" w:cs="宋体"/>
          <w:sz w:val="24"/>
          <w:szCs w:val="28"/>
          <w:lang w:val="zh-CN"/>
        </w:rPr>
        <w:t>（7）响应性文件格式</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rPr>
        <w:t>6</w:t>
      </w:r>
      <w:r>
        <w:rPr>
          <w:rFonts w:hint="eastAsia" w:ascii="宋体" w:hAnsi="宋体" w:eastAsia="宋体" w:cs="宋体"/>
          <w:b/>
          <w:bCs/>
          <w:sz w:val="24"/>
          <w:szCs w:val="28"/>
          <w:lang w:val="zh-CN"/>
        </w:rPr>
        <w:t>.竞争性磋商文件条款</w:t>
      </w:r>
    </w:p>
    <w:p>
      <w:pPr>
        <w:spacing w:line="440" w:lineRule="exact"/>
        <w:ind w:firstLine="472" w:firstLineChars="196"/>
        <w:rPr>
          <w:rFonts w:ascii="宋体" w:hAnsi="宋体" w:eastAsia="宋体" w:cs="宋体"/>
          <w:b/>
          <w:sz w:val="24"/>
          <w:szCs w:val="24"/>
          <w:lang w:val="zh-CN"/>
        </w:rPr>
      </w:pPr>
      <w:r>
        <w:rPr>
          <w:rFonts w:hint="eastAsia" w:ascii="宋体" w:hAnsi="宋体" w:eastAsia="宋体" w:cs="宋体"/>
          <w:b/>
          <w:sz w:val="24"/>
          <w:szCs w:val="24"/>
          <w:lang w:val="zh-CN"/>
        </w:rPr>
        <w:t>供应商一旦参加本项目的磋商，即被认为接受了本竞争性磋商文件中所有条款。</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rPr>
        <w:t>7</w:t>
      </w:r>
      <w:r>
        <w:rPr>
          <w:rFonts w:hint="eastAsia" w:ascii="宋体" w:hAnsi="宋体" w:eastAsia="宋体" w:cs="宋体"/>
          <w:b/>
          <w:bCs/>
          <w:sz w:val="24"/>
          <w:szCs w:val="28"/>
          <w:lang w:val="zh-CN"/>
        </w:rPr>
        <w:t>.竞争性磋商文件的修改与补充</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7.1 供应商应仔细阅读和检查磋商文件的全部内容。如对磋商文件有任何疑问，应以书面形式要求采购人、采购代理机构对磋商文件予以澄清。</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7.2 采购人对采购文件的澄清通过“电子交易平台”发出，但不指明澄清问题的来源。如果澄清通知发出的时间距供应商须知前附表第 8 项规定的投标截止时间不足7 个工作日，并且澄清的内容影响响应文件编制的，相应延长投标截止时间。</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7.3 采购人可以书面形式修改磋商文件，并通过“电子交易平台”发出。如果修改通知发出的时间距供应商须知前附表第 8 项规定的投标截止时间不足7 个工作日，并且修改的内容影响响应文件编制的，相应延长投标截止时间。</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7.4 供应商应实时关注“电子交易台”上发出的澄清与修改通知，因供应商自身原因未及时获知澄清与修改内容而导致的任何后果将由供应商自行承担。</w:t>
      </w:r>
    </w:p>
    <w:p>
      <w:pPr>
        <w:tabs>
          <w:tab w:val="left" w:pos="720"/>
        </w:tabs>
        <w:snapToGrid w:val="0"/>
        <w:spacing w:line="440" w:lineRule="exact"/>
        <w:ind w:firstLine="426" w:firstLineChars="177"/>
        <w:rPr>
          <w:rFonts w:ascii="宋体" w:hAnsi="宋体" w:eastAsia="宋体" w:cs="Arial"/>
          <w:b/>
          <w:bCs/>
          <w:kern w:val="2"/>
          <w:sz w:val="24"/>
          <w:szCs w:val="24"/>
        </w:rPr>
      </w:pPr>
      <w:r>
        <w:rPr>
          <w:rFonts w:hint="eastAsia" w:ascii="宋体" w:hAnsi="宋体" w:eastAsia="宋体" w:cs="Arial"/>
          <w:b/>
          <w:bCs/>
          <w:kern w:val="2"/>
          <w:sz w:val="24"/>
          <w:szCs w:val="24"/>
        </w:rPr>
        <w:t>7.5</w:t>
      </w:r>
      <w:r>
        <w:rPr>
          <w:rFonts w:hint="eastAsia" w:ascii="宋体" w:hAnsi="宋体" w:eastAsia="宋体"/>
          <w:b/>
          <w:bCs/>
          <w:kern w:val="2"/>
          <w:sz w:val="24"/>
          <w:szCs w:val="24"/>
        </w:rPr>
        <w:t>当磋商文件的澄清、修改、补充等在同一内容的表述上不一致时，以最后发出的为准。</w:t>
      </w:r>
    </w:p>
    <w:p>
      <w:pPr>
        <w:autoSpaceDE w:val="0"/>
        <w:autoSpaceDN w:val="0"/>
        <w:adjustRightInd w:val="0"/>
        <w:spacing w:line="440" w:lineRule="exact"/>
        <w:outlineLvl w:val="0"/>
        <w:rPr>
          <w:rFonts w:ascii="宋体" w:hAnsi="宋体" w:eastAsia="宋体" w:cs="宋体"/>
          <w:b/>
          <w:bCs/>
          <w:sz w:val="24"/>
          <w:szCs w:val="28"/>
          <w:lang w:val="zh-CN"/>
        </w:rPr>
      </w:pPr>
      <w:bookmarkStart w:id="45" w:name="_Toc15699"/>
      <w:bookmarkStart w:id="46" w:name="_Toc22750"/>
      <w:bookmarkStart w:id="47" w:name="_Toc6347"/>
      <w:bookmarkStart w:id="48" w:name="_Toc21692"/>
      <w:r>
        <w:rPr>
          <w:rFonts w:hint="eastAsia" w:ascii="宋体" w:hAnsi="宋体" w:eastAsia="宋体" w:cs="宋体"/>
          <w:b/>
          <w:bCs/>
          <w:sz w:val="24"/>
          <w:szCs w:val="28"/>
          <w:lang w:val="zh-CN"/>
        </w:rPr>
        <w:t>C.响应性文件的编写</w:t>
      </w:r>
      <w:bookmarkEnd w:id="45"/>
      <w:bookmarkEnd w:id="46"/>
      <w:bookmarkEnd w:id="47"/>
      <w:bookmarkEnd w:id="48"/>
    </w:p>
    <w:p>
      <w:pPr>
        <w:autoSpaceDE w:val="0"/>
        <w:autoSpaceDN w:val="0"/>
        <w:adjustRightInd w:val="0"/>
        <w:snapToGrid w:val="0"/>
        <w:spacing w:line="440" w:lineRule="exact"/>
        <w:outlineLvl w:val="0"/>
        <w:rPr>
          <w:rFonts w:ascii="宋体" w:hAnsi="宋体" w:eastAsia="宋体" w:cs="宋体"/>
          <w:b/>
          <w:bCs/>
          <w:sz w:val="24"/>
          <w:szCs w:val="28"/>
          <w:lang w:val="zh-CN"/>
        </w:rPr>
      </w:pPr>
      <w:bookmarkStart w:id="49" w:name="_Toc6617"/>
      <w:r>
        <w:rPr>
          <w:rFonts w:hint="eastAsia" w:ascii="宋体" w:hAnsi="宋体" w:eastAsia="宋体" w:cs="宋体"/>
          <w:b/>
          <w:bCs/>
          <w:sz w:val="24"/>
          <w:szCs w:val="28"/>
        </w:rPr>
        <w:t>8</w:t>
      </w:r>
      <w:r>
        <w:rPr>
          <w:rFonts w:hint="eastAsia" w:ascii="宋体" w:hAnsi="宋体" w:eastAsia="宋体" w:cs="宋体"/>
          <w:b/>
          <w:bCs/>
          <w:sz w:val="24"/>
          <w:szCs w:val="28"/>
          <w:lang w:val="zh-CN"/>
        </w:rPr>
        <w:t>.响应性文件的编制</w:t>
      </w:r>
      <w:bookmarkEnd w:id="49"/>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8.1 响应文件应按第七部分“响应性文件格式”进行编写，如有必要，可以增加附页，作为响应性文件的组成部分。其中，投标函附录（如有）在满足竞争性磋商文件实质性要求的基础上，可以提出比竞争性磋商文件要求更有利于招标人的承诺。</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8.2 响应文件应当对竞争性磋商文件有关履约期限、磋商有效期、质量要求、采购要求及内容、招标范围等实质性内容作出响应。</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8.3 电子响应性文件制作</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（1）电子响应性文件由投标人使用“电子交易平台”自带的“投标文件制作工具”制作生成。</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（2）投标人在编制电子响应性文件时应当建立分级目录，并按照标签提示导入相关内容。</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3）电子响应性文件中的证明资料的“复印件”均为“原件的扫描件”，应从“电子交易平台”交易主体诚信库中选择，交易主体诚信库中没有的“复印件”，应以附件形式直接导入，未标示“复印件”的证明资料均应直接制作生成。</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（4）第七部分“响应性文件格式”文件要求“盖单位章”的地方，投标人应使用CA 数字证书加盖投标人的单位电子印章；要求“签字”的地方，投标人应使用CA 数字证书加盖法定代表人的个人电子印章或电子签名章。联合体投标的，响应性文件由联合体牵头人按上述规定在要求“盖单位章”的地方加盖联合体牵头人单位电子印章；在要求“签字”的地方加盖联合体牵头人法定代表人的个人电子印章或电子签名章。竞争性磋商文件有特别说明的除外。</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（5）电子响应性文件制作完成后，将生成一份加密的电子响应性文件（后缀名为.HBSTF）和一份不加密的电子响应性文件（后缀名为.NHBSTF）。</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（6）电子响应性文件制作的具体方法详见“投标文件制作工具”中的帮助文档。</w:t>
      </w:r>
    </w:p>
    <w:p>
      <w:pPr>
        <w:tabs>
          <w:tab w:val="left" w:pos="567"/>
          <w:tab w:val="left" w:pos="720"/>
        </w:tabs>
        <w:snapToGrid w:val="0"/>
        <w:spacing w:line="440" w:lineRule="exact"/>
        <w:ind w:firstLine="424" w:firstLineChars="177"/>
        <w:rPr>
          <w:rFonts w:ascii="宋体" w:hAnsi="宋体" w:eastAsia="宋体" w:cs="Arial"/>
          <w:kern w:val="2"/>
          <w:sz w:val="24"/>
          <w:szCs w:val="24"/>
        </w:rPr>
      </w:pPr>
      <w:r>
        <w:rPr>
          <w:rFonts w:hint="eastAsia" w:ascii="宋体" w:hAnsi="宋体" w:eastAsia="宋体" w:cs="Arial"/>
          <w:kern w:val="2"/>
          <w:sz w:val="24"/>
          <w:szCs w:val="24"/>
        </w:rPr>
        <w:t>8.5 投标文件为加密电子响应性文件一份。</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rPr>
        <w:t>9</w:t>
      </w:r>
      <w:r>
        <w:rPr>
          <w:rFonts w:hint="eastAsia" w:ascii="宋体" w:hAnsi="宋体" w:eastAsia="宋体" w:cs="宋体"/>
          <w:b/>
          <w:bCs/>
          <w:sz w:val="24"/>
          <w:szCs w:val="28"/>
          <w:lang w:val="zh-CN"/>
        </w:rPr>
        <w:t>.响应性文件的组成</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right="-80" w:firstLine="562"/>
        <w:jc w:val="left"/>
        <w:rPr>
          <w:rFonts w:ascii="宋体" w:hAnsi="宋体" w:eastAsia="宋体" w:cs="宋体"/>
          <w:b/>
          <w:bCs/>
          <w:sz w:val="24"/>
          <w:szCs w:val="28"/>
          <w:lang w:val="zh-CN"/>
        </w:rPr>
      </w:pPr>
      <w:r>
        <w:rPr>
          <w:rFonts w:hint="eastAsia" w:ascii="宋体" w:hAnsi="宋体" w:eastAsia="宋体" w:cs="宋体"/>
          <w:b/>
          <w:bCs/>
          <w:sz w:val="24"/>
          <w:szCs w:val="28"/>
        </w:rPr>
        <w:t>9</w:t>
      </w:r>
      <w:r>
        <w:rPr>
          <w:rFonts w:hint="eastAsia" w:ascii="宋体" w:hAnsi="宋体" w:eastAsia="宋体" w:cs="宋体"/>
          <w:b/>
          <w:bCs/>
          <w:sz w:val="24"/>
          <w:szCs w:val="28"/>
          <w:lang w:val="zh-CN"/>
        </w:rPr>
        <w:t>.1响应性文件包括以下内容</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eastAsia="zh-CN"/>
        </w:rPr>
        <w:t>（</w:t>
      </w:r>
      <w:r>
        <w:rPr>
          <w:rFonts w:hint="eastAsia" w:ascii="宋体" w:hAnsi="宋体" w:eastAsia="宋体" w:cs="宋体"/>
          <w:sz w:val="24"/>
          <w:szCs w:val="28"/>
        </w:rPr>
        <w:t>一</w:t>
      </w:r>
      <w:r>
        <w:rPr>
          <w:rFonts w:hint="eastAsia" w:ascii="宋体" w:hAnsi="宋体" w:eastAsia="宋体" w:cs="宋体"/>
          <w:sz w:val="24"/>
          <w:szCs w:val="28"/>
          <w:lang w:eastAsia="zh-CN"/>
        </w:rPr>
        <w:t>）</w:t>
      </w:r>
      <w:r>
        <w:rPr>
          <w:rFonts w:hint="eastAsia" w:ascii="宋体" w:hAnsi="宋体" w:eastAsia="宋体" w:cs="宋体"/>
          <w:sz w:val="24"/>
          <w:szCs w:val="28"/>
        </w:rPr>
        <w:t>磋商书</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eastAsia="zh-CN"/>
        </w:rPr>
        <w:t>（</w:t>
      </w:r>
      <w:r>
        <w:rPr>
          <w:rFonts w:hint="eastAsia" w:ascii="宋体" w:hAnsi="宋体" w:eastAsia="宋体" w:cs="宋体"/>
          <w:sz w:val="24"/>
          <w:szCs w:val="28"/>
        </w:rPr>
        <w:t>二</w:t>
      </w:r>
      <w:r>
        <w:rPr>
          <w:rFonts w:hint="eastAsia" w:ascii="宋体" w:hAnsi="宋体" w:eastAsia="宋体" w:cs="宋体"/>
          <w:sz w:val="24"/>
          <w:szCs w:val="28"/>
          <w:lang w:eastAsia="zh-CN"/>
        </w:rPr>
        <w:t>）</w:t>
      </w:r>
      <w:r>
        <w:rPr>
          <w:rFonts w:hint="eastAsia" w:ascii="宋体" w:hAnsi="宋体" w:eastAsia="宋体" w:cs="宋体"/>
          <w:sz w:val="24"/>
          <w:szCs w:val="28"/>
          <w:lang w:val="zh-CN"/>
        </w:rPr>
        <w:t>报价组成情况表</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（三）货物（服务）清单</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（四）资格性符合性检查对照表</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（五）技术响应、偏离情况说明表</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（六）法人（负责人）代表授权书</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（七）法人或者其他组织的营业执照等证明文件，自然人的身份证明</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（八）财务状况报告，依法缴纳税收和社会保障资金的相关材料</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（九）具备履行合同所必需的设备和专业技术能力的证明材料</w:t>
      </w:r>
    </w:p>
    <w:p>
      <w:pPr>
        <w:autoSpaceDE w:val="0"/>
        <w:autoSpaceDN w:val="0"/>
        <w:adjustRightInd w:val="0"/>
        <w:snapToGrid w:val="0"/>
        <w:spacing w:line="440" w:lineRule="exact"/>
        <w:ind w:firstLine="480" w:firstLineChars="200"/>
        <w:rPr>
          <w:rFonts w:ascii="宋体" w:hAnsi="宋体" w:eastAsia="宋体" w:cs="宋体"/>
          <w:sz w:val="24"/>
          <w:szCs w:val="28"/>
        </w:rPr>
      </w:pPr>
      <w:r>
        <w:rPr>
          <w:rFonts w:hint="eastAsia" w:ascii="宋体" w:hAnsi="宋体" w:eastAsia="宋体" w:cs="宋体"/>
          <w:sz w:val="24"/>
          <w:szCs w:val="28"/>
          <w:lang w:val="zh-CN"/>
        </w:rPr>
        <w:t>（十）参加政府采购活动前</w:t>
      </w:r>
      <w:r>
        <w:rPr>
          <w:rFonts w:hint="eastAsia" w:ascii="宋体" w:hAnsi="宋体" w:eastAsia="宋体" w:cs="宋体"/>
          <w:sz w:val="24"/>
          <w:szCs w:val="28"/>
        </w:rPr>
        <w:t>3年内在经营活动中没有重大违法记录的书面声明</w:t>
      </w:r>
    </w:p>
    <w:p>
      <w:pPr>
        <w:autoSpaceDE w:val="0"/>
        <w:autoSpaceDN w:val="0"/>
        <w:adjustRightInd w:val="0"/>
        <w:snapToGrid w:val="0"/>
        <w:spacing w:line="440" w:lineRule="exact"/>
        <w:ind w:firstLine="480" w:firstLineChars="200"/>
        <w:rPr>
          <w:rFonts w:ascii="宋体" w:hAnsi="宋体" w:eastAsia="宋体" w:cs="宋体"/>
          <w:sz w:val="24"/>
          <w:szCs w:val="28"/>
        </w:rPr>
      </w:pPr>
      <w:r>
        <w:rPr>
          <w:rFonts w:hint="eastAsia" w:ascii="宋体" w:hAnsi="宋体" w:eastAsia="宋体" w:cs="宋体"/>
          <w:sz w:val="24"/>
          <w:szCs w:val="28"/>
          <w:lang w:val="zh-CN"/>
        </w:rPr>
        <w:t>（十一）</w:t>
      </w:r>
      <w:r>
        <w:rPr>
          <w:rFonts w:hint="eastAsia" w:ascii="宋体" w:hAnsi="宋体" w:eastAsia="宋体" w:cs="宋体"/>
          <w:sz w:val="24"/>
          <w:szCs w:val="28"/>
        </w:rPr>
        <w:t>未被列入“信用中国”网站的相关名单网页打印件</w:t>
      </w:r>
    </w:p>
    <w:p>
      <w:pPr>
        <w:autoSpaceDE w:val="0"/>
        <w:autoSpaceDN w:val="0"/>
        <w:adjustRightInd w:val="0"/>
        <w:snapToGrid w:val="0"/>
        <w:spacing w:line="440" w:lineRule="exact"/>
        <w:ind w:firstLine="480" w:firstLineChars="200"/>
        <w:rPr>
          <w:rFonts w:ascii="宋体" w:hAnsi="宋体" w:eastAsia="宋体" w:cs="宋体"/>
          <w:sz w:val="24"/>
          <w:szCs w:val="28"/>
        </w:rPr>
      </w:pPr>
      <w:r>
        <w:rPr>
          <w:rFonts w:hint="eastAsia" w:ascii="宋体" w:hAnsi="宋体" w:eastAsia="宋体" w:cs="宋体"/>
          <w:sz w:val="24"/>
          <w:szCs w:val="28"/>
          <w:lang w:val="zh-CN"/>
        </w:rPr>
        <w:t>（十二）</w:t>
      </w:r>
      <w:r>
        <w:rPr>
          <w:rFonts w:hint="eastAsia" w:ascii="宋体" w:hAnsi="宋体" w:eastAsia="宋体" w:cs="宋体"/>
          <w:sz w:val="24"/>
          <w:szCs w:val="28"/>
        </w:rPr>
        <w:t>政府采购政策情况表</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（十三）《中小企业声明函》《残疾人福利性单位声明函》、属于监狱企业的证明文件等（如有）</w:t>
      </w:r>
    </w:p>
    <w:p>
      <w:pPr>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（十四）本文件要求提供的其他资格证明文件及资料</w:t>
      </w:r>
    </w:p>
    <w:p>
      <w:pPr>
        <w:autoSpaceDE w:val="0"/>
        <w:autoSpaceDN w:val="0"/>
        <w:adjustRightInd w:val="0"/>
        <w:snapToGrid w:val="0"/>
        <w:spacing w:line="440" w:lineRule="exact"/>
        <w:ind w:firstLine="480" w:firstLineChars="200"/>
        <w:rPr>
          <w:rFonts w:ascii="宋体" w:hAnsi="宋体" w:eastAsia="宋体" w:cs="宋体"/>
          <w:b/>
          <w:bCs/>
          <w:color w:val="000000"/>
          <w:sz w:val="24"/>
          <w:szCs w:val="28"/>
          <w:lang w:val="zh-CN"/>
        </w:rPr>
      </w:pP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.1.1</w:t>
      </w:r>
      <w:r>
        <w:rPr>
          <w:rFonts w:hint="eastAsia" w:ascii="宋体" w:hAnsi="宋体" w:eastAsia="宋体" w:cs="宋体"/>
          <w:b/>
          <w:bCs/>
          <w:color w:val="000000"/>
          <w:sz w:val="24"/>
          <w:szCs w:val="28"/>
          <w:lang w:val="zh-CN"/>
        </w:rPr>
        <w:t>商务部分</w:t>
      </w:r>
      <w:r>
        <w:rPr>
          <w:rFonts w:hint="eastAsia" w:ascii="宋体" w:hAnsi="宋体" w:eastAsia="宋体" w:cs="宋体"/>
          <w:color w:val="000000"/>
          <w:sz w:val="24"/>
          <w:szCs w:val="28"/>
          <w:lang w:val="zh-CN"/>
        </w:rPr>
        <w:t>指供应商提交的证明其有资格参加磋商和成交后有能力履行合同的文件；</w:t>
      </w:r>
      <w:r>
        <w:rPr>
          <w:rFonts w:hint="eastAsia" w:ascii="宋体" w:hAnsi="宋体" w:eastAsia="宋体" w:cs="宋体"/>
          <w:b/>
          <w:bCs/>
          <w:color w:val="000000"/>
          <w:sz w:val="24"/>
          <w:szCs w:val="28"/>
          <w:lang w:val="zh-CN"/>
        </w:rPr>
        <w:t>技术部分</w:t>
      </w:r>
      <w:r>
        <w:rPr>
          <w:rFonts w:hint="eastAsia" w:ascii="宋体" w:hAnsi="宋体" w:eastAsia="宋体" w:cs="宋体"/>
          <w:color w:val="000000"/>
          <w:sz w:val="24"/>
          <w:szCs w:val="28"/>
          <w:lang w:val="zh-CN"/>
        </w:rPr>
        <w:t>是能够证明磋商供应商提供的工程、货物及服务符合竞争性磋商文件规定的文件，</w:t>
      </w:r>
      <w:r>
        <w:rPr>
          <w:rFonts w:hint="eastAsia" w:ascii="宋体" w:hAnsi="宋体" w:eastAsia="宋体" w:cs="宋体"/>
          <w:b/>
          <w:bCs/>
          <w:color w:val="000000"/>
          <w:sz w:val="24"/>
          <w:szCs w:val="28"/>
          <w:lang w:val="zh-CN"/>
        </w:rPr>
        <w:t>磋商供应商须对本次采购项目要求的技术性能逐项作出实质性响应，</w:t>
      </w:r>
      <w:r>
        <w:rPr>
          <w:rFonts w:hint="eastAsia" w:ascii="宋体" w:hAnsi="宋体" w:eastAsia="宋体" w:cs="宋体"/>
          <w:color w:val="000000"/>
          <w:sz w:val="24"/>
          <w:szCs w:val="28"/>
          <w:lang w:val="zh-CN"/>
        </w:rPr>
        <w:t>必须保证其提供的相关资质证明文件的真实性、合法性、时效性，否则，磋商小组将不予推荐。</w:t>
      </w:r>
      <w:r>
        <w:rPr>
          <w:rFonts w:hint="eastAsia" w:ascii="宋体" w:hAnsi="宋体" w:eastAsia="宋体" w:cs="宋体"/>
          <w:b/>
          <w:bCs/>
          <w:color w:val="000000"/>
          <w:sz w:val="24"/>
          <w:szCs w:val="28"/>
          <w:lang w:val="zh-CN"/>
        </w:rPr>
        <w:t>报价部分</w:t>
      </w:r>
      <w:r>
        <w:rPr>
          <w:rFonts w:hint="eastAsia" w:ascii="宋体" w:hAnsi="宋体" w:eastAsia="宋体" w:cs="宋体"/>
          <w:color w:val="000000"/>
          <w:sz w:val="24"/>
          <w:szCs w:val="28"/>
          <w:lang w:val="zh-CN"/>
        </w:rPr>
        <w:t>是指磋商供应商响应采购项目要求而做出的书面报价明细。</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 xml:space="preserve"> </w:t>
      </w:r>
      <w:r>
        <w:rPr>
          <w:rFonts w:hint="eastAsia" w:ascii="宋体" w:hAnsi="宋体" w:eastAsia="宋体" w:cs="宋体"/>
          <w:color w:val="000000"/>
          <w:sz w:val="24"/>
          <w:szCs w:val="28"/>
          <w:lang w:val="zh-CN"/>
        </w:rPr>
        <w:t>响应性文件中所涉及的货物，供应商应提供充分的证明资料证明所提供的货物是合格的，且符合竞争性磋商文件规定及磋商供应商认为需要加以说明的其他内容。</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.3 响应性文件及供应商与采购有关的来往通知、函件和所有文件必须使用简体中文。</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sz w:val="24"/>
          <w:szCs w:val="28"/>
          <w:lang w:val="zh-CN"/>
        </w:rPr>
        <w:t>1</w:t>
      </w:r>
      <w:r>
        <w:rPr>
          <w:rFonts w:hint="eastAsia" w:ascii="宋体" w:hAnsi="宋体" w:eastAsia="宋体" w:cs="宋体"/>
          <w:b/>
          <w:bCs/>
          <w:sz w:val="24"/>
          <w:szCs w:val="28"/>
        </w:rPr>
        <w:t>0</w:t>
      </w:r>
      <w:r>
        <w:rPr>
          <w:rFonts w:hint="eastAsia" w:ascii="宋体" w:hAnsi="宋体" w:eastAsia="宋体" w:cs="宋体"/>
          <w:b/>
          <w:bCs/>
          <w:sz w:val="24"/>
          <w:szCs w:val="28"/>
          <w:lang w:val="zh-CN"/>
        </w:rPr>
        <w:t>.</w:t>
      </w:r>
      <w:r>
        <w:rPr>
          <w:rFonts w:hint="eastAsia" w:ascii="宋体" w:hAnsi="宋体" w:eastAsia="宋体" w:cs="宋体"/>
          <w:b/>
          <w:bCs/>
          <w:color w:val="000000"/>
          <w:sz w:val="24"/>
          <w:szCs w:val="28"/>
          <w:lang w:val="zh-CN"/>
        </w:rPr>
        <w:t>磋商报价</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.1所有价格均为人民币报价，报价应以人民币为结算货币。须包括项目中的一切费用。须由中标单位开具当地正式发票。</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.2磋商报价是以人民币为单位的综合报价，供应商应根据控制价，结合本项目实际情况，提出不高于控制价的报价。任何有选择性地择性地报价将不予接受，每轮只许有一个报价；</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.3供应商应按照竞争性磋商文件提供的磋商报价表格式填写磋商报价；</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.4磋商过程供应商按磋商小组要求不超过二轮报价（首次报价、最后报价）；</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.5供应商任何有选择的报价（首次报价、最后报价）将被拒绝，磋商报价不允许修正和涂改，出现错误或涂改的将以无效报价处理；</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.6供应商不得以他人名义磋商或者以其他方式弄虚作假，骗取中标；</w:t>
      </w:r>
    </w:p>
    <w:p>
      <w:pPr>
        <w:autoSpaceDE w:val="0"/>
        <w:autoSpaceDN w:val="0"/>
        <w:adjustRightInd w:val="0"/>
        <w:snapToGrid w:val="0"/>
        <w:spacing w:line="440" w:lineRule="exact"/>
        <w:ind w:firstLine="530" w:firstLineChars="221"/>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.7响应性文件应对竞争性磋商文件中各项作出实质性响应，否则该磋商将可能被拒绝。供应商服务承诺书应按不低于竞争性磋商文件中的服务要求标准做出响应；</w:t>
      </w:r>
    </w:p>
    <w:p>
      <w:pPr>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.8磋商文件能够详细列明采购标的服务要求的，磋商结束后，磋商小组应当要求所有实质性响应的供应商在</w:t>
      </w:r>
      <w:r>
        <w:rPr>
          <w:rFonts w:hint="eastAsia" w:ascii="宋体" w:hAnsi="宋体" w:eastAsia="宋体" w:cs="宋体"/>
          <w:sz w:val="24"/>
          <w:szCs w:val="28"/>
          <w:lang w:val="zh-CN"/>
        </w:rPr>
        <w:t>规定时间内</w:t>
      </w:r>
      <w:r>
        <w:rPr>
          <w:rFonts w:hint="eastAsia" w:ascii="宋体" w:hAnsi="宋体" w:eastAsia="宋体" w:cs="宋体"/>
          <w:color w:val="000000"/>
          <w:sz w:val="24"/>
          <w:szCs w:val="28"/>
          <w:lang w:val="zh-CN"/>
        </w:rPr>
        <w:t>提交最后报价。最后报价是供应商响应文件的有效组成部分。</w:t>
      </w:r>
    </w:p>
    <w:p>
      <w:pPr>
        <w:autoSpaceDE w:val="0"/>
        <w:autoSpaceDN w:val="0"/>
        <w:adjustRightInd w:val="0"/>
        <w:spacing w:line="440" w:lineRule="exact"/>
        <w:rPr>
          <w:rFonts w:ascii="宋体" w:hAnsi="宋体" w:eastAsia="宋体" w:cs="宋体"/>
          <w:b/>
          <w:bCs/>
          <w:sz w:val="24"/>
          <w:szCs w:val="28"/>
          <w:lang w:val="zh-CN"/>
        </w:rPr>
      </w:pPr>
      <w:r>
        <w:rPr>
          <w:rFonts w:hint="eastAsia" w:ascii="宋体" w:hAnsi="宋体" w:eastAsia="宋体" w:cs="宋体"/>
          <w:b/>
          <w:bCs/>
          <w:sz w:val="24"/>
          <w:szCs w:val="28"/>
          <w:lang w:val="zh-CN"/>
        </w:rPr>
        <w:t>1</w:t>
      </w:r>
      <w:r>
        <w:rPr>
          <w:rFonts w:hint="eastAsia" w:ascii="宋体" w:hAnsi="宋体" w:eastAsia="宋体" w:cs="宋体"/>
          <w:b/>
          <w:bCs/>
          <w:sz w:val="24"/>
          <w:szCs w:val="28"/>
        </w:rPr>
        <w:t>1</w:t>
      </w:r>
      <w:r>
        <w:rPr>
          <w:rFonts w:hint="eastAsia" w:ascii="宋体" w:hAnsi="宋体" w:eastAsia="宋体" w:cs="宋体"/>
          <w:b/>
          <w:bCs/>
          <w:sz w:val="24"/>
          <w:szCs w:val="28"/>
          <w:lang w:val="zh-CN"/>
        </w:rPr>
        <w:t>.响应性文件有效期</w:t>
      </w:r>
    </w:p>
    <w:p>
      <w:pPr>
        <w:spacing w:line="440" w:lineRule="exact"/>
        <w:ind w:firstLine="460" w:firstLineChars="192"/>
        <w:rPr>
          <w:rFonts w:ascii="宋体" w:hAnsi="宋体" w:eastAsia="宋体" w:cs="宋体"/>
          <w:sz w:val="24"/>
          <w:szCs w:val="28"/>
          <w:lang w:val="zh-CN"/>
        </w:rPr>
      </w:pPr>
      <w:r>
        <w:rPr>
          <w:rFonts w:hint="eastAsia" w:ascii="宋体" w:hAnsi="宋体" w:eastAsia="宋体" w:cs="宋体"/>
          <w:sz w:val="24"/>
          <w:szCs w:val="28"/>
          <w:lang w:val="zh-CN"/>
        </w:rPr>
        <w:t>响应性文件从响应性文件递交的截止时间起，响应性文件有效期详见“磋商供应商须知前附表”中规定，有效期短于这个规定期限的磋商，将被拒绝。</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2</w:t>
      </w:r>
      <w:r>
        <w:rPr>
          <w:rFonts w:hint="eastAsia" w:ascii="宋体" w:hAnsi="宋体" w:eastAsia="宋体" w:cs="宋体"/>
          <w:b/>
          <w:bCs/>
          <w:color w:val="000000"/>
          <w:sz w:val="24"/>
          <w:szCs w:val="28"/>
          <w:lang w:val="zh-CN"/>
        </w:rPr>
        <w:t>.响应性文件的签署及规定</w:t>
      </w:r>
    </w:p>
    <w:p>
      <w:pPr>
        <w:autoSpaceDE w:val="0"/>
        <w:autoSpaceDN w:val="0"/>
        <w:adjustRightInd w:val="0"/>
        <w:snapToGrid w:val="0"/>
        <w:spacing w:line="440" w:lineRule="exact"/>
        <w:ind w:firstLine="560"/>
        <w:rPr>
          <w:rFonts w:ascii="宋体" w:hAnsi="宋体" w:eastAsia="宋体" w:cs="宋体"/>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.1响应性文件应按竞争性磋商文件规定加盖单位公章和供应商法定代表人或项</w:t>
      </w:r>
      <w:r>
        <w:rPr>
          <w:rFonts w:hint="eastAsia" w:ascii="宋体" w:hAnsi="宋体" w:eastAsia="宋体" w:cs="宋体"/>
          <w:sz w:val="24"/>
          <w:szCs w:val="28"/>
          <w:lang w:val="zh-CN"/>
        </w:rPr>
        <w:t>目负责人签字或盖章，否则，将被视为无效响应性文件；</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响应性文件应以中文编制，计量单位以国家规定标准为准；</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响应性文件应严格按照竞争性磋商文件的要求提交，并按规定的统一格式逐项填写，不准有空项；无相应内容可填的项应填写“无”等明确的回答文字，响应性文件未按规定提交，将被视为不完整响应的响应性文件，其响应文件有可能被拒绝；</w:t>
      </w:r>
    </w:p>
    <w:p>
      <w:pPr>
        <w:autoSpaceDE w:val="0"/>
        <w:autoSpaceDN w:val="0"/>
        <w:adjustRightInd w:val="0"/>
        <w:snapToGrid w:val="0"/>
        <w:spacing w:line="440" w:lineRule="exact"/>
        <w:ind w:firstLine="560"/>
        <w:rPr>
          <w:rFonts w:ascii="宋体" w:hAnsi="宋体" w:eastAsia="宋体" w:cs="宋体"/>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4</w:t>
      </w:r>
      <w:r>
        <w:rPr>
          <w:rFonts w:hint="eastAsia" w:ascii="宋体" w:hAnsi="宋体" w:eastAsia="宋体" w:cs="宋体"/>
          <w:b/>
          <w:bCs/>
          <w:color w:val="000000"/>
          <w:sz w:val="24"/>
          <w:szCs w:val="28"/>
          <w:lang w:val="zh-CN"/>
        </w:rPr>
        <w:t>供应商必须保证响应性文件所提供的全部资料真实可靠，并接受磋商小组对其中任何资料进一步审查的要求。项目结束后，采购单位保留对成交候选供应商投保货物及磋商情况核实的权利，如核实过程中有证据证明成交候选供应商存在有违反竞争性磋商文件规定行为的，将取消其成交候选供应商资格。</w:t>
      </w:r>
    </w:p>
    <w:p>
      <w:pPr>
        <w:autoSpaceDE w:val="0"/>
        <w:autoSpaceDN w:val="0"/>
        <w:adjustRightInd w:val="0"/>
        <w:spacing w:line="440" w:lineRule="exact"/>
        <w:outlineLvl w:val="0"/>
        <w:rPr>
          <w:rFonts w:ascii="宋体" w:hAnsi="宋体" w:eastAsia="宋体" w:cs="宋体"/>
          <w:b/>
          <w:bCs/>
          <w:sz w:val="24"/>
          <w:szCs w:val="28"/>
          <w:lang w:val="zh-CN"/>
        </w:rPr>
      </w:pPr>
      <w:bookmarkStart w:id="50" w:name="_Toc16849"/>
      <w:bookmarkStart w:id="51" w:name="_Toc15215"/>
      <w:bookmarkStart w:id="52" w:name="_Toc14684"/>
      <w:bookmarkStart w:id="53" w:name="_Toc32646"/>
      <w:r>
        <w:rPr>
          <w:rFonts w:hint="eastAsia" w:ascii="宋体" w:hAnsi="宋体" w:eastAsia="宋体" w:cs="宋体"/>
          <w:b/>
          <w:bCs/>
          <w:sz w:val="24"/>
          <w:szCs w:val="28"/>
          <w:lang w:val="zh-CN"/>
        </w:rPr>
        <w:t>D.响应性文件的递交</w:t>
      </w:r>
      <w:bookmarkEnd w:id="50"/>
      <w:bookmarkEnd w:id="51"/>
      <w:bookmarkEnd w:id="52"/>
      <w:bookmarkEnd w:id="53"/>
    </w:p>
    <w:p>
      <w:pPr>
        <w:autoSpaceDE w:val="0"/>
        <w:autoSpaceDN w:val="0"/>
        <w:adjustRightInd w:val="0"/>
        <w:snapToGrid w:val="0"/>
        <w:spacing w:line="440" w:lineRule="exact"/>
        <w:rPr>
          <w:rFonts w:ascii="宋体" w:hAnsi="宋体" w:eastAsia="宋体" w:cs="宋体"/>
          <w:b/>
          <w:bCs/>
          <w:color w:val="000000"/>
          <w:sz w:val="24"/>
          <w:szCs w:val="28"/>
          <w:lang w:val="zh-CN"/>
        </w:rPr>
      </w:pPr>
      <w:bookmarkStart w:id="54" w:name="_Toc31861"/>
      <w:bookmarkStart w:id="55" w:name="_Toc26298"/>
      <w:bookmarkStart w:id="56" w:name="_Toc27285"/>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3</w:t>
      </w:r>
      <w:r>
        <w:rPr>
          <w:rFonts w:hint="eastAsia" w:ascii="宋体" w:hAnsi="宋体" w:eastAsia="宋体" w:cs="宋体"/>
          <w:b/>
          <w:bCs/>
          <w:color w:val="000000"/>
          <w:sz w:val="24"/>
          <w:szCs w:val="28"/>
          <w:lang w:val="zh-CN"/>
        </w:rPr>
        <w:t>.响应性文件的递交与开标</w:t>
      </w:r>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57" w:name="_Toc30748"/>
      <w:r>
        <w:rPr>
          <w:rFonts w:hint="eastAsia" w:ascii="宋体" w:hAnsi="宋体" w:eastAsia="宋体" w:cs="宋体"/>
          <w:color w:val="000000"/>
          <w:sz w:val="24"/>
          <w:szCs w:val="28"/>
        </w:rPr>
        <w:t>13.1 响应文件的递交</w:t>
      </w:r>
      <w:bookmarkEnd w:id="57"/>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58" w:name="_Toc28343"/>
      <w:r>
        <w:rPr>
          <w:rFonts w:hint="eastAsia" w:ascii="宋体" w:hAnsi="宋体" w:eastAsia="宋体" w:cs="宋体"/>
          <w:color w:val="000000"/>
          <w:sz w:val="24"/>
          <w:szCs w:val="28"/>
        </w:rPr>
        <w:t>13.1.1 采购人在本章供应商须知前附表第 8 项规定的投标截止时间（开标时间）在“电子交易平台”上公开进行开标，所有供应商均应当准时在线参加开标。</w:t>
      </w:r>
      <w:bookmarkEnd w:id="58"/>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59" w:name="_Toc4657"/>
      <w:r>
        <w:rPr>
          <w:rFonts w:hint="eastAsia" w:ascii="宋体" w:hAnsi="宋体" w:eastAsia="宋体" w:cs="宋体"/>
          <w:color w:val="000000"/>
          <w:sz w:val="24"/>
          <w:szCs w:val="28"/>
        </w:rPr>
        <w:t>13.1.2 采购人通过互联网在供应商须知前附表规定的地点组织开标，并在投标截止时间 30分钟前，使用 CA 数字证书登录“电子交易平台”，进入“开标大厅”选择相应标段做好开标的准备工作。</w:t>
      </w:r>
      <w:bookmarkEnd w:id="59"/>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60" w:name="_Toc10834"/>
      <w:r>
        <w:rPr>
          <w:rFonts w:hint="eastAsia" w:ascii="宋体" w:hAnsi="宋体" w:eastAsia="宋体" w:cs="宋体"/>
          <w:color w:val="000000"/>
          <w:sz w:val="24"/>
          <w:szCs w:val="28"/>
        </w:rPr>
        <w:t>13.1.3 供应商可在能够保证设施设备可靠、互联网畅通的 任意地点，通过互联网在线参加开标。在投标截止时间前， 使用加密响应文件的 CA 数字证书登录“电子交易平台”，进入“开标大厅”选择所投标段（包）进行签到，并实时在线关注采购人的操作情况。</w:t>
      </w:r>
      <w:bookmarkEnd w:id="60"/>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61" w:name="_Toc20725"/>
      <w:r>
        <w:rPr>
          <w:rFonts w:hint="eastAsia" w:ascii="宋体" w:hAnsi="宋体" w:eastAsia="宋体" w:cs="宋体"/>
          <w:color w:val="000000"/>
          <w:sz w:val="24"/>
          <w:szCs w:val="28"/>
        </w:rPr>
        <w:t>13.2 开标程序</w:t>
      </w:r>
      <w:bookmarkEnd w:id="61"/>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62" w:name="_Toc27626"/>
      <w:r>
        <w:rPr>
          <w:rFonts w:hint="eastAsia" w:ascii="宋体" w:hAnsi="宋体" w:eastAsia="宋体" w:cs="宋体"/>
          <w:color w:val="000000"/>
          <w:sz w:val="24"/>
          <w:szCs w:val="28"/>
        </w:rPr>
        <w:t>13.2.1 主持人按下列程序在“电子交易平台”“开标大厅”进行电子开标：</w:t>
      </w:r>
      <w:bookmarkEnd w:id="62"/>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3" w:name="_Toc6818"/>
      <w:r>
        <w:rPr>
          <w:rFonts w:hint="eastAsia" w:ascii="宋体" w:hAnsi="宋体" w:eastAsia="宋体" w:cs="宋体"/>
          <w:color w:val="000000"/>
          <w:sz w:val="24"/>
          <w:szCs w:val="28"/>
        </w:rPr>
        <w:t>（1）宣布开标纪律；</w:t>
      </w:r>
      <w:bookmarkEnd w:id="63"/>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4" w:name="_Toc19234"/>
      <w:r>
        <w:rPr>
          <w:rFonts w:hint="eastAsia" w:ascii="宋体" w:hAnsi="宋体" w:eastAsia="宋体" w:cs="宋体"/>
          <w:color w:val="000000"/>
          <w:sz w:val="24"/>
          <w:szCs w:val="28"/>
        </w:rPr>
        <w:t>（2）公布主持人、采购人代表、监标人等有关人员姓名；</w:t>
      </w:r>
      <w:bookmarkEnd w:id="64"/>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5" w:name="_Toc4442"/>
      <w:r>
        <w:rPr>
          <w:rFonts w:hint="eastAsia" w:ascii="宋体" w:hAnsi="宋体" w:eastAsia="宋体" w:cs="宋体"/>
          <w:color w:val="000000"/>
          <w:sz w:val="24"/>
          <w:szCs w:val="28"/>
        </w:rPr>
        <w:t>（3）公布在投标截止时间前响应文件的递交情况；</w:t>
      </w:r>
      <w:bookmarkEnd w:id="65"/>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6" w:name="_Toc20087"/>
      <w:r>
        <w:rPr>
          <w:rFonts w:hint="eastAsia" w:ascii="宋体" w:hAnsi="宋体" w:eastAsia="宋体" w:cs="宋体"/>
          <w:color w:val="000000"/>
          <w:sz w:val="24"/>
          <w:szCs w:val="28"/>
        </w:rPr>
        <w:t>（4）供应商根据提示在供应商须知前附表规定的时间内解密响应文件；</w:t>
      </w:r>
      <w:bookmarkEnd w:id="66"/>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7" w:name="_Toc25346"/>
      <w:r>
        <w:rPr>
          <w:rFonts w:hint="eastAsia" w:ascii="宋体" w:hAnsi="宋体" w:eastAsia="宋体" w:cs="宋体"/>
          <w:color w:val="000000"/>
          <w:sz w:val="24"/>
          <w:szCs w:val="28"/>
        </w:rPr>
        <w:t>（5）读取已解密的响应文件的内容；</w:t>
      </w:r>
      <w:bookmarkEnd w:id="67"/>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8" w:name="_Toc4141"/>
      <w:r>
        <w:rPr>
          <w:rFonts w:hint="eastAsia" w:ascii="宋体" w:hAnsi="宋体" w:eastAsia="宋体" w:cs="宋体"/>
          <w:color w:val="000000"/>
          <w:sz w:val="24"/>
          <w:szCs w:val="28"/>
        </w:rPr>
        <w:t>（6）公布供应商名称并生成开标记录；</w:t>
      </w:r>
      <w:bookmarkEnd w:id="68"/>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69" w:name="_Toc7413"/>
      <w:r>
        <w:rPr>
          <w:rFonts w:hint="eastAsia" w:ascii="宋体" w:hAnsi="宋体" w:eastAsia="宋体" w:cs="宋体"/>
          <w:color w:val="000000"/>
          <w:sz w:val="24"/>
          <w:szCs w:val="28"/>
        </w:rPr>
        <w:t>（7）开标结束。</w:t>
      </w:r>
      <w:bookmarkEnd w:id="69"/>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0" w:name="_Toc31670"/>
      <w:r>
        <w:rPr>
          <w:rFonts w:hint="eastAsia" w:ascii="宋体" w:hAnsi="宋体" w:eastAsia="宋体" w:cs="宋体"/>
          <w:color w:val="000000"/>
          <w:sz w:val="24"/>
          <w:szCs w:val="28"/>
        </w:rPr>
        <w:t>13.2.2 在本章第 13.2.1（5）目规定的时间内，非因“电子交易平台”原因造成响应文件未解密的，视为供应商撤回响应文件。已解密的响应文件少于三个的，招标失败；已解密的响应文件不少于三个，开标继续进行。</w:t>
      </w:r>
      <w:bookmarkEnd w:id="70"/>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1" w:name="_Toc19033"/>
      <w:r>
        <w:rPr>
          <w:rFonts w:hint="eastAsia" w:ascii="宋体" w:hAnsi="宋体" w:eastAsia="宋体" w:cs="宋体"/>
          <w:color w:val="000000"/>
          <w:sz w:val="24"/>
          <w:szCs w:val="28"/>
        </w:rPr>
        <w:t>13.3 3 开标异议</w:t>
      </w:r>
      <w:bookmarkEnd w:id="71"/>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2" w:name="_Toc28463"/>
      <w:r>
        <w:rPr>
          <w:rFonts w:hint="eastAsia" w:ascii="宋体" w:hAnsi="宋体" w:eastAsia="宋体" w:cs="宋体"/>
          <w:color w:val="000000"/>
          <w:sz w:val="24"/>
          <w:szCs w:val="28"/>
        </w:rPr>
        <w:t>13.3.1 供应商对开标有异议的，应当在开标过程中提出；采购人当场对异议作出答复，并记入开标记录。异议与答复应通过 “开标大厅”在“异议与答复”菜单以书面形式进行。本处所称异议是指供应商在开标过程中对响应文件提交、响应截止时间、响应程序、响应记录以及供应商和采购人或者供应商相互之间存在利益冲突的情形等提出的质疑。</w:t>
      </w:r>
      <w:bookmarkEnd w:id="72"/>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3" w:name="_Toc6686"/>
      <w:r>
        <w:rPr>
          <w:rFonts w:hint="eastAsia" w:ascii="宋体" w:hAnsi="宋体" w:eastAsia="宋体" w:cs="宋体"/>
          <w:color w:val="000000"/>
          <w:sz w:val="24"/>
          <w:szCs w:val="28"/>
        </w:rPr>
        <w:t>13.3.2 供应商异议成立的，采购人将及时采取纠正措施，或者提交磋商小组评审确认；供应商异议不成立的，采购人将当场给予解释说明。</w:t>
      </w:r>
      <w:bookmarkEnd w:id="73"/>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4" w:name="_Toc10729"/>
      <w:r>
        <w:rPr>
          <w:rFonts w:hint="eastAsia" w:ascii="宋体" w:hAnsi="宋体" w:eastAsia="宋体" w:cs="宋体"/>
          <w:color w:val="000000"/>
          <w:sz w:val="24"/>
          <w:szCs w:val="28"/>
        </w:rPr>
        <w:t>13.4 特殊情况的处置</w:t>
      </w:r>
      <w:bookmarkEnd w:id="74"/>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5" w:name="_Toc29168"/>
      <w:r>
        <w:rPr>
          <w:rFonts w:hint="eastAsia" w:ascii="宋体" w:hAnsi="宋体" w:eastAsia="宋体" w:cs="宋体"/>
          <w:color w:val="000000"/>
          <w:sz w:val="24"/>
          <w:szCs w:val="28"/>
        </w:rPr>
        <w:t>13.4.1 因“电子交易平台”系统故障导致无法投标的，交易中心及时通知采购人，采购人视情况决定是否顺延投标截止时间。因供应商自身原因导致无法完成投标的，由供应商自行承担后果。</w:t>
      </w:r>
      <w:bookmarkEnd w:id="75"/>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6" w:name="_Toc30745"/>
      <w:r>
        <w:rPr>
          <w:rFonts w:hint="eastAsia" w:ascii="宋体" w:hAnsi="宋体" w:eastAsia="宋体" w:cs="宋体"/>
          <w:color w:val="000000"/>
          <w:sz w:val="24"/>
          <w:szCs w:val="28"/>
        </w:rPr>
        <w:t>13.4.2 因“电子交易平台”系统故障导致无法正常开标的，采购人将暂停开标，待系统恢复正常后继续开标。</w:t>
      </w:r>
      <w:bookmarkEnd w:id="76"/>
    </w:p>
    <w:p>
      <w:pPr>
        <w:autoSpaceDE w:val="0"/>
        <w:autoSpaceDN w:val="0"/>
        <w:adjustRightInd w:val="0"/>
        <w:snapToGrid w:val="0"/>
        <w:spacing w:line="440" w:lineRule="exact"/>
        <w:ind w:firstLine="480" w:firstLineChars="200"/>
        <w:outlineLvl w:val="0"/>
        <w:rPr>
          <w:rFonts w:ascii="宋体" w:hAnsi="宋体" w:eastAsia="宋体" w:cs="宋体"/>
          <w:color w:val="000000"/>
          <w:sz w:val="24"/>
          <w:szCs w:val="28"/>
        </w:rPr>
      </w:pPr>
      <w:bookmarkStart w:id="77" w:name="_Toc15767"/>
      <w:r>
        <w:rPr>
          <w:rFonts w:hint="eastAsia" w:ascii="宋体" w:hAnsi="宋体" w:eastAsia="宋体" w:cs="宋体"/>
          <w:color w:val="000000"/>
          <w:sz w:val="24"/>
          <w:szCs w:val="28"/>
        </w:rPr>
        <w:t>13.4.3 “电子交易平台”系统故障是指下列情形：</w:t>
      </w:r>
      <w:bookmarkEnd w:id="77"/>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78" w:name="_Toc19743"/>
      <w:r>
        <w:rPr>
          <w:rFonts w:hint="eastAsia" w:ascii="宋体" w:hAnsi="宋体" w:eastAsia="宋体" w:cs="宋体"/>
          <w:color w:val="000000"/>
          <w:sz w:val="24"/>
          <w:szCs w:val="28"/>
        </w:rPr>
        <w:t>（1）系统服务器发生故障，无法访问或无法使用系统；</w:t>
      </w:r>
      <w:bookmarkEnd w:id="78"/>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79" w:name="_Toc1706"/>
      <w:r>
        <w:rPr>
          <w:rFonts w:hint="eastAsia" w:ascii="宋体" w:hAnsi="宋体" w:eastAsia="宋体" w:cs="宋体"/>
          <w:color w:val="000000"/>
          <w:sz w:val="24"/>
          <w:szCs w:val="28"/>
        </w:rPr>
        <w:t>（2）系统的软件或数据库出现错误，不能进行正常操作；</w:t>
      </w:r>
      <w:bookmarkEnd w:id="79"/>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80" w:name="_Toc18704"/>
      <w:r>
        <w:rPr>
          <w:rFonts w:hint="eastAsia" w:ascii="宋体" w:hAnsi="宋体" w:eastAsia="宋体" w:cs="宋体"/>
          <w:color w:val="000000"/>
          <w:sz w:val="24"/>
          <w:szCs w:val="28"/>
        </w:rPr>
        <w:t>（3）系统发现有安全漏洞，有潜在的泄密危险；</w:t>
      </w:r>
      <w:bookmarkEnd w:id="80"/>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81" w:name="_Toc32378"/>
      <w:r>
        <w:rPr>
          <w:rFonts w:hint="eastAsia" w:ascii="宋体" w:hAnsi="宋体" w:eastAsia="宋体" w:cs="宋体"/>
          <w:color w:val="000000"/>
          <w:sz w:val="24"/>
          <w:szCs w:val="28"/>
        </w:rPr>
        <w:t>（4）出现断电、断网事故；</w:t>
      </w:r>
      <w:bookmarkEnd w:id="81"/>
    </w:p>
    <w:p>
      <w:pPr>
        <w:autoSpaceDE w:val="0"/>
        <w:autoSpaceDN w:val="0"/>
        <w:adjustRightInd w:val="0"/>
        <w:snapToGrid w:val="0"/>
        <w:spacing w:line="440" w:lineRule="exact"/>
        <w:ind w:firstLine="240" w:firstLineChars="100"/>
        <w:outlineLvl w:val="0"/>
        <w:rPr>
          <w:rFonts w:ascii="宋体" w:hAnsi="宋体" w:eastAsia="宋体" w:cs="宋体"/>
          <w:color w:val="000000"/>
          <w:sz w:val="24"/>
          <w:szCs w:val="28"/>
        </w:rPr>
      </w:pPr>
      <w:bookmarkStart w:id="82" w:name="_Toc19289"/>
      <w:r>
        <w:rPr>
          <w:rFonts w:hint="eastAsia" w:ascii="宋体" w:hAnsi="宋体" w:eastAsia="宋体" w:cs="宋体"/>
          <w:color w:val="000000"/>
          <w:sz w:val="24"/>
          <w:szCs w:val="28"/>
        </w:rPr>
        <w:t>（5）其他无法保证招投标过程正常进行的情形。</w:t>
      </w:r>
      <w:bookmarkEnd w:id="82"/>
    </w:p>
    <w:p>
      <w:pPr>
        <w:autoSpaceDE w:val="0"/>
        <w:autoSpaceDN w:val="0"/>
        <w:adjustRightInd w:val="0"/>
        <w:spacing w:line="440" w:lineRule="exact"/>
        <w:outlineLvl w:val="0"/>
        <w:rPr>
          <w:rFonts w:ascii="宋体" w:hAnsi="宋体" w:eastAsia="宋体" w:cs="宋体"/>
          <w:b/>
          <w:bCs/>
          <w:sz w:val="24"/>
          <w:szCs w:val="28"/>
          <w:lang w:val="zh-CN"/>
        </w:rPr>
      </w:pPr>
      <w:bookmarkStart w:id="83" w:name="_Toc13463"/>
      <w:r>
        <w:rPr>
          <w:rFonts w:hint="eastAsia" w:ascii="宋体" w:hAnsi="宋体" w:eastAsia="宋体" w:cs="宋体"/>
          <w:b/>
          <w:bCs/>
          <w:sz w:val="24"/>
          <w:szCs w:val="28"/>
          <w:lang w:val="zh-CN"/>
        </w:rPr>
        <w:t>E.竞争性磋商文件内容、程序及相关说明</w:t>
      </w:r>
      <w:bookmarkEnd w:id="54"/>
      <w:bookmarkEnd w:id="55"/>
      <w:bookmarkEnd w:id="56"/>
      <w:bookmarkEnd w:id="83"/>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4</w:t>
      </w:r>
      <w:r>
        <w:rPr>
          <w:rFonts w:hint="eastAsia" w:ascii="宋体" w:hAnsi="宋体" w:eastAsia="宋体" w:cs="宋体"/>
          <w:b/>
          <w:bCs/>
          <w:color w:val="000000"/>
          <w:sz w:val="24"/>
          <w:szCs w:val="28"/>
          <w:lang w:val="zh-CN"/>
        </w:rPr>
        <w:t>．磋商说明</w:t>
      </w:r>
    </w:p>
    <w:p>
      <w:pPr>
        <w:tabs>
          <w:tab w:val="left" w:pos="2520"/>
        </w:tabs>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4.</w:t>
      </w:r>
      <w:r>
        <w:rPr>
          <w:rFonts w:hint="eastAsia" w:ascii="宋体" w:hAnsi="宋体" w:eastAsia="宋体" w:cs="宋体"/>
          <w:color w:val="000000"/>
          <w:sz w:val="24"/>
          <w:szCs w:val="28"/>
          <w:lang w:val="zh-CN"/>
        </w:rPr>
        <w:t>1由采购人组织成立磋商小组，磋商小组成员由有关经济、技术方面的评审专家和采购人代表等组成，成员人数为</w:t>
      </w:r>
      <w:r>
        <w:rPr>
          <w:rFonts w:hint="eastAsia" w:ascii="宋体" w:hAnsi="宋体" w:eastAsia="宋体" w:cs="宋体"/>
          <w:bCs/>
          <w:color w:val="000000"/>
          <w:sz w:val="24"/>
          <w:szCs w:val="28"/>
          <w:lang w:val="zh-CN"/>
        </w:rPr>
        <w:t>3人</w:t>
      </w:r>
      <w:r>
        <w:rPr>
          <w:rFonts w:hint="eastAsia" w:ascii="宋体" w:hAnsi="宋体" w:eastAsia="宋体" w:cs="宋体"/>
          <w:color w:val="000000"/>
          <w:sz w:val="24"/>
          <w:szCs w:val="28"/>
          <w:lang w:val="zh-CN"/>
        </w:rPr>
        <w:t>，其中评审专家人数不得少于磋商小组成员总数的2/3。</w:t>
      </w:r>
    </w:p>
    <w:p>
      <w:pPr>
        <w:autoSpaceDE w:val="0"/>
        <w:autoSpaceDN w:val="0"/>
        <w:adjustRightInd w:val="0"/>
        <w:spacing w:line="440" w:lineRule="exact"/>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4</w:t>
      </w:r>
      <w:r>
        <w:rPr>
          <w:rFonts w:hint="eastAsia" w:ascii="宋体" w:hAnsi="宋体" w:eastAsia="宋体" w:cs="宋体"/>
          <w:color w:val="000000"/>
          <w:sz w:val="24"/>
          <w:szCs w:val="28"/>
          <w:lang w:val="zh-CN"/>
        </w:rPr>
        <w:t>.2 磋商全过程中，供应商应委派法定代表人或项目负责人参加。</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5</w:t>
      </w:r>
      <w:r>
        <w:rPr>
          <w:rFonts w:hint="eastAsia" w:ascii="宋体" w:hAnsi="宋体" w:eastAsia="宋体" w:cs="宋体"/>
          <w:b/>
          <w:bCs/>
          <w:color w:val="000000"/>
          <w:sz w:val="24"/>
          <w:szCs w:val="28"/>
          <w:lang w:val="zh-CN"/>
        </w:rPr>
        <w:t>.磋商原则</w:t>
      </w:r>
    </w:p>
    <w:p>
      <w:pPr>
        <w:autoSpaceDE w:val="0"/>
        <w:autoSpaceDN w:val="0"/>
        <w:adjustRightInd w:val="0"/>
        <w:snapToGrid w:val="0"/>
        <w:spacing w:before="15" w:after="15" w:line="440" w:lineRule="exact"/>
        <w:ind w:firstLine="549"/>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.1 统一性原则：磋商小组将按照统一的磋商程序和磋商方法，用同一标准进行磋商；</w:t>
      </w:r>
    </w:p>
    <w:p>
      <w:pPr>
        <w:autoSpaceDE w:val="0"/>
        <w:autoSpaceDN w:val="0"/>
        <w:adjustRightInd w:val="0"/>
        <w:snapToGrid w:val="0"/>
        <w:spacing w:before="15" w:after="15" w:line="440" w:lineRule="exact"/>
        <w:ind w:firstLine="549"/>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.2 独立性原则：磋商工作在磋商小组内部独立进行，不受外界任何因素的干扰和影响。磋商小组成员对出具的评审意见承担个人责任；</w:t>
      </w:r>
    </w:p>
    <w:p>
      <w:pPr>
        <w:autoSpaceDE w:val="0"/>
        <w:autoSpaceDN w:val="0"/>
        <w:adjustRightInd w:val="0"/>
        <w:snapToGrid w:val="0"/>
        <w:spacing w:before="15" w:after="15"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.3 综合性原则：磋商小组将综合分析、评审磋商供应商的各项指标，磋商小组按照竞争性磋商文件规定的磋商办法和标准对各供应商进行综合评定；</w:t>
      </w:r>
    </w:p>
    <w:p>
      <w:pPr>
        <w:autoSpaceDE w:val="0"/>
        <w:autoSpaceDN w:val="0"/>
        <w:adjustRightInd w:val="0"/>
        <w:snapToGrid w:val="0"/>
        <w:spacing w:before="15" w:after="15"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.4保密性原则：采购人或采购代理机构将采取必要的措施，保证磋商在严格保密的情况下进行。</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6</w:t>
      </w:r>
      <w:r>
        <w:rPr>
          <w:rFonts w:hint="eastAsia" w:ascii="宋体" w:hAnsi="宋体" w:eastAsia="宋体" w:cs="宋体"/>
          <w:b/>
          <w:bCs/>
          <w:color w:val="000000"/>
          <w:sz w:val="24"/>
          <w:szCs w:val="28"/>
          <w:lang w:val="zh-CN"/>
        </w:rPr>
        <w:t>.磋商程序、内容</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.1供应商在响应文件中对本项目首次报价；</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.2磋商小组要对各供应商的资格性、递交的响应性文件的符合性进行审阅，以判定各供应商资格、响应性文件的有效性，审阅结束后，要确定进入最后报价磋商阶段的供应商名单；</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在磋商过程中，磋商小组可以根据磋商文件和磋商情况实质性变动采购需求中的技术、服务要求以及合同草案条款，但不得变动磋商文件中的其他内容。实质性变动的内容，需经采购人代表确认。对磋商文件作出的实质性变动是磋商文件的有效组成部分，磋商小组应当及时以书面形式同时通知所有参加磋商的供应商。供应商应当按照磋商文件的变动情况和磋商小组的要求重新提交响应文件，通过互联网使用 CA 数字证书登录“电子交易平台”上传。并由其法定代表人或项目负责人理签字或者加盖公章，由项目负责人签字的，应当附法定代表人授权书；</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.5磋商文件能够详细列明采购标的技术、服务要求的，磋商结束后，磋商小组应当要求所有实质性响应的供应商在规定时间</w:t>
      </w:r>
      <w:r>
        <w:rPr>
          <w:rFonts w:hint="eastAsia" w:ascii="宋体" w:hAnsi="宋体" w:eastAsia="宋体" w:cs="宋体"/>
          <w:color w:val="000000"/>
          <w:sz w:val="24"/>
          <w:szCs w:val="28"/>
        </w:rPr>
        <w:t>30分钟</w:t>
      </w:r>
      <w:r>
        <w:rPr>
          <w:rFonts w:hint="eastAsia" w:ascii="宋体" w:hAnsi="宋体" w:eastAsia="宋体" w:cs="宋体"/>
          <w:color w:val="000000"/>
          <w:sz w:val="24"/>
          <w:szCs w:val="28"/>
          <w:lang w:val="zh-CN"/>
        </w:rPr>
        <w:t>内提交最后报价，若在规定时间内投标人没有按要求进行最后报价，则作自动弃权处理。提交最后报价的供应商不得少于3家，最后报价是供应商响应文件的有效组成部分；</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已提交响应文件的供应商，在提交最后报价之前，可以根据磋商情况退出磋商；</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6.7</w:t>
      </w:r>
      <w:r>
        <w:rPr>
          <w:rFonts w:hint="eastAsia" w:ascii="宋体" w:hAnsi="宋体" w:eastAsia="宋体" w:cs="宋体"/>
          <w:color w:val="000000"/>
          <w:sz w:val="24"/>
          <w:szCs w:val="28"/>
          <w:lang w:val="zh-CN"/>
        </w:rPr>
        <w:t>经磋商确定最终采购需求和提交最后报价的供应商后，由磋商小组采用综合评分法对提交最后报价的供应商的响应文件和最后报价进行综合评分；</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8</w:t>
      </w:r>
      <w:r>
        <w:rPr>
          <w:rFonts w:hint="eastAsia" w:ascii="宋体" w:hAnsi="宋体" w:eastAsia="宋体" w:cs="宋体"/>
          <w:color w:val="000000"/>
          <w:sz w:val="24"/>
          <w:szCs w:val="28"/>
          <w:lang w:val="zh-CN"/>
        </w:rPr>
        <w:t>磋商小组根据综合评分情况，按照评审得分由高到低顺序推荐前三名为成交候选供应商，并编写评审报告。评审得分相同的，按照最后报价由低到高的顺序推荐。评审得分且最后报价相同的，按照技术指标优劣顺序推荐；</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供需双方签订采购合同。</w:t>
      </w:r>
    </w:p>
    <w:p>
      <w:pPr>
        <w:tabs>
          <w:tab w:val="left" w:pos="709"/>
        </w:tabs>
        <w:autoSpaceDE w:val="0"/>
        <w:autoSpaceDN w:val="0"/>
        <w:adjustRightInd w:val="0"/>
        <w:snapToGrid w:val="0"/>
        <w:spacing w:line="440" w:lineRule="exact"/>
        <w:ind w:left="709" w:hanging="709"/>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7</w:t>
      </w:r>
      <w:r>
        <w:rPr>
          <w:rFonts w:hint="eastAsia" w:ascii="宋体" w:hAnsi="宋体" w:eastAsia="宋体" w:cs="宋体"/>
          <w:b/>
          <w:bCs/>
          <w:color w:val="000000"/>
          <w:sz w:val="24"/>
          <w:szCs w:val="28"/>
          <w:lang w:val="zh-CN"/>
        </w:rPr>
        <w:t>．响应性文件的澄清：</w:t>
      </w:r>
    </w:p>
    <w:p>
      <w:pPr>
        <w:tabs>
          <w:tab w:val="left" w:pos="0"/>
        </w:tabs>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7</w:t>
      </w:r>
      <w:r>
        <w:rPr>
          <w:rFonts w:hint="eastAsia" w:ascii="宋体" w:hAnsi="宋体" w:eastAsia="宋体" w:cs="宋体"/>
          <w:color w:val="000000"/>
          <w:sz w:val="24"/>
          <w:szCs w:val="28"/>
          <w:lang w:val="zh-CN"/>
        </w:rPr>
        <w:t>.1磋商小组在对响应文件有效性、完整性和响应程度进行审查时，可以要求供应商对响应性文件中含义不明确、对同类问题表述不一致或者有明显文字和计算错误的内容等作必要的澄清、说明或者更正，该澄清、说明或者更正应当采用书面形式，并由法定代表人或其项目经理签字或者加盖公章，由项目经理签字的，应当附法定代表人授权书。</w:t>
      </w:r>
    </w:p>
    <w:p>
      <w:pPr>
        <w:tabs>
          <w:tab w:val="left" w:pos="-180"/>
        </w:tabs>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7</w:t>
      </w:r>
      <w:r>
        <w:rPr>
          <w:rFonts w:hint="eastAsia" w:ascii="宋体" w:hAnsi="宋体" w:eastAsia="宋体" w:cs="宋体"/>
          <w:color w:val="000000"/>
          <w:sz w:val="24"/>
          <w:szCs w:val="28"/>
          <w:lang w:val="zh-CN"/>
        </w:rPr>
        <w:t>.2澄清、说明或者更正将作为响应性文件内容的一部分。澄清、说明不得超出响应文件的范围或者改变响应性文件的实质性内容。供应商拒不按照要求对响应性文件进行澄清、说明的，磋商小组可拒绝该其响应文件。</w:t>
      </w:r>
    </w:p>
    <w:p>
      <w:pPr>
        <w:autoSpaceDE w:val="0"/>
        <w:autoSpaceDN w:val="0"/>
        <w:adjustRightInd w:val="0"/>
        <w:snapToGrid w:val="0"/>
        <w:spacing w:line="440" w:lineRule="exact"/>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7</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如磋商小组一致认为某个供应商的报价明显不合理，有降低质量、不能诚信履行的可能时，磋商小组有权决定是否通知供应商限期进行书面解释或提供相关证明材料。若已要求，而该磋商供应商在规定期限内未作出解释、作出的解释不合理或不能提供证明材料的，经磋商小组取得一致意见后，可拒绝该报价。</w:t>
      </w:r>
    </w:p>
    <w:p>
      <w:pPr>
        <w:autoSpaceDE w:val="0"/>
        <w:autoSpaceDN w:val="0"/>
        <w:adjustRightInd w:val="0"/>
        <w:snapToGrid w:val="0"/>
        <w:spacing w:line="440" w:lineRule="exact"/>
        <w:rPr>
          <w:rFonts w:ascii="宋体" w:hAnsi="宋体" w:eastAsia="宋体" w:cs="宋体"/>
          <w:b/>
          <w:bCs/>
          <w:sz w:val="24"/>
          <w:szCs w:val="28"/>
          <w:lang w:val="zh-CN"/>
        </w:rPr>
      </w:pPr>
      <w:r>
        <w:rPr>
          <w:rFonts w:hint="eastAsia" w:ascii="宋体" w:hAnsi="宋体" w:eastAsia="宋体" w:cs="宋体"/>
          <w:b/>
          <w:bCs/>
          <w:sz w:val="24"/>
          <w:szCs w:val="28"/>
        </w:rPr>
        <w:t xml:space="preserve"> 18.</w:t>
      </w:r>
      <w:r>
        <w:rPr>
          <w:rFonts w:hint="eastAsia" w:ascii="宋体" w:hAnsi="宋体" w:eastAsia="宋体" w:cs="宋体"/>
          <w:b/>
          <w:bCs/>
          <w:sz w:val="24"/>
          <w:szCs w:val="28"/>
          <w:lang w:val="zh-CN"/>
        </w:rPr>
        <w:t xml:space="preserve"> 非专门面向中小企业、监狱企业或残疾人福利性单位采购项目价格评议</w:t>
      </w:r>
    </w:p>
    <w:p>
      <w:pPr>
        <w:tabs>
          <w:tab w:val="left" w:pos="0"/>
        </w:tabs>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供应商须知前附表》确定比例进行价格扣除，用扣除后的价格参与评审。本项所称产品不包括使用大型企业注册商标的产品、使用非残疾人福利性单位注册商标的货物或非监狱企业生产的货物。</w:t>
      </w:r>
    </w:p>
    <w:p>
      <w:pPr>
        <w:tabs>
          <w:tab w:val="left" w:pos="0"/>
        </w:tabs>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tabs>
          <w:tab w:val="left" w:pos="0"/>
        </w:tabs>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3对小型、微型企业与大中型企业和其他自然人、法人或者其他组织组成联合体共同参加非专门面向中小企业的政府采购活动，联合协议中小型、微型企业的协议合同金额占协议合同总金额30%以上的，给予联合体《供应商须知前附表》确定比例进行价格扣除。联合体各方均为小型、微型企业的，给予联合体按比例进行价格扣除。</w:t>
      </w:r>
    </w:p>
    <w:p>
      <w:pPr>
        <w:tabs>
          <w:tab w:val="left" w:pos="0"/>
        </w:tabs>
        <w:autoSpaceDE w:val="0"/>
        <w:autoSpaceDN w:val="0"/>
        <w:adjustRightInd w:val="0"/>
        <w:snapToGrid w:val="0"/>
        <w:spacing w:line="440" w:lineRule="exact"/>
        <w:ind w:firstLine="480" w:firstLineChars="200"/>
        <w:rPr>
          <w:rFonts w:ascii="宋体" w:hAnsi="宋体" w:eastAsia="宋体" w:cs="宋体"/>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709"/>
        </w:tabs>
        <w:autoSpaceDE w:val="0"/>
        <w:autoSpaceDN w:val="0"/>
        <w:adjustRightInd w:val="0"/>
        <w:snapToGrid w:val="0"/>
        <w:spacing w:line="440" w:lineRule="exact"/>
        <w:ind w:left="709" w:hanging="709"/>
        <w:rPr>
          <w:rFonts w:ascii="宋体" w:hAnsi="宋体" w:eastAsia="宋体" w:cs="宋体"/>
          <w:b/>
          <w:bCs/>
          <w:color w:val="000000"/>
          <w:sz w:val="24"/>
          <w:szCs w:val="28"/>
          <w:lang w:val="zh-CN"/>
        </w:rPr>
      </w:pPr>
      <w:r>
        <w:rPr>
          <w:rFonts w:hint="eastAsia" w:ascii="宋体" w:hAnsi="宋体" w:eastAsia="宋体" w:cs="宋体"/>
          <w:b/>
          <w:bCs/>
          <w:color w:val="000000"/>
          <w:sz w:val="24"/>
          <w:szCs w:val="28"/>
        </w:rPr>
        <w:t>19</w:t>
      </w:r>
      <w:r>
        <w:rPr>
          <w:rFonts w:hint="eastAsia" w:ascii="宋体" w:hAnsi="宋体" w:eastAsia="宋体" w:cs="宋体"/>
          <w:b/>
          <w:bCs/>
          <w:color w:val="000000"/>
          <w:sz w:val="24"/>
          <w:szCs w:val="28"/>
          <w:lang w:val="zh-CN"/>
        </w:rPr>
        <w:t>注意事项：</w:t>
      </w:r>
    </w:p>
    <w:p>
      <w:pPr>
        <w:autoSpaceDE w:val="0"/>
        <w:autoSpaceDN w:val="0"/>
        <w:adjustRightInd w:val="0"/>
        <w:snapToGrid w:val="0"/>
        <w:spacing w:line="440" w:lineRule="exact"/>
        <w:ind w:firstLine="472" w:firstLineChars="196"/>
        <w:rPr>
          <w:rFonts w:ascii="宋体" w:hAnsi="宋体" w:eastAsia="宋体" w:cs="宋体"/>
          <w:color w:val="000000"/>
          <w:sz w:val="24"/>
          <w:szCs w:val="28"/>
          <w:lang w:val="zh-CN"/>
        </w:rPr>
      </w:pPr>
      <w:r>
        <w:rPr>
          <w:rFonts w:hint="eastAsia" w:ascii="宋体" w:hAnsi="宋体" w:eastAsia="宋体" w:cs="宋体"/>
          <w:b/>
          <w:bCs/>
          <w:color w:val="000000"/>
          <w:sz w:val="24"/>
          <w:szCs w:val="28"/>
        </w:rPr>
        <w:t xml:space="preserve"> </w:t>
      </w:r>
      <w:r>
        <w:rPr>
          <w:rFonts w:hint="eastAsia" w:ascii="宋体" w:hAnsi="宋体" w:eastAsia="宋体" w:cs="宋体"/>
          <w:color w:val="000000"/>
          <w:sz w:val="24"/>
          <w:szCs w:val="28"/>
        </w:rPr>
        <w:t>19</w:t>
      </w:r>
      <w:r>
        <w:rPr>
          <w:rFonts w:hint="eastAsia" w:ascii="宋体" w:hAnsi="宋体" w:eastAsia="宋体" w:cs="宋体"/>
          <w:color w:val="000000"/>
          <w:sz w:val="24"/>
          <w:szCs w:val="28"/>
          <w:lang w:val="zh-CN"/>
        </w:rPr>
        <w:t>.1磋商供应商出现下列情形之一的，磋商小组可取消其磋商资格：</w:t>
      </w:r>
    </w:p>
    <w:p>
      <w:pPr>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（1）未按竞争性磋商文件规定提交有关材料的；</w:t>
      </w:r>
    </w:p>
    <w:p>
      <w:pPr>
        <w:autoSpaceDE w:val="0"/>
        <w:autoSpaceDN w:val="0"/>
        <w:adjustRightInd w:val="0"/>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）有违反政府采购法律、法规行为的。</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rPr>
        <w:t>19</w:t>
      </w:r>
      <w:r>
        <w:rPr>
          <w:rFonts w:hint="eastAsia" w:ascii="宋体" w:hAnsi="宋体" w:eastAsia="宋体" w:cs="宋体"/>
          <w:color w:val="000000"/>
          <w:sz w:val="24"/>
          <w:szCs w:val="28"/>
          <w:lang w:val="zh-CN"/>
        </w:rPr>
        <w:t>.2磋商供应商出现下列情形之一的，磋商小组在评审中按废标处理：</w:t>
      </w:r>
    </w:p>
    <w:p>
      <w:pPr>
        <w:autoSpaceDE w:val="0"/>
        <w:autoSpaceDN w:val="0"/>
        <w:adjustRightInd w:val="0"/>
        <w:snapToGrid w:val="0"/>
        <w:spacing w:line="440" w:lineRule="exact"/>
        <w:ind w:firstLine="633" w:firstLineChars="264"/>
        <w:rPr>
          <w:rFonts w:ascii="宋体" w:hAnsi="宋体" w:eastAsia="宋体" w:cs="宋体"/>
          <w:color w:val="000000"/>
          <w:sz w:val="24"/>
          <w:szCs w:val="28"/>
        </w:rPr>
      </w:pPr>
      <w:r>
        <w:rPr>
          <w:rFonts w:hint="eastAsia" w:ascii="宋体" w:hAnsi="宋体" w:eastAsia="宋体" w:cs="宋体"/>
          <w:color w:val="000000"/>
          <w:sz w:val="24"/>
          <w:szCs w:val="28"/>
        </w:rPr>
        <w:t>(1</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最后报价</w:t>
      </w:r>
      <w:r>
        <w:rPr>
          <w:rFonts w:hint="eastAsia" w:ascii="宋体" w:hAnsi="宋体" w:eastAsia="宋体" w:cs="宋体"/>
          <w:color w:val="000000"/>
          <w:sz w:val="24"/>
          <w:szCs w:val="28"/>
          <w:lang w:eastAsia="zh-CN"/>
        </w:rPr>
        <w:t>有选择性地</w:t>
      </w:r>
      <w:r>
        <w:rPr>
          <w:rFonts w:hint="eastAsia" w:ascii="宋体" w:hAnsi="宋体" w:eastAsia="宋体" w:cs="宋体"/>
          <w:color w:val="000000"/>
          <w:sz w:val="24"/>
          <w:szCs w:val="28"/>
        </w:rPr>
        <w:t>；</w:t>
      </w:r>
    </w:p>
    <w:p>
      <w:pPr>
        <w:autoSpaceDE w:val="0"/>
        <w:autoSpaceDN w:val="0"/>
        <w:adjustRightInd w:val="0"/>
        <w:snapToGrid w:val="0"/>
        <w:spacing w:line="440" w:lineRule="exact"/>
        <w:ind w:firstLine="153" w:firstLineChars="64"/>
        <w:rPr>
          <w:rFonts w:ascii="宋体" w:hAnsi="宋体" w:eastAsia="宋体" w:cs="宋体"/>
          <w:color w:val="000000"/>
          <w:sz w:val="24"/>
          <w:szCs w:val="28"/>
          <w:lang w:val="zh-CN"/>
        </w:rPr>
      </w:pPr>
      <w:r>
        <w:rPr>
          <w:rFonts w:hint="eastAsia" w:ascii="宋体" w:hAnsi="宋体" w:eastAsia="宋体" w:cs="宋体"/>
          <w:color w:val="000000"/>
          <w:sz w:val="24"/>
          <w:szCs w:val="28"/>
          <w:lang w:val="zh-CN"/>
        </w:rPr>
        <w:t xml:space="preserve">  </w:t>
      </w:r>
      <w:r>
        <w:rPr>
          <w:rFonts w:hint="eastAsia" w:ascii="宋体" w:hAnsi="宋体" w:eastAsia="宋体" w:cs="宋体"/>
          <w:color w:val="000000"/>
          <w:sz w:val="24"/>
          <w:szCs w:val="28"/>
        </w:rPr>
        <w:t xml:space="preserve">  </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2</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zh-CN"/>
        </w:rPr>
        <w:t>不符合竞争性磋商文件中规定的其他实质性要求。</w:t>
      </w:r>
    </w:p>
    <w:p>
      <w:pPr>
        <w:autoSpaceDE w:val="0"/>
        <w:autoSpaceDN w:val="0"/>
        <w:adjustRightInd w:val="0"/>
        <w:spacing w:line="440" w:lineRule="exact"/>
        <w:ind w:firstLine="480" w:firstLineChars="200"/>
        <w:jc w:val="left"/>
        <w:rPr>
          <w:rFonts w:ascii="宋体" w:hAnsi="宋体" w:eastAsia="宋体" w:cs="宋体"/>
          <w:sz w:val="24"/>
          <w:szCs w:val="28"/>
          <w:lang w:val="zh-CN"/>
        </w:rPr>
      </w:pPr>
      <w:r>
        <w:rPr>
          <w:rFonts w:hint="eastAsia" w:ascii="宋体" w:hAnsi="宋体" w:eastAsia="宋体" w:cs="宋体"/>
          <w:color w:val="000000"/>
          <w:sz w:val="24"/>
          <w:szCs w:val="28"/>
        </w:rPr>
        <w:t>19</w:t>
      </w:r>
      <w:r>
        <w:rPr>
          <w:rFonts w:hint="eastAsia" w:ascii="宋体" w:hAnsi="宋体" w:eastAsia="宋体" w:cs="宋体"/>
          <w:color w:val="000000"/>
          <w:sz w:val="24"/>
          <w:szCs w:val="28"/>
          <w:lang w:val="zh-CN"/>
        </w:rPr>
        <w:t>.3经查实，若磋商供应商有提供虚假证明文件的行为，采购人将视情节轻重和影响程度报政府相关监督管理部门处理</w:t>
      </w:r>
      <w:r>
        <w:rPr>
          <w:rFonts w:hint="eastAsia" w:ascii="宋体" w:hAnsi="宋体" w:eastAsia="宋体" w:cs="宋体"/>
          <w:sz w:val="24"/>
          <w:szCs w:val="28"/>
          <w:lang w:val="zh-CN"/>
        </w:rPr>
        <w:t>。</w:t>
      </w:r>
    </w:p>
    <w:p>
      <w:pPr>
        <w:autoSpaceDE w:val="0"/>
        <w:autoSpaceDN w:val="0"/>
        <w:adjustRightInd w:val="0"/>
        <w:snapToGrid w:val="0"/>
        <w:spacing w:line="440" w:lineRule="exact"/>
        <w:rPr>
          <w:rFonts w:ascii="宋体" w:hAnsi="宋体" w:eastAsia="宋体" w:cs="宋体"/>
          <w:b/>
          <w:bCs/>
          <w:color w:val="000000"/>
          <w:sz w:val="24"/>
          <w:szCs w:val="28"/>
          <w:lang w:val="zh-CN"/>
        </w:rPr>
      </w:pPr>
      <w:bookmarkStart w:id="84" w:name="_Toc15707"/>
      <w:bookmarkStart w:id="85" w:name="_Toc16943"/>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0</w:t>
      </w:r>
      <w:r>
        <w:rPr>
          <w:rFonts w:hint="eastAsia" w:ascii="宋体" w:hAnsi="宋体" w:eastAsia="宋体" w:cs="宋体"/>
          <w:b/>
          <w:bCs/>
          <w:color w:val="000000"/>
          <w:sz w:val="24"/>
          <w:szCs w:val="28"/>
          <w:lang w:val="zh-CN"/>
        </w:rPr>
        <w:t>.确定成交供应商的原则及方法</w:t>
      </w:r>
    </w:p>
    <w:p>
      <w:pPr>
        <w:autoSpaceDE w:val="0"/>
        <w:autoSpaceDN w:val="0"/>
        <w:adjustRightInd w:val="0"/>
        <w:snapToGrid w:val="0"/>
        <w:spacing w:line="440" w:lineRule="exact"/>
        <w:ind w:firstLine="560"/>
        <w:rPr>
          <w:rFonts w:ascii="宋体" w:hAnsi="宋体" w:eastAsia="宋体" w:cs="宋体"/>
          <w:b/>
          <w:bCs/>
          <w:color w:val="000000"/>
          <w:sz w:val="24"/>
          <w:szCs w:val="28"/>
          <w:lang w:val="zh-CN"/>
        </w:rPr>
      </w:pPr>
      <w:r>
        <w:rPr>
          <w:rFonts w:hint="eastAsia" w:ascii="宋体" w:hAnsi="宋体" w:eastAsia="宋体" w:cs="宋体"/>
          <w:color w:val="000000"/>
          <w:sz w:val="24"/>
          <w:szCs w:val="28"/>
          <w:lang w:val="zh-CN"/>
        </w:rPr>
        <w:t>详见竞争性磋商文件第六部分“磋商办法”。</w:t>
      </w:r>
    </w:p>
    <w:p>
      <w:pPr>
        <w:autoSpaceDE w:val="0"/>
        <w:autoSpaceDN w:val="0"/>
        <w:adjustRightInd w:val="0"/>
        <w:spacing w:line="440" w:lineRule="exact"/>
        <w:outlineLvl w:val="0"/>
        <w:rPr>
          <w:rFonts w:ascii="宋体" w:hAnsi="宋体" w:eastAsia="宋体" w:cs="宋体"/>
          <w:b/>
          <w:bCs/>
          <w:sz w:val="24"/>
          <w:szCs w:val="28"/>
          <w:lang w:val="zh-CN"/>
        </w:rPr>
      </w:pPr>
      <w:bookmarkStart w:id="86" w:name="_Toc953"/>
      <w:bookmarkStart w:id="87" w:name="_Toc1590"/>
      <w:bookmarkStart w:id="88" w:name="_Toc13215"/>
      <w:r>
        <w:rPr>
          <w:rFonts w:hint="eastAsia" w:ascii="宋体" w:hAnsi="宋体" w:eastAsia="宋体" w:cs="宋体"/>
          <w:b/>
          <w:bCs/>
          <w:sz w:val="24"/>
          <w:szCs w:val="28"/>
          <w:lang w:val="zh-CN"/>
        </w:rPr>
        <w:t>F.授予合同</w:t>
      </w:r>
      <w:bookmarkEnd w:id="86"/>
      <w:bookmarkEnd w:id="87"/>
      <w:bookmarkEnd w:id="88"/>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1</w:t>
      </w:r>
      <w:r>
        <w:rPr>
          <w:rFonts w:hint="eastAsia" w:ascii="宋体" w:hAnsi="宋体" w:eastAsia="宋体" w:cs="宋体"/>
          <w:b/>
          <w:bCs/>
          <w:color w:val="000000"/>
          <w:sz w:val="24"/>
          <w:szCs w:val="28"/>
          <w:lang w:val="zh-CN"/>
        </w:rPr>
        <w:t>.成交通知书和签订合同</w:t>
      </w:r>
    </w:p>
    <w:p>
      <w:pPr>
        <w:autoSpaceDE w:val="0"/>
        <w:autoSpaceDN w:val="0"/>
        <w:adjustRightInd w:val="0"/>
        <w:snapToGrid w:val="0"/>
        <w:spacing w:line="440" w:lineRule="exact"/>
        <w:ind w:firstLine="686"/>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1确定成交供应商后，由分散采购机构向成交供应商签发《成交通知书》，成交供应商应于《成交通知书》签发之日起及时从电子交易平台上下载《成交通知书》。采购人与成交供应商应当在成交通知书发出之日起30日内，按照磋商文件确定的合同文本以及采购标的、规格型号、采购金额、采购数量、技术和服务要求等事项签订政府采购合同。《成交通知书》、竞争性磋商文件（包括澄清文件）、磋商记录及成交供应商的响应性文件等，均为签订合同的依据。成交通知书对采购人和成交供应商均具有法律效力。</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.2成交供应商应在与采购人签订合同后，并迅速组织货源保证如期供货。</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本项目不允许供应商拟在成交后将成交项目交由他人完成，成交供应商不得采用分包的形式履行合同。否则采购人有权终止合同，转包或分包造成采购人损失的， 成交供应商还应承担相应赔偿责任。</w:t>
      </w:r>
    </w:p>
    <w:p>
      <w:pPr>
        <w:tabs>
          <w:tab w:val="left" w:pos="709"/>
        </w:tabs>
        <w:autoSpaceDE w:val="0"/>
        <w:autoSpaceDN w:val="0"/>
        <w:adjustRightInd w:val="0"/>
        <w:snapToGrid w:val="0"/>
        <w:spacing w:line="440" w:lineRule="exact"/>
        <w:ind w:left="1"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4</w:t>
      </w:r>
      <w:r>
        <w:rPr>
          <w:rFonts w:hint="eastAsia" w:ascii="宋体" w:hAnsi="宋体" w:eastAsia="宋体" w:cs="宋体"/>
          <w:color w:val="000000"/>
          <w:sz w:val="24"/>
          <w:szCs w:val="28"/>
          <w:lang w:val="zh-CN"/>
        </w:rPr>
        <w:t xml:space="preserve"> 成交供应商不按照竞争性磋商文件和成交供应商的响应性文件确定的事项签订政府采购合同或者另行签订背离合同实质性内容的协议的或成交通知书发出后无正当理由不签订采购合同，若给采购人造成损失的，应予赔偿。政府采购监督管理部门有权处理成交金额的5-10‰罚款、列入不良行为记录名单、1-3年内禁止参加政府采购活动、并予公告，没收违法所得，建议工商机关吊销营业执照直至追究刑事责任。</w:t>
      </w:r>
    </w:p>
    <w:p>
      <w:pPr>
        <w:autoSpaceDE w:val="0"/>
        <w:autoSpaceDN w:val="0"/>
        <w:adjustRightInd w:val="0"/>
        <w:snapToGrid w:val="0"/>
        <w:spacing w:line="440" w:lineRule="exact"/>
        <w:ind w:firstLine="510"/>
        <w:rPr>
          <w:rFonts w:ascii="宋体" w:hAnsi="宋体" w:eastAsia="宋体" w:cs="宋体"/>
          <w:b/>
          <w:bCs/>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采购人不按照磋商文件和成交供应商的响应性文件确定的事项签订政府采购合同，或者与成交供应商另行背离合同实质性内容的协议的；成交通知书发出后无正当理由不与成交供应商签订采购合同的；政府采购监督管理部门有权责令限期改正、警告并予以罚款、对直接负责的主管和其他直接人员给予处分，给成交供应商造成损失的，应予赔偿。</w:t>
      </w:r>
    </w:p>
    <w:p>
      <w:pPr>
        <w:autoSpaceDE w:val="0"/>
        <w:autoSpaceDN w:val="0"/>
        <w:adjustRightInd w:val="0"/>
        <w:snapToGrid w:val="0"/>
        <w:spacing w:line="440" w:lineRule="exact"/>
        <w:ind w:firstLine="48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政府采购合同适用合同法。采购人和供应商之间的在合同中约定的权利和义务，双方均应诚实守信全面履行，否则违约方将承担违约责任并赔偿对方损失。</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2</w:t>
      </w:r>
      <w:r>
        <w:rPr>
          <w:rFonts w:hint="eastAsia" w:ascii="宋体" w:hAnsi="宋体" w:eastAsia="宋体" w:cs="宋体"/>
          <w:b/>
          <w:bCs/>
          <w:color w:val="000000"/>
          <w:sz w:val="24"/>
          <w:szCs w:val="28"/>
          <w:lang w:val="zh-CN"/>
        </w:rPr>
        <w:t>.保密及其他注意事项</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.1磋商小组将在有关监督部门的监督下，严格依照《政府采购法》和相关磋商程序开展工作。</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.2在磋商过程中，参加磋商的任何一方不得透露与磋商有关的其他供应商的技术资料、价格和其他信息。</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.3在磋商期间，供应商不得向磋商小组成员或有关工作人员询问正在进行的磋商情况，不得进行再影响磋商结果的活动。</w:t>
      </w:r>
    </w:p>
    <w:p>
      <w:pPr>
        <w:autoSpaceDE w:val="0"/>
        <w:autoSpaceDN w:val="0"/>
        <w:adjustRightInd w:val="0"/>
        <w:spacing w:line="440" w:lineRule="exact"/>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.4磋商小组不向磋商供应商解释未成交的原因，不退还响应性文件。</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3</w:t>
      </w:r>
      <w:r>
        <w:rPr>
          <w:rFonts w:hint="eastAsia" w:ascii="宋体" w:hAnsi="宋体" w:eastAsia="宋体" w:cs="宋体"/>
          <w:b/>
          <w:bCs/>
          <w:color w:val="000000"/>
          <w:sz w:val="24"/>
          <w:szCs w:val="28"/>
          <w:lang w:val="zh-CN"/>
        </w:rPr>
        <w:t>.腐败或欺诈行为</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在采购和合同实施期间，要求采购人以及供应商遵守最高的道德标准。为此，特定义如下词汇：</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.1“腐败行为”是指在采购或合同执行期间，通过提供、给予、接受或索要任何有价值的物品，从而影响公职人员工作的行为。</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2“欺诈行为”是指通过提供伪证影响招标采购或合同执行，从而损害采购人利益的行为；也包括供应商之间串通（在提交响应性文件之前或之后），人为地使采购过程失去竞争性，从而使采购人无法从采购的自由竞争中获得利益的行为。</w:t>
      </w:r>
    </w:p>
    <w:p>
      <w:pPr>
        <w:autoSpaceDE w:val="0"/>
        <w:autoSpaceDN w:val="0"/>
        <w:adjustRightInd w:val="0"/>
        <w:snapToGrid w:val="0"/>
        <w:spacing w:line="440" w:lineRule="exact"/>
        <w:ind w:firstLine="56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.3如果认定供应商在政府采购项目的采购过程或合同的执行过程中参与了腐败或欺诈行为，则会宣布该供应商在1-3年内禁止参与政府采购活动。如果该供应商为被推荐的成交供应商的，则将同时取消其成交资格。</w:t>
      </w:r>
    </w:p>
    <w:p>
      <w:pPr>
        <w:autoSpaceDE w:val="0"/>
        <w:autoSpaceDN w:val="0"/>
        <w:adjustRightInd w:val="0"/>
        <w:snapToGrid w:val="0"/>
        <w:spacing w:line="440" w:lineRule="exact"/>
        <w:rPr>
          <w:rFonts w:ascii="宋体" w:hAnsi="宋体" w:eastAsia="宋体" w:cs="宋体"/>
          <w:b/>
          <w:bCs/>
          <w:color w:val="000000"/>
          <w:sz w:val="24"/>
          <w:szCs w:val="28"/>
          <w:lang w:val="zh-CN"/>
        </w:rPr>
      </w:pPr>
      <w:r>
        <w:rPr>
          <w:rFonts w:hint="eastAsia" w:ascii="宋体" w:hAnsi="宋体" w:eastAsia="宋体" w:cs="宋体"/>
          <w:b/>
          <w:bCs/>
          <w:color w:val="000000"/>
          <w:sz w:val="24"/>
          <w:szCs w:val="28"/>
        </w:rPr>
        <w:t>24.</w:t>
      </w:r>
      <w:r>
        <w:rPr>
          <w:rFonts w:hint="eastAsia" w:ascii="宋体" w:hAnsi="宋体" w:eastAsia="宋体" w:cs="宋体"/>
          <w:b/>
          <w:bCs/>
          <w:color w:val="000000"/>
          <w:sz w:val="24"/>
          <w:szCs w:val="28"/>
          <w:lang w:val="zh-CN"/>
        </w:rPr>
        <w:t>促进中小企业、监狱企业和残疾人福利性单位发展政策</w:t>
      </w:r>
    </w:p>
    <w:p>
      <w:pPr>
        <w:snapToGrid w:val="0"/>
        <w:spacing w:line="440" w:lineRule="exact"/>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rPr>
        <w:t>24.1</w:t>
      </w:r>
      <w:r>
        <w:rPr>
          <w:rFonts w:hint="eastAsia" w:ascii="宋体" w:hAnsi="宋体" w:eastAsia="宋体" w:cs="宋体"/>
          <w:color w:val="000000"/>
          <w:sz w:val="24"/>
          <w:szCs w:val="28"/>
          <w:lang w:val="zh-CN"/>
        </w:rPr>
        <w:t>中小企业（含中型、小型、微型）：根据财库【2020】46号关于《政府采购促进中小企业发展管理办法》，应符合中小企业划分标准（工信部联企业[2011]300号）。</w:t>
      </w:r>
    </w:p>
    <w:p>
      <w:pPr>
        <w:autoSpaceDE w:val="0"/>
        <w:autoSpaceDN w:val="0"/>
        <w:adjustRightInd w:val="0"/>
        <w:snapToGrid w:val="0"/>
        <w:spacing w:line="440" w:lineRule="exact"/>
        <w:ind w:firstLine="560"/>
        <w:rPr>
          <w:rFonts w:ascii="宋体" w:hAnsi="宋体" w:eastAsia="宋体" w:cs="宋体"/>
          <w:color w:val="000000"/>
          <w:sz w:val="24"/>
          <w:szCs w:val="28"/>
        </w:rPr>
      </w:pPr>
      <w:r>
        <w:rPr>
          <w:rFonts w:hint="eastAsia" w:ascii="宋体" w:hAnsi="宋体" w:eastAsia="宋体" w:cs="宋体"/>
          <w:color w:val="000000"/>
          <w:sz w:val="24"/>
          <w:szCs w:val="28"/>
        </w:rPr>
        <w:t>24.2 监狱企业：符合《关于政府采购支持监狱企业发展有关问题的通知》（财库〔2014〕68号）规定的企业。</w:t>
      </w:r>
    </w:p>
    <w:p>
      <w:pPr>
        <w:autoSpaceDE w:val="0"/>
        <w:autoSpaceDN w:val="0"/>
        <w:adjustRightInd w:val="0"/>
        <w:snapToGrid w:val="0"/>
        <w:spacing w:line="440" w:lineRule="exact"/>
        <w:ind w:firstLine="560"/>
        <w:rPr>
          <w:rFonts w:ascii="宋体" w:hAnsi="宋体" w:eastAsia="宋体" w:cs="宋体"/>
          <w:color w:val="000000"/>
          <w:sz w:val="24"/>
          <w:szCs w:val="28"/>
        </w:rPr>
      </w:pPr>
      <w:r>
        <w:rPr>
          <w:rFonts w:hint="eastAsia" w:ascii="宋体" w:hAnsi="宋体" w:eastAsia="宋体" w:cs="宋体"/>
          <w:color w:val="000000"/>
          <w:sz w:val="24"/>
          <w:szCs w:val="28"/>
        </w:rPr>
        <w:t>24.3 残疾人福利性单位：符合《关于促进残疾人就业政府采购政策的通知》（财库〔2017〕141号）的规定的单位。</w:t>
      </w:r>
    </w:p>
    <w:p>
      <w:pPr>
        <w:pStyle w:val="10"/>
        <w:ind w:left="0" w:leftChars="0" w:firstLine="0" w:firstLineChars="0"/>
        <w:rPr>
          <w:rFonts w:ascii="宋体" w:hAnsi="宋体" w:eastAsia="宋体" w:cs="宋体"/>
          <w:color w:val="000000"/>
          <w:sz w:val="24"/>
          <w:szCs w:val="28"/>
        </w:rPr>
      </w:pPr>
    </w:p>
    <w:p>
      <w:pPr>
        <w:rPr>
          <w:rFonts w:ascii="宋体" w:hAnsi="宋体" w:eastAsia="宋体" w:cs="宋体"/>
          <w:color w:val="000000"/>
          <w:sz w:val="24"/>
          <w:szCs w:val="28"/>
        </w:rPr>
      </w:pPr>
    </w:p>
    <w:p>
      <w:pPr>
        <w:pStyle w:val="4"/>
        <w:numPr>
          <w:ilvl w:val="0"/>
          <w:numId w:val="1"/>
        </w:numPr>
        <w:snapToGrid w:val="0"/>
        <w:spacing w:line="560" w:lineRule="exact"/>
        <w:rPr>
          <w:rFonts w:cs="宋体"/>
          <w:szCs w:val="22"/>
          <w:lang w:val="zh-CN"/>
        </w:rPr>
      </w:pPr>
      <w:bookmarkStart w:id="89" w:name="_Toc18031"/>
      <w:r>
        <w:rPr>
          <w:rFonts w:hint="eastAsia" w:cs="宋体"/>
          <w:szCs w:val="22"/>
          <w:lang w:val="zh-CN"/>
        </w:rPr>
        <w:t>合同格式</w:t>
      </w:r>
      <w:bookmarkEnd w:id="84"/>
      <w:bookmarkEnd w:id="85"/>
      <w:bookmarkEnd w:id="89"/>
      <w:bookmarkStart w:id="90" w:name="_Toc10287"/>
      <w:bookmarkStart w:id="91" w:name="_Toc138"/>
    </w:p>
    <w:p>
      <w:pPr>
        <w:pStyle w:val="4"/>
        <w:snapToGrid w:val="0"/>
        <w:spacing w:line="560" w:lineRule="exact"/>
        <w:ind w:firstLine="3614" w:firstLineChars="1500"/>
        <w:jc w:val="both"/>
        <w:rPr>
          <w:rFonts w:cs="宋体"/>
          <w:sz w:val="24"/>
          <w:szCs w:val="24"/>
          <w:lang w:val="zh-CN"/>
        </w:rPr>
      </w:pPr>
      <w:bookmarkStart w:id="92" w:name="_Toc20338"/>
      <w:bookmarkStart w:id="93" w:name="_Toc15340"/>
      <w:r>
        <w:rPr>
          <w:rFonts w:hint="eastAsia" w:cs="宋体"/>
          <w:sz w:val="24"/>
          <w:szCs w:val="24"/>
          <w:lang w:val="zh-CN"/>
        </w:rPr>
        <w:t>合同格式</w:t>
      </w:r>
      <w:r>
        <w:rPr>
          <w:rFonts w:hint="eastAsia" w:cs="宋体"/>
          <w:sz w:val="28"/>
        </w:rPr>
        <w:t>（参考）</w:t>
      </w:r>
      <w:bookmarkEnd w:id="90"/>
      <w:bookmarkEnd w:id="91"/>
      <w:bookmarkEnd w:id="92"/>
      <w:bookmarkEnd w:id="93"/>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snapToGrid w:val="0"/>
        <w:spacing w:line="400" w:lineRule="exact"/>
        <w:jc w:val="center"/>
        <w:rPr>
          <w:rFonts w:ascii="宋体" w:hAnsi="宋体" w:eastAsia="宋体" w:cs="宋体"/>
          <w:b/>
          <w:sz w:val="30"/>
          <w:szCs w:val="30"/>
        </w:rPr>
      </w:pPr>
      <w:r>
        <w:rPr>
          <w:rFonts w:hint="eastAsia" w:ascii="宋体" w:hAnsi="宋体" w:eastAsia="宋体" w:cs="宋体"/>
          <w:b/>
          <w:sz w:val="30"/>
          <w:szCs w:val="30"/>
        </w:rPr>
        <w:t>合   同   书</w:t>
      </w:r>
    </w:p>
    <w:p>
      <w:pPr>
        <w:snapToGrid w:val="0"/>
        <w:spacing w:before="78" w:beforeLines="25" w:line="400" w:lineRule="exact"/>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项目名称：</w:t>
      </w:r>
    </w:p>
    <w:p>
      <w:pPr>
        <w:snapToGrid w:val="0"/>
        <w:spacing w:before="78" w:beforeLines="25" w:line="400" w:lineRule="exact"/>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合同编号：</w:t>
      </w:r>
    </w:p>
    <w:p>
      <w:pPr>
        <w:snapToGrid w:val="0"/>
        <w:spacing w:before="78" w:beforeLines="25" w:line="400" w:lineRule="exact"/>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签订日期：</w:t>
      </w:r>
    </w:p>
    <w:p>
      <w:pPr>
        <w:snapToGrid w:val="0"/>
        <w:spacing w:before="78" w:beforeLines="25" w:line="400" w:lineRule="exact"/>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签订合同地点：</w:t>
      </w:r>
    </w:p>
    <w:p>
      <w:pPr>
        <w:snapToGrid w:val="0"/>
        <w:spacing w:before="78" w:beforeLines="25" w:line="40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本合同由</w:t>
      </w:r>
      <w:r>
        <w:rPr>
          <w:rFonts w:hint="eastAsia" w:ascii="宋体" w:hAnsi="宋体" w:eastAsia="宋体" w:cs="宋体"/>
          <w:sz w:val="24"/>
          <w:szCs w:val="24"/>
          <w:u w:val="single"/>
          <w:lang w:val="zh-CN"/>
        </w:rPr>
        <w:t xml:space="preserve">  （采购人） </w:t>
      </w:r>
      <w:r>
        <w:rPr>
          <w:rFonts w:hint="eastAsia" w:ascii="宋体" w:hAnsi="宋体" w:eastAsia="宋体" w:cs="宋体"/>
          <w:sz w:val="24"/>
          <w:szCs w:val="24"/>
          <w:lang w:val="zh-CN"/>
        </w:rPr>
        <w:t>（以下简称“甲方”）与</w:t>
      </w:r>
      <w:r>
        <w:rPr>
          <w:rFonts w:hint="eastAsia" w:ascii="宋体" w:hAnsi="宋体" w:eastAsia="宋体" w:cs="宋体"/>
          <w:sz w:val="24"/>
          <w:szCs w:val="24"/>
          <w:u w:val="single"/>
          <w:lang w:val="zh-CN"/>
        </w:rPr>
        <w:t xml:space="preserve">  （中标人）   </w:t>
      </w:r>
      <w:r>
        <w:rPr>
          <w:rFonts w:hint="eastAsia" w:ascii="宋体" w:hAnsi="宋体" w:eastAsia="宋体" w:cs="宋体"/>
          <w:sz w:val="24"/>
          <w:szCs w:val="24"/>
          <w:lang w:val="zh-CN"/>
        </w:rPr>
        <w:t>（以下简称“乙方”）签订。乙方以总金额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元人民币（用大写数字书写）向甲方提供如下货物（工程或服务）：</w:t>
      </w:r>
    </w:p>
    <w:p>
      <w:pPr>
        <w:snapToGrid w:val="0"/>
        <w:spacing w:before="78" w:beforeLines="25" w:line="400" w:lineRule="exact"/>
        <w:ind w:firstLine="492" w:firstLineChars="204"/>
        <w:contextualSpacing/>
        <w:rPr>
          <w:rFonts w:ascii="宋体" w:hAnsi="宋体" w:eastAsia="宋体" w:cs="宋体"/>
          <w:b/>
          <w:sz w:val="24"/>
        </w:rPr>
      </w:pPr>
      <w:r>
        <w:rPr>
          <w:rFonts w:hint="eastAsia" w:ascii="宋体" w:hAnsi="宋体" w:eastAsia="宋体" w:cs="宋体"/>
          <w:b/>
          <w:sz w:val="24"/>
          <w:szCs w:val="24"/>
          <w:lang w:val="zh-CN"/>
        </w:rPr>
        <w:t>经双方协商，同意按下列条文执行：</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本合同甲、乙双方应遵守国家颁布的《中华人民共和国合同法</w:t>
      </w:r>
      <w:r>
        <w:rPr>
          <w:rFonts w:hint="eastAsia" w:ascii="宋体" w:hAnsi="宋体" w:eastAsia="宋体" w:cs="宋体"/>
          <w:sz w:val="24"/>
          <w:lang w:eastAsia="zh-CN"/>
        </w:rPr>
        <w:t>》《</w:t>
      </w:r>
      <w:r>
        <w:rPr>
          <w:rFonts w:hint="eastAsia" w:ascii="宋体" w:hAnsi="宋体" w:eastAsia="宋体" w:cs="宋体"/>
          <w:sz w:val="24"/>
        </w:rPr>
        <w:t>中华人民共和国政府采购法》，并各自履行应负的全部责任和义务。</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甲方保证按合同条款规定的时间和方式付给乙方到期应付的合同款，并承担应负的责任和义务。</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乙方保证按合同条款规定的内容和工期（服务期限）向甲方提供合格的货物（工程或服务），并承担应负的责任和义务。</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合同文件。下列文件为本合同不可分割的部分：</w:t>
      </w:r>
    </w:p>
    <w:p>
      <w:pPr>
        <w:numPr>
          <w:ilvl w:val="0"/>
          <w:numId w:val="3"/>
        </w:numPr>
        <w:adjustRightInd w:val="0"/>
        <w:snapToGrid w:val="0"/>
        <w:spacing w:before="78" w:beforeLines="25" w:line="400" w:lineRule="exact"/>
        <w:ind w:left="1340" w:leftChars="227" w:hanging="614" w:hangingChars="256"/>
        <w:rPr>
          <w:rFonts w:ascii="宋体" w:hAnsi="宋体" w:eastAsia="宋体" w:cs="宋体"/>
          <w:sz w:val="24"/>
          <w:lang w:val="zh-CN"/>
        </w:rPr>
      </w:pPr>
      <w:r>
        <w:rPr>
          <w:rFonts w:hint="eastAsia" w:ascii="宋体" w:hAnsi="宋体" w:eastAsia="宋体" w:cs="宋体"/>
          <w:sz w:val="24"/>
          <w:lang w:val="zh-CN"/>
        </w:rPr>
        <w:t>竞争性磋商文件（项目编号：</w:t>
      </w:r>
      <w:r>
        <w:rPr>
          <w:rFonts w:hint="eastAsia" w:ascii="宋体" w:hAnsi="宋体" w:eastAsia="宋体" w:cs="宋体"/>
          <w:sz w:val="24"/>
          <w:u w:val="single"/>
          <w:lang w:val="zh-CN"/>
        </w:rPr>
        <w:t>　　              　</w:t>
      </w:r>
      <w:r>
        <w:rPr>
          <w:rFonts w:hint="eastAsia" w:ascii="宋体" w:hAnsi="宋体" w:eastAsia="宋体" w:cs="宋体"/>
          <w:sz w:val="24"/>
          <w:lang w:val="zh-CN"/>
        </w:rPr>
        <w:t>）；</w:t>
      </w:r>
    </w:p>
    <w:p>
      <w:pPr>
        <w:numPr>
          <w:ilvl w:val="0"/>
          <w:numId w:val="3"/>
        </w:numPr>
        <w:adjustRightInd w:val="0"/>
        <w:snapToGrid w:val="0"/>
        <w:spacing w:before="78" w:beforeLines="25" w:line="400" w:lineRule="exact"/>
        <w:ind w:left="1340" w:leftChars="227" w:hanging="614" w:hangingChars="256"/>
        <w:rPr>
          <w:rFonts w:ascii="宋体" w:hAnsi="宋体" w:eastAsia="宋体" w:cs="宋体"/>
          <w:sz w:val="24"/>
          <w:lang w:val="zh-CN"/>
        </w:rPr>
      </w:pPr>
      <w:r>
        <w:rPr>
          <w:rFonts w:hint="eastAsia" w:ascii="宋体" w:hAnsi="宋体" w:eastAsia="宋体" w:cs="宋体"/>
          <w:sz w:val="24"/>
          <w:lang w:val="zh-CN"/>
        </w:rPr>
        <w:t>中标的响应性文件；</w:t>
      </w:r>
    </w:p>
    <w:p>
      <w:pPr>
        <w:numPr>
          <w:ilvl w:val="0"/>
          <w:numId w:val="3"/>
        </w:numPr>
        <w:adjustRightInd w:val="0"/>
        <w:snapToGrid w:val="0"/>
        <w:spacing w:before="78" w:beforeLines="25" w:line="400" w:lineRule="exact"/>
        <w:ind w:left="1340" w:leftChars="227" w:hanging="614" w:hangingChars="256"/>
        <w:rPr>
          <w:rFonts w:ascii="宋体" w:hAnsi="宋体" w:eastAsia="宋体" w:cs="宋体"/>
          <w:sz w:val="24"/>
          <w:lang w:val="zh-CN"/>
        </w:rPr>
      </w:pPr>
      <w:r>
        <w:rPr>
          <w:rFonts w:hint="eastAsia" w:ascii="宋体" w:hAnsi="宋体" w:eastAsia="宋体" w:cs="宋体"/>
          <w:sz w:val="24"/>
          <w:lang w:val="zh-CN"/>
        </w:rPr>
        <w:t>合同书；</w:t>
      </w:r>
    </w:p>
    <w:p>
      <w:pPr>
        <w:numPr>
          <w:ilvl w:val="0"/>
          <w:numId w:val="3"/>
        </w:numPr>
        <w:adjustRightInd w:val="0"/>
        <w:snapToGrid w:val="0"/>
        <w:spacing w:before="78" w:beforeLines="25" w:line="400" w:lineRule="exact"/>
        <w:ind w:left="1340" w:leftChars="227" w:hanging="614" w:hangingChars="256"/>
        <w:rPr>
          <w:rFonts w:ascii="宋体" w:hAnsi="宋体" w:eastAsia="宋体" w:cs="宋体"/>
          <w:sz w:val="24"/>
          <w:lang w:val="zh-CN"/>
        </w:rPr>
      </w:pPr>
      <w:r>
        <w:rPr>
          <w:rFonts w:hint="eastAsia" w:ascii="宋体" w:hAnsi="宋体" w:eastAsia="宋体" w:cs="宋体"/>
          <w:sz w:val="24"/>
          <w:lang w:val="zh-CN"/>
        </w:rPr>
        <w:t>合同条款；</w:t>
      </w:r>
    </w:p>
    <w:p>
      <w:pPr>
        <w:numPr>
          <w:ilvl w:val="0"/>
          <w:numId w:val="3"/>
        </w:numPr>
        <w:adjustRightInd w:val="0"/>
        <w:snapToGrid w:val="0"/>
        <w:spacing w:before="78" w:beforeLines="25" w:line="400" w:lineRule="exact"/>
        <w:ind w:left="1340" w:leftChars="227" w:hanging="614" w:hangingChars="256"/>
        <w:rPr>
          <w:rFonts w:ascii="宋体" w:hAnsi="宋体" w:eastAsia="宋体" w:cs="宋体"/>
          <w:sz w:val="24"/>
          <w:lang w:val="zh-CN"/>
        </w:rPr>
      </w:pPr>
      <w:r>
        <w:rPr>
          <w:rFonts w:hint="eastAsia" w:ascii="宋体" w:hAnsi="宋体" w:eastAsia="宋体" w:cs="宋体"/>
          <w:sz w:val="24"/>
          <w:lang w:val="zh-CN"/>
        </w:rPr>
        <w:t>中标通知书；</w:t>
      </w:r>
    </w:p>
    <w:p>
      <w:pPr>
        <w:numPr>
          <w:ilvl w:val="0"/>
          <w:numId w:val="3"/>
        </w:numPr>
        <w:adjustRightInd w:val="0"/>
        <w:snapToGrid w:val="0"/>
        <w:spacing w:before="78" w:beforeLines="25" w:line="400" w:lineRule="exact"/>
        <w:ind w:left="1340" w:leftChars="227" w:hanging="614" w:hangingChars="256"/>
        <w:rPr>
          <w:rFonts w:ascii="宋体" w:hAnsi="宋体" w:eastAsia="宋体" w:cs="宋体"/>
          <w:sz w:val="24"/>
          <w:lang w:val="zh-CN"/>
        </w:rPr>
      </w:pPr>
      <w:r>
        <w:rPr>
          <w:rFonts w:hint="eastAsia" w:ascii="宋体" w:hAnsi="宋体" w:eastAsia="宋体" w:cs="宋体"/>
          <w:sz w:val="24"/>
          <w:lang w:val="zh-CN"/>
        </w:rPr>
        <w:t>附件；</w:t>
      </w:r>
    </w:p>
    <w:p>
      <w:pPr>
        <w:numPr>
          <w:ilvl w:val="0"/>
          <w:numId w:val="4"/>
        </w:numPr>
        <w:snapToGrid w:val="0"/>
        <w:spacing w:before="78" w:beforeLines="25" w:line="400" w:lineRule="exact"/>
        <w:ind w:left="1358" w:hanging="724"/>
        <w:rPr>
          <w:rFonts w:ascii="宋体" w:hAnsi="宋体" w:eastAsia="宋体" w:cs="宋体"/>
          <w:sz w:val="24"/>
          <w:lang w:val="zh-CN"/>
        </w:rPr>
      </w:pPr>
      <w:r>
        <w:rPr>
          <w:rFonts w:hint="eastAsia" w:ascii="宋体" w:hAnsi="宋体" w:eastAsia="宋体" w:cs="宋体"/>
          <w:sz w:val="24"/>
          <w:lang w:val="zh-CN"/>
        </w:rPr>
        <w:t>甲方在招标期间发布的所有补充通知；</w:t>
      </w:r>
    </w:p>
    <w:p>
      <w:pPr>
        <w:numPr>
          <w:ilvl w:val="0"/>
          <w:numId w:val="4"/>
        </w:numPr>
        <w:snapToGrid w:val="0"/>
        <w:spacing w:before="78" w:beforeLines="25" w:line="400" w:lineRule="exact"/>
        <w:ind w:left="1358" w:hanging="724"/>
        <w:rPr>
          <w:rFonts w:ascii="宋体" w:hAnsi="宋体" w:eastAsia="宋体" w:cs="宋体"/>
          <w:sz w:val="24"/>
          <w:lang w:val="zh-CN"/>
        </w:rPr>
      </w:pPr>
      <w:r>
        <w:rPr>
          <w:rFonts w:hint="eastAsia" w:ascii="宋体" w:hAnsi="宋体" w:eastAsia="宋体" w:cs="宋体"/>
          <w:sz w:val="24"/>
          <w:lang w:val="zh-CN"/>
        </w:rPr>
        <w:t>乙方在投标期内补充的所有书面文件；</w:t>
      </w:r>
    </w:p>
    <w:p>
      <w:pPr>
        <w:numPr>
          <w:ilvl w:val="0"/>
          <w:numId w:val="4"/>
        </w:numPr>
        <w:snapToGrid w:val="0"/>
        <w:spacing w:before="78" w:beforeLines="25" w:line="400" w:lineRule="exact"/>
        <w:ind w:left="1358" w:hanging="724"/>
        <w:rPr>
          <w:rFonts w:ascii="宋体" w:hAnsi="宋体" w:eastAsia="宋体" w:cs="宋体"/>
          <w:sz w:val="24"/>
          <w:lang w:val="zh-CN"/>
        </w:rPr>
      </w:pPr>
      <w:r>
        <w:rPr>
          <w:rFonts w:hint="eastAsia" w:ascii="宋体" w:hAnsi="宋体" w:eastAsia="宋体" w:cs="宋体"/>
          <w:sz w:val="24"/>
          <w:lang w:val="zh-CN"/>
        </w:rPr>
        <w:t>乙方在投标时随同投标文件一起递送的资料及附图；</w:t>
      </w:r>
    </w:p>
    <w:p>
      <w:pPr>
        <w:numPr>
          <w:ilvl w:val="0"/>
          <w:numId w:val="4"/>
        </w:numPr>
        <w:snapToGrid w:val="0"/>
        <w:spacing w:before="78" w:beforeLines="25" w:line="400" w:lineRule="exact"/>
        <w:ind w:left="1358" w:hanging="724"/>
        <w:rPr>
          <w:rFonts w:ascii="宋体" w:hAnsi="宋体" w:eastAsia="宋体" w:cs="宋体"/>
          <w:sz w:val="24"/>
          <w:lang w:val="zh-CN"/>
        </w:rPr>
      </w:pPr>
      <w:r>
        <w:rPr>
          <w:rFonts w:hint="eastAsia" w:ascii="宋体" w:hAnsi="宋体" w:eastAsia="宋体" w:cs="宋体"/>
          <w:sz w:val="24"/>
          <w:lang w:val="zh-CN"/>
        </w:rPr>
        <w:t>在商洽本合同时，双方澄清、确认并共同签字的补充文件、技术协议。</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合同范围和条件。本合同的范围和条件应与上述规定的合同文件内容相一致。</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货物（工程或服务）及数量。本合同所提供的货物（工程或服务）及数量详见招标文件的要求及乙方投标文件中的承诺。</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付款条件。本合同的付款条件按磋商文件规定执行。</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合同金额。合同总金额见合同书，分项价格在乙方的投标报价表中有明确规定。</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工期和交货（服务）地点。本合同中货物（工程或服务）的工期、交货（服务）地点在招标文件中有明确规定。</w:t>
      </w:r>
    </w:p>
    <w:p>
      <w:pPr>
        <w:numPr>
          <w:ilvl w:val="3"/>
          <w:numId w:val="2"/>
        </w:numPr>
        <w:tabs>
          <w:tab w:val="left" w:pos="980"/>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合同生效。本合同经甲、乙双方授权代表签字和加盖公章（或合同专用章）后生效。如招标申请</w:t>
      </w:r>
      <w:r>
        <w:rPr>
          <w:rFonts w:hint="eastAsia" w:ascii="宋体" w:hAnsi="宋体" w:eastAsia="宋体" w:cs="宋体"/>
          <w:sz w:val="24"/>
          <w:lang w:eastAsia="zh-CN"/>
        </w:rPr>
        <w:t>公正</w:t>
      </w:r>
      <w:r>
        <w:rPr>
          <w:rFonts w:hint="eastAsia" w:ascii="宋体" w:hAnsi="宋体" w:eastAsia="宋体" w:cs="宋体"/>
          <w:sz w:val="24"/>
        </w:rPr>
        <w:t>的，合同</w:t>
      </w:r>
      <w:r>
        <w:rPr>
          <w:rFonts w:hint="eastAsia" w:ascii="宋体" w:hAnsi="宋体" w:eastAsia="宋体" w:cs="宋体"/>
          <w:sz w:val="24"/>
          <w:lang w:eastAsia="zh-CN"/>
        </w:rPr>
        <w:t>须</w:t>
      </w:r>
      <w:r>
        <w:rPr>
          <w:rFonts w:hint="eastAsia" w:ascii="宋体" w:hAnsi="宋体" w:eastAsia="宋体" w:cs="宋体"/>
          <w:sz w:val="24"/>
        </w:rPr>
        <w:t>经公证机构公证后生效。</w:t>
      </w:r>
    </w:p>
    <w:p>
      <w:pPr>
        <w:numPr>
          <w:ilvl w:val="3"/>
          <w:numId w:val="2"/>
        </w:numPr>
        <w:tabs>
          <w:tab w:val="left" w:pos="980"/>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合同的份数。本合同正本一式</w:t>
      </w:r>
      <w:r>
        <w:rPr>
          <w:rFonts w:hint="eastAsia" w:ascii="宋体" w:hAnsi="宋体" w:eastAsia="宋体" w:cs="宋体"/>
          <w:sz w:val="24"/>
          <w:u w:val="single"/>
        </w:rPr>
        <w:t>　</w:t>
      </w:r>
      <w:r>
        <w:rPr>
          <w:rFonts w:hint="eastAsia" w:ascii="宋体" w:hAnsi="宋体" w:eastAsia="宋体" w:cs="宋体"/>
          <w:sz w:val="24"/>
        </w:rPr>
        <w:t>份，甲方执　份，乙方执　份；副本一式</w:t>
      </w:r>
      <w:r>
        <w:rPr>
          <w:rFonts w:hint="eastAsia" w:ascii="宋体" w:hAnsi="宋体" w:eastAsia="宋体" w:cs="宋体"/>
          <w:sz w:val="24"/>
          <w:u w:val="single"/>
        </w:rPr>
        <w:t>　</w:t>
      </w:r>
      <w:r>
        <w:rPr>
          <w:rFonts w:hint="eastAsia" w:ascii="宋体" w:hAnsi="宋体" w:eastAsia="宋体" w:cs="宋体"/>
          <w:sz w:val="24"/>
        </w:rPr>
        <w:t>份，甲方执</w:t>
      </w:r>
      <w:r>
        <w:rPr>
          <w:rFonts w:hint="eastAsia" w:ascii="宋体" w:hAnsi="宋体" w:eastAsia="宋体" w:cs="宋体"/>
          <w:sz w:val="24"/>
          <w:u w:val="single"/>
        </w:rPr>
        <w:t>　</w:t>
      </w:r>
      <w:r>
        <w:rPr>
          <w:rFonts w:hint="eastAsia" w:ascii="宋体" w:hAnsi="宋体" w:eastAsia="宋体" w:cs="宋体"/>
          <w:sz w:val="24"/>
        </w:rPr>
        <w:t>份，乙方执</w:t>
      </w:r>
      <w:r>
        <w:rPr>
          <w:rFonts w:hint="eastAsia" w:ascii="宋体" w:hAnsi="宋体" w:eastAsia="宋体" w:cs="宋体"/>
          <w:sz w:val="24"/>
          <w:u w:val="single"/>
        </w:rPr>
        <w:t>　</w:t>
      </w:r>
      <w:r>
        <w:rPr>
          <w:rFonts w:hint="eastAsia" w:ascii="宋体" w:hAnsi="宋体" w:eastAsia="宋体" w:cs="宋体"/>
          <w:sz w:val="24"/>
        </w:rPr>
        <w:t>份。</w:t>
      </w:r>
    </w:p>
    <w:p>
      <w:pPr>
        <w:numPr>
          <w:ilvl w:val="3"/>
          <w:numId w:val="2"/>
        </w:numPr>
        <w:tabs>
          <w:tab w:val="left" w:pos="980"/>
        </w:tabs>
        <w:autoSpaceDE w:val="0"/>
        <w:autoSpaceDN w:val="0"/>
        <w:snapToGrid w:val="0"/>
        <w:spacing w:before="78" w:beforeLines="25" w:line="400" w:lineRule="exact"/>
        <w:ind w:left="11" w:firstLine="477" w:firstLineChars="199"/>
        <w:contextualSpacing/>
        <w:rPr>
          <w:rFonts w:ascii="宋体" w:hAnsi="宋体" w:eastAsia="宋体" w:cs="宋体"/>
          <w:sz w:val="24"/>
        </w:rPr>
      </w:pPr>
      <w:r>
        <w:rPr>
          <w:rFonts w:hint="eastAsia" w:ascii="宋体" w:hAnsi="宋体" w:eastAsia="宋体" w:cs="宋体"/>
          <w:sz w:val="24"/>
        </w:rPr>
        <w:t>合同的失效。本合同在合同价款全部结清后失效。</w:t>
      </w:r>
    </w:p>
    <w:p>
      <w:pPr>
        <w:snapToGrid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本合同经双方法定代表人或委托代理人签字盖章后立即生效。</w:t>
      </w:r>
    </w:p>
    <w:tbl>
      <w:tblPr>
        <w:tblStyle w:val="18"/>
        <w:tblpPr w:leftFromText="180" w:rightFromText="180" w:vertAnchor="text" w:horzAnchor="page" w:tblpX="1612" w:tblpY="645"/>
        <w:tblOverlap w:val="never"/>
        <w:tblW w:w="0" w:type="auto"/>
        <w:tblInd w:w="0" w:type="dxa"/>
        <w:tblLayout w:type="fixed"/>
        <w:tblCellMar>
          <w:top w:w="0" w:type="dxa"/>
          <w:left w:w="108" w:type="dxa"/>
          <w:bottom w:w="0" w:type="dxa"/>
          <w:right w:w="108" w:type="dxa"/>
        </w:tblCellMar>
      </w:tblPr>
      <w:tblGrid>
        <w:gridCol w:w="1967"/>
        <w:gridCol w:w="3277"/>
        <w:gridCol w:w="3278"/>
      </w:tblGrid>
      <w:tr>
        <w:tblPrEx>
          <w:tblCellMar>
            <w:top w:w="0" w:type="dxa"/>
            <w:left w:w="108" w:type="dxa"/>
            <w:bottom w:w="0" w:type="dxa"/>
            <w:right w:w="108" w:type="dxa"/>
          </w:tblCellMar>
        </w:tblPrEx>
        <w:trPr>
          <w:trHeight w:val="420" w:hRule="atLeast"/>
        </w:trPr>
        <w:tc>
          <w:tcPr>
            <w:tcW w:w="1967" w:type="dxa"/>
            <w:vMerge w:val="restart"/>
            <w:tcBorders>
              <w:top w:val="single" w:color="auto" w:sz="4" w:space="0"/>
              <w:left w:val="single" w:color="auto" w:sz="4" w:space="0"/>
              <w:right w:val="single" w:color="auto" w:sz="4" w:space="0"/>
              <w:tl2br w:val="single" w:color="auto" w:sz="4" w:space="0"/>
            </w:tcBorders>
            <w:vAlign w:val="center"/>
          </w:tcPr>
          <w:p>
            <w:pPr>
              <w:pStyle w:val="11"/>
              <w:spacing w:line="480" w:lineRule="exact"/>
              <w:ind w:firstLine="420" w:firstLineChars="175"/>
              <w:jc w:val="right"/>
              <w:rPr>
                <w:rFonts w:hAnsi="宋体" w:cs="宋体"/>
                <w:sz w:val="24"/>
                <w:szCs w:val="24"/>
              </w:rPr>
            </w:pPr>
            <w:r>
              <w:rPr>
                <w:rFonts w:hint="eastAsia" w:hAnsi="宋体" w:cs="宋体"/>
                <w:sz w:val="24"/>
                <w:szCs w:val="24"/>
              </w:rPr>
              <w:t>单位名称</w:t>
            </w:r>
          </w:p>
          <w:p>
            <w:pPr>
              <w:pStyle w:val="11"/>
              <w:spacing w:line="480" w:lineRule="exact"/>
              <w:rPr>
                <w:rFonts w:hAnsi="宋体" w:cs="宋体"/>
                <w:sz w:val="24"/>
                <w:szCs w:val="24"/>
              </w:rPr>
            </w:pPr>
            <w:r>
              <w:rPr>
                <w:rFonts w:hint="eastAsia" w:hAnsi="宋体" w:cs="宋体"/>
                <w:sz w:val="24"/>
                <w:szCs w:val="24"/>
              </w:rPr>
              <w:t>类别名称</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left="2" w:hanging="2" w:hangingChars="1"/>
              <w:jc w:val="center"/>
              <w:rPr>
                <w:rFonts w:hAnsi="宋体" w:cs="宋体"/>
                <w:sz w:val="24"/>
                <w:szCs w:val="24"/>
              </w:rPr>
            </w:pPr>
            <w:r>
              <w:rPr>
                <w:rFonts w:hint="eastAsia" w:hAnsi="宋体" w:cs="宋体"/>
                <w:sz w:val="24"/>
                <w:szCs w:val="24"/>
              </w:rPr>
              <w:t>甲方</w:t>
            </w:r>
            <w:r>
              <w:rPr>
                <w:rFonts w:hint="eastAsia" w:hAnsi="宋体" w:cs="宋体"/>
                <w:sz w:val="24"/>
                <w:szCs w:val="24"/>
                <w:lang w:eastAsia="zh-CN"/>
              </w:rPr>
              <w:t>（</w:t>
            </w:r>
            <w:r>
              <w:rPr>
                <w:rFonts w:hint="eastAsia" w:hAnsi="宋体" w:cs="宋体"/>
                <w:sz w:val="24"/>
                <w:szCs w:val="24"/>
              </w:rPr>
              <w:t>盖章</w:t>
            </w:r>
            <w:r>
              <w:rPr>
                <w:rFonts w:hint="eastAsia" w:hAnsi="宋体" w:cs="宋体"/>
                <w:sz w:val="24"/>
                <w:szCs w:val="24"/>
                <w:lang w:eastAsia="zh-CN"/>
              </w:rPr>
              <w:t>）</w:t>
            </w: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left="130" w:hanging="129" w:hangingChars="54"/>
              <w:jc w:val="center"/>
              <w:rPr>
                <w:rFonts w:hAnsi="宋体" w:cs="宋体"/>
                <w:sz w:val="24"/>
                <w:szCs w:val="24"/>
              </w:rPr>
            </w:pPr>
            <w:r>
              <w:rPr>
                <w:rFonts w:hint="eastAsia" w:hAnsi="宋体" w:cs="宋体"/>
                <w:sz w:val="24"/>
                <w:szCs w:val="24"/>
              </w:rPr>
              <w:t>乙方</w:t>
            </w:r>
            <w:r>
              <w:rPr>
                <w:rFonts w:hint="eastAsia" w:hAnsi="宋体" w:cs="宋体"/>
                <w:sz w:val="24"/>
                <w:szCs w:val="24"/>
                <w:lang w:eastAsia="zh-CN"/>
              </w:rPr>
              <w:t>（</w:t>
            </w:r>
            <w:r>
              <w:rPr>
                <w:rFonts w:hint="eastAsia" w:hAnsi="宋体" w:cs="宋体"/>
                <w:sz w:val="24"/>
                <w:szCs w:val="24"/>
              </w:rPr>
              <w:t>盖章</w:t>
            </w:r>
            <w:r>
              <w:rPr>
                <w:rFonts w:hint="eastAsia" w:hAnsi="宋体" w:cs="宋体"/>
                <w:sz w:val="24"/>
                <w:szCs w:val="24"/>
                <w:lang w:eastAsia="zh-CN"/>
              </w:rPr>
              <w:t>）</w:t>
            </w:r>
          </w:p>
        </w:tc>
      </w:tr>
      <w:tr>
        <w:tblPrEx>
          <w:tblCellMar>
            <w:top w:w="0" w:type="dxa"/>
            <w:left w:w="108" w:type="dxa"/>
            <w:bottom w:w="0" w:type="dxa"/>
            <w:right w:w="108" w:type="dxa"/>
          </w:tblCellMar>
        </w:tblPrEx>
        <w:trPr>
          <w:trHeight w:val="90" w:hRule="atLeast"/>
        </w:trPr>
        <w:tc>
          <w:tcPr>
            <w:tcW w:w="1967" w:type="dxa"/>
            <w:vMerge w:val="continue"/>
            <w:tcBorders>
              <w:left w:val="single" w:color="auto" w:sz="4" w:space="0"/>
              <w:bottom w:val="single" w:color="auto" w:sz="4" w:space="0"/>
              <w:right w:val="single" w:color="auto" w:sz="4" w:space="0"/>
              <w:tl2br w:val="single" w:color="auto" w:sz="4" w:space="0"/>
            </w:tcBorders>
            <w:vAlign w:val="center"/>
          </w:tcPr>
          <w:p>
            <w:pPr>
              <w:pStyle w:val="11"/>
              <w:spacing w:line="480" w:lineRule="exact"/>
              <w:ind w:firstLine="420" w:firstLineChars="175"/>
              <w:jc w:val="distribute"/>
              <w:rPr>
                <w:rFonts w:hAnsi="宋体" w:cs="宋体"/>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left="2" w:hanging="2" w:hangingChars="1"/>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left="130" w:hanging="129" w:hangingChars="54"/>
              <w:jc w:val="center"/>
              <w:rPr>
                <w:rFonts w:hAnsi="宋体" w:cs="宋体"/>
                <w:sz w:val="24"/>
                <w:szCs w:val="24"/>
              </w:rPr>
            </w:pPr>
          </w:p>
        </w:tc>
      </w:tr>
      <w:tr>
        <w:tblPrEx>
          <w:tblCellMar>
            <w:top w:w="0" w:type="dxa"/>
            <w:left w:w="108" w:type="dxa"/>
            <w:bottom w:w="0" w:type="dxa"/>
            <w:right w:w="108" w:type="dxa"/>
          </w:tblCellMar>
        </w:tblPrEx>
        <w:trPr>
          <w:trHeight w:val="300" w:hRule="atLeast"/>
        </w:trPr>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地    址</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法定代表人</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或委托代理人</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rPr>
          <w:trHeight w:val="340" w:hRule="atLeast"/>
        </w:trPr>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电话</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传真</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邮政编码</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napToGrid w:val="0"/>
              <w:spacing w:line="440" w:lineRule="exact"/>
              <w:jc w:val="distribute"/>
              <w:rPr>
                <w:rFonts w:hAnsi="宋体" w:cs="宋体"/>
                <w:sz w:val="24"/>
                <w:szCs w:val="24"/>
              </w:rPr>
            </w:pPr>
            <w:r>
              <w:rPr>
                <w:rFonts w:hint="eastAsia" w:hAnsi="宋体" w:cs="宋体"/>
                <w:sz w:val="24"/>
                <w:szCs w:val="24"/>
              </w:rPr>
              <w:t>开户名称</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开户银行</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lang w:eastAsia="zh-CN"/>
              </w:rPr>
              <w:t>账号</w:t>
            </w:r>
          </w:p>
        </w:tc>
        <w:tc>
          <w:tcPr>
            <w:tcW w:w="327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600"/>
              <w:jc w:val="center"/>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签订地点</w:t>
            </w:r>
          </w:p>
        </w:tc>
        <w:tc>
          <w:tcPr>
            <w:tcW w:w="6555" w:type="dxa"/>
            <w:gridSpan w:val="2"/>
            <w:tcBorders>
              <w:top w:val="single" w:color="auto" w:sz="4" w:space="0"/>
              <w:left w:val="single" w:color="auto" w:sz="4" w:space="0"/>
              <w:bottom w:val="single" w:color="auto" w:sz="4" w:space="0"/>
              <w:right w:val="single" w:color="auto" w:sz="4" w:space="0"/>
            </w:tcBorders>
            <w:vAlign w:val="center"/>
          </w:tcPr>
          <w:p>
            <w:pPr>
              <w:pStyle w:val="11"/>
              <w:spacing w:line="480" w:lineRule="exact"/>
              <w:rPr>
                <w:rFonts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vAlign w:val="center"/>
          </w:tcPr>
          <w:p>
            <w:pPr>
              <w:pStyle w:val="11"/>
              <w:spacing w:line="480" w:lineRule="exact"/>
              <w:jc w:val="distribute"/>
              <w:rPr>
                <w:rFonts w:hAnsi="宋体" w:cs="宋体"/>
                <w:sz w:val="24"/>
                <w:szCs w:val="24"/>
              </w:rPr>
            </w:pPr>
            <w:r>
              <w:rPr>
                <w:rFonts w:hint="eastAsia" w:hAnsi="宋体" w:cs="宋体"/>
                <w:sz w:val="24"/>
                <w:szCs w:val="24"/>
              </w:rPr>
              <w:t>签订日期</w:t>
            </w:r>
          </w:p>
        </w:tc>
        <w:tc>
          <w:tcPr>
            <w:tcW w:w="6555" w:type="dxa"/>
            <w:gridSpan w:val="2"/>
            <w:tcBorders>
              <w:top w:val="single" w:color="auto" w:sz="4" w:space="0"/>
              <w:left w:val="single" w:color="auto" w:sz="4" w:space="0"/>
              <w:bottom w:val="single" w:color="auto" w:sz="4" w:space="0"/>
              <w:right w:val="single" w:color="auto" w:sz="4" w:space="0"/>
            </w:tcBorders>
            <w:vAlign w:val="center"/>
          </w:tcPr>
          <w:p>
            <w:pPr>
              <w:pStyle w:val="11"/>
              <w:spacing w:line="480" w:lineRule="exact"/>
              <w:ind w:firstLine="3000" w:firstLineChars="1250"/>
              <w:jc w:val="center"/>
              <w:rPr>
                <w:rFonts w:hAnsi="宋体" w:cs="宋体"/>
                <w:sz w:val="24"/>
                <w:szCs w:val="24"/>
              </w:rPr>
            </w:pPr>
            <w:r>
              <w:rPr>
                <w:rFonts w:hint="eastAsia" w:hAnsi="宋体" w:cs="宋体"/>
                <w:sz w:val="24"/>
                <w:szCs w:val="24"/>
              </w:rPr>
              <w:t xml:space="preserve">        年   月   日</w:t>
            </w:r>
          </w:p>
        </w:tc>
      </w:tr>
    </w:tbl>
    <w:p>
      <w:pPr>
        <w:rPr>
          <w:rFonts w:ascii="宋体" w:hAnsi="宋体" w:eastAsia="宋体" w:cs="宋体"/>
        </w:rPr>
      </w:pPr>
    </w:p>
    <w:p>
      <w:pPr>
        <w:widowControl/>
        <w:spacing w:line="540" w:lineRule="exact"/>
        <w:jc w:val="left"/>
        <w:rPr>
          <w:rStyle w:val="23"/>
          <w:rFonts w:cs="宋体"/>
          <w:lang w:val="zh-CN"/>
        </w:rPr>
      </w:pPr>
    </w:p>
    <w:p>
      <w:pPr>
        <w:pStyle w:val="14"/>
        <w:rPr>
          <w:rStyle w:val="23"/>
          <w:rFonts w:cs="宋体"/>
          <w:lang w:val="zh-CN"/>
        </w:rPr>
      </w:pPr>
    </w:p>
    <w:p>
      <w:pPr>
        <w:rPr>
          <w:lang w:val="zh-CN"/>
        </w:rPr>
      </w:pPr>
    </w:p>
    <w:p>
      <w:pPr>
        <w:keepNext/>
        <w:keepLines/>
        <w:spacing w:line="360" w:lineRule="auto"/>
        <w:jc w:val="center"/>
        <w:outlineLvl w:val="2"/>
        <w:rPr>
          <w:rFonts w:ascii="宋体" w:hAnsi="宋体" w:eastAsia="宋体" w:cs="宋体"/>
          <w:b/>
          <w:bCs/>
          <w:kern w:val="2"/>
          <w:sz w:val="24"/>
          <w:szCs w:val="24"/>
        </w:rPr>
      </w:pPr>
      <w:bookmarkStart w:id="94" w:name="_Toc21730"/>
      <w:r>
        <w:rPr>
          <w:rFonts w:hint="eastAsia" w:ascii="宋体" w:hAnsi="宋体" w:eastAsia="宋体" w:cs="宋体"/>
          <w:b/>
          <w:bCs/>
          <w:kern w:val="2"/>
          <w:sz w:val="24"/>
          <w:szCs w:val="24"/>
        </w:rPr>
        <w:t>二、广水市政府采购验收报告</w:t>
      </w:r>
      <w:bookmarkEnd w:id="9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54"/>
        <w:gridCol w:w="1337"/>
        <w:gridCol w:w="190"/>
        <w:gridCol w:w="3052"/>
        <w:gridCol w:w="954"/>
        <w:gridCol w:w="95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785" w:type="dxa"/>
            <w:gridSpan w:val="3"/>
            <w:vAlign w:val="center"/>
          </w:tcPr>
          <w:p>
            <w:pPr>
              <w:rPr>
                <w:rFonts w:ascii="宋体" w:hAnsi="宋体" w:eastAsia="宋体" w:cs="宋体"/>
                <w:kern w:val="2"/>
                <w:sz w:val="24"/>
                <w:szCs w:val="24"/>
              </w:rPr>
            </w:pPr>
            <w:r>
              <w:rPr>
                <w:rFonts w:hint="eastAsia" w:ascii="宋体" w:hAnsi="宋体" w:eastAsia="宋体" w:cs="宋体"/>
                <w:kern w:val="2"/>
                <w:sz w:val="24"/>
                <w:szCs w:val="24"/>
              </w:rPr>
              <w:t>使用单位：</w:t>
            </w:r>
          </w:p>
        </w:tc>
        <w:tc>
          <w:tcPr>
            <w:tcW w:w="6251" w:type="dxa"/>
            <w:gridSpan w:val="5"/>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85" w:type="dxa"/>
            <w:gridSpan w:val="3"/>
            <w:vAlign w:val="center"/>
          </w:tcPr>
          <w:p>
            <w:pP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251" w:type="dxa"/>
            <w:gridSpan w:val="5"/>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85" w:type="dxa"/>
            <w:gridSpan w:val="3"/>
            <w:vAlign w:val="center"/>
          </w:tcPr>
          <w:p>
            <w:pPr>
              <w:rPr>
                <w:rFonts w:ascii="宋体" w:hAnsi="宋体" w:eastAsia="宋体" w:cs="宋体"/>
                <w:kern w:val="2"/>
                <w:sz w:val="24"/>
                <w:szCs w:val="24"/>
              </w:rPr>
            </w:pPr>
            <w:r>
              <w:rPr>
                <w:rFonts w:hint="eastAsia" w:ascii="宋体" w:hAnsi="宋体" w:eastAsia="宋体" w:cs="宋体"/>
                <w:kern w:val="2"/>
                <w:sz w:val="24"/>
                <w:szCs w:val="24"/>
              </w:rPr>
              <w:t>供应商：</w:t>
            </w:r>
          </w:p>
        </w:tc>
        <w:tc>
          <w:tcPr>
            <w:tcW w:w="6251" w:type="dxa"/>
            <w:gridSpan w:val="5"/>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5" w:type="dxa"/>
            <w:gridSpan w:val="3"/>
            <w:vAlign w:val="center"/>
          </w:tcPr>
          <w:p>
            <w:pPr>
              <w:rPr>
                <w:rFonts w:ascii="宋体" w:hAnsi="宋体" w:eastAsia="宋体" w:cs="宋体"/>
                <w:kern w:val="2"/>
                <w:sz w:val="24"/>
                <w:szCs w:val="24"/>
              </w:rPr>
            </w:pPr>
            <w:r>
              <w:rPr>
                <w:rFonts w:hint="eastAsia" w:ascii="宋体" w:hAnsi="宋体" w:eastAsia="宋体" w:cs="宋体"/>
                <w:kern w:val="2"/>
                <w:sz w:val="24"/>
                <w:szCs w:val="24"/>
              </w:rPr>
              <w:t>合同总金额（万元）</w:t>
            </w:r>
          </w:p>
        </w:tc>
        <w:tc>
          <w:tcPr>
            <w:tcW w:w="6251" w:type="dxa"/>
            <w:gridSpan w:val="5"/>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85" w:type="dxa"/>
            <w:gridSpan w:val="3"/>
            <w:vAlign w:val="center"/>
          </w:tcPr>
          <w:p>
            <w:pPr>
              <w:rPr>
                <w:rFonts w:ascii="宋体" w:hAnsi="宋体" w:eastAsia="宋体" w:cs="宋体"/>
                <w:kern w:val="2"/>
                <w:sz w:val="24"/>
                <w:szCs w:val="24"/>
              </w:rPr>
            </w:pPr>
            <w:r>
              <w:rPr>
                <w:rFonts w:hint="eastAsia" w:ascii="宋体" w:hAnsi="宋体" w:eastAsia="宋体" w:cs="宋体"/>
                <w:kern w:val="2"/>
                <w:sz w:val="24"/>
                <w:szCs w:val="24"/>
              </w:rPr>
              <w:t>合同编号</w:t>
            </w:r>
          </w:p>
        </w:tc>
        <w:tc>
          <w:tcPr>
            <w:tcW w:w="6251" w:type="dxa"/>
            <w:gridSpan w:val="5"/>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785" w:type="dxa"/>
            <w:gridSpan w:val="3"/>
            <w:vAlign w:val="center"/>
          </w:tcPr>
          <w:p>
            <w:pPr>
              <w:rPr>
                <w:rFonts w:ascii="宋体" w:hAnsi="宋体" w:eastAsia="宋体" w:cs="宋体"/>
                <w:kern w:val="2"/>
                <w:sz w:val="24"/>
                <w:szCs w:val="24"/>
              </w:rPr>
            </w:pPr>
            <w:r>
              <w:rPr>
                <w:rFonts w:hint="eastAsia" w:ascii="宋体" w:hAnsi="宋体" w:eastAsia="宋体" w:cs="宋体"/>
                <w:kern w:val="2"/>
                <w:sz w:val="24"/>
                <w:szCs w:val="24"/>
              </w:rPr>
              <w:t>验收日期</w:t>
            </w:r>
          </w:p>
        </w:tc>
        <w:tc>
          <w:tcPr>
            <w:tcW w:w="6251" w:type="dxa"/>
            <w:gridSpan w:val="5"/>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 w:type="dxa"/>
            <w:vMerge w:val="restart"/>
            <w:tcBorders>
              <w:right w:val="nil"/>
            </w:tcBorders>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清</w:t>
            </w:r>
          </w:p>
          <w:p>
            <w:pPr>
              <w:jc w:val="center"/>
              <w:rPr>
                <w:rFonts w:ascii="宋体" w:hAnsi="宋体" w:eastAsia="宋体" w:cs="宋体"/>
                <w:kern w:val="2"/>
                <w:sz w:val="24"/>
                <w:szCs w:val="24"/>
              </w:rPr>
            </w:pPr>
          </w:p>
          <w:p>
            <w:pPr>
              <w:jc w:val="center"/>
              <w:rPr>
                <w:rFonts w:ascii="宋体" w:hAnsi="宋体" w:eastAsia="宋体" w:cs="宋体"/>
                <w:kern w:val="2"/>
                <w:sz w:val="24"/>
                <w:szCs w:val="24"/>
              </w:rPr>
            </w:pPr>
          </w:p>
          <w:p>
            <w:pPr>
              <w:jc w:val="center"/>
              <w:rPr>
                <w:rFonts w:ascii="宋体" w:hAnsi="宋体" w:eastAsia="宋体" w:cs="宋体"/>
                <w:kern w:val="2"/>
                <w:sz w:val="24"/>
                <w:szCs w:val="24"/>
              </w:rPr>
            </w:pPr>
          </w:p>
          <w:p>
            <w:pPr>
              <w:jc w:val="center"/>
              <w:rPr>
                <w:rFonts w:ascii="宋体" w:hAnsi="宋体" w:eastAsia="宋体" w:cs="宋体"/>
                <w:kern w:val="2"/>
                <w:sz w:val="24"/>
                <w:szCs w:val="24"/>
              </w:rPr>
            </w:pPr>
            <w:r>
              <w:rPr>
                <w:rFonts w:hint="eastAsia" w:ascii="宋体" w:hAnsi="宋体" w:eastAsia="宋体" w:cs="宋体"/>
                <w:kern w:val="2"/>
                <w:sz w:val="24"/>
                <w:szCs w:val="24"/>
              </w:rPr>
              <w:t>单</w:t>
            </w:r>
          </w:p>
        </w:tc>
        <w:tc>
          <w:tcPr>
            <w:tcW w:w="954" w:type="dxa"/>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527" w:type="dxa"/>
            <w:gridSpan w:val="2"/>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3052" w:type="dxa"/>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规格型号</w:t>
            </w:r>
          </w:p>
        </w:tc>
        <w:tc>
          <w:tcPr>
            <w:tcW w:w="954" w:type="dxa"/>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单价</w:t>
            </w:r>
          </w:p>
        </w:tc>
        <w:tc>
          <w:tcPr>
            <w:tcW w:w="954" w:type="dxa"/>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1101" w:type="dxa"/>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94" w:type="dxa"/>
            <w:vMerge w:val="continue"/>
            <w:tcBorders>
              <w:right w:val="nil"/>
            </w:tcBorders>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527" w:type="dxa"/>
            <w:gridSpan w:val="2"/>
          </w:tcPr>
          <w:p>
            <w:pPr>
              <w:rPr>
                <w:rFonts w:ascii="宋体" w:hAnsi="宋体" w:eastAsia="宋体" w:cs="宋体"/>
                <w:kern w:val="2"/>
                <w:sz w:val="24"/>
                <w:szCs w:val="24"/>
              </w:rPr>
            </w:pPr>
          </w:p>
        </w:tc>
        <w:tc>
          <w:tcPr>
            <w:tcW w:w="3052"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101" w:type="dxa"/>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4" w:type="dxa"/>
            <w:vMerge w:val="continue"/>
            <w:tcBorders>
              <w:right w:val="nil"/>
            </w:tcBorders>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527" w:type="dxa"/>
            <w:gridSpan w:val="2"/>
          </w:tcPr>
          <w:p>
            <w:pPr>
              <w:rPr>
                <w:rFonts w:ascii="宋体" w:hAnsi="宋体" w:eastAsia="宋体" w:cs="宋体"/>
                <w:kern w:val="2"/>
                <w:sz w:val="24"/>
                <w:szCs w:val="24"/>
              </w:rPr>
            </w:pPr>
          </w:p>
        </w:tc>
        <w:tc>
          <w:tcPr>
            <w:tcW w:w="3052"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101" w:type="dxa"/>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 w:type="dxa"/>
            <w:vMerge w:val="continue"/>
            <w:tcBorders>
              <w:right w:val="nil"/>
            </w:tcBorders>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527" w:type="dxa"/>
            <w:gridSpan w:val="2"/>
          </w:tcPr>
          <w:p>
            <w:pPr>
              <w:rPr>
                <w:rFonts w:ascii="宋体" w:hAnsi="宋体" w:eastAsia="宋体" w:cs="宋体"/>
                <w:kern w:val="2"/>
                <w:sz w:val="24"/>
                <w:szCs w:val="24"/>
              </w:rPr>
            </w:pPr>
          </w:p>
        </w:tc>
        <w:tc>
          <w:tcPr>
            <w:tcW w:w="3052"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101" w:type="dxa"/>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94" w:type="dxa"/>
            <w:vMerge w:val="continue"/>
            <w:tcBorders>
              <w:right w:val="nil"/>
            </w:tcBorders>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527" w:type="dxa"/>
            <w:gridSpan w:val="2"/>
          </w:tcPr>
          <w:p>
            <w:pPr>
              <w:rPr>
                <w:rFonts w:ascii="宋体" w:hAnsi="宋体" w:eastAsia="宋体" w:cs="宋体"/>
                <w:kern w:val="2"/>
                <w:sz w:val="24"/>
                <w:szCs w:val="24"/>
              </w:rPr>
            </w:pPr>
          </w:p>
        </w:tc>
        <w:tc>
          <w:tcPr>
            <w:tcW w:w="3052"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101" w:type="dxa"/>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4" w:type="dxa"/>
            <w:vMerge w:val="continue"/>
            <w:tcBorders>
              <w:right w:val="nil"/>
            </w:tcBorders>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527" w:type="dxa"/>
            <w:gridSpan w:val="2"/>
          </w:tcPr>
          <w:p>
            <w:pPr>
              <w:rPr>
                <w:rFonts w:ascii="宋体" w:hAnsi="宋体" w:eastAsia="宋体" w:cs="宋体"/>
                <w:kern w:val="2"/>
                <w:sz w:val="24"/>
                <w:szCs w:val="24"/>
              </w:rPr>
            </w:pPr>
          </w:p>
        </w:tc>
        <w:tc>
          <w:tcPr>
            <w:tcW w:w="3052"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954" w:type="dxa"/>
          </w:tcPr>
          <w:p>
            <w:pPr>
              <w:rPr>
                <w:rFonts w:ascii="宋体" w:hAnsi="宋体" w:eastAsia="宋体" w:cs="宋体"/>
                <w:kern w:val="2"/>
                <w:sz w:val="24"/>
                <w:szCs w:val="24"/>
              </w:rPr>
            </w:pPr>
          </w:p>
        </w:tc>
        <w:tc>
          <w:tcPr>
            <w:tcW w:w="1101" w:type="dxa"/>
          </w:tcPr>
          <w:p>
            <w:pP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trPr>
        <w:tc>
          <w:tcPr>
            <w:tcW w:w="494" w:type="dxa"/>
            <w:vAlign w:val="center"/>
          </w:tcPr>
          <w:p>
            <w:pPr>
              <w:jc w:val="center"/>
              <w:rPr>
                <w:rFonts w:ascii="宋体" w:hAnsi="宋体" w:eastAsia="宋体" w:cs="宋体"/>
                <w:kern w:val="2"/>
                <w:sz w:val="24"/>
                <w:szCs w:val="24"/>
              </w:rPr>
            </w:pPr>
            <w:r>
              <w:rPr>
                <w:rFonts w:hint="eastAsia" w:ascii="宋体" w:hAnsi="宋体" w:eastAsia="宋体" w:cs="宋体"/>
                <w:kern w:val="2"/>
                <w:sz w:val="24"/>
                <w:szCs w:val="24"/>
              </w:rPr>
              <w:t>响</w:t>
            </w:r>
          </w:p>
          <w:p>
            <w:pPr>
              <w:jc w:val="center"/>
              <w:rPr>
                <w:rFonts w:ascii="宋体" w:hAnsi="宋体" w:eastAsia="宋体" w:cs="宋体"/>
                <w:kern w:val="2"/>
                <w:sz w:val="24"/>
                <w:szCs w:val="24"/>
              </w:rPr>
            </w:pPr>
          </w:p>
          <w:p>
            <w:pPr>
              <w:jc w:val="center"/>
              <w:rPr>
                <w:rFonts w:ascii="宋体" w:hAnsi="宋体" w:eastAsia="宋体" w:cs="宋体"/>
                <w:kern w:val="2"/>
                <w:sz w:val="24"/>
                <w:szCs w:val="24"/>
              </w:rPr>
            </w:pPr>
            <w:r>
              <w:rPr>
                <w:rFonts w:hint="eastAsia" w:ascii="宋体" w:hAnsi="宋体" w:eastAsia="宋体" w:cs="宋体"/>
                <w:kern w:val="2"/>
                <w:sz w:val="24"/>
                <w:szCs w:val="24"/>
              </w:rPr>
              <w:t>应</w:t>
            </w:r>
          </w:p>
          <w:p>
            <w:pPr>
              <w:jc w:val="center"/>
              <w:rPr>
                <w:rFonts w:ascii="宋体" w:hAnsi="宋体" w:eastAsia="宋体" w:cs="宋体"/>
                <w:kern w:val="2"/>
                <w:sz w:val="24"/>
                <w:szCs w:val="24"/>
              </w:rPr>
            </w:pPr>
          </w:p>
          <w:p>
            <w:pPr>
              <w:jc w:val="center"/>
              <w:rPr>
                <w:rFonts w:ascii="宋体" w:hAnsi="宋体" w:eastAsia="宋体" w:cs="宋体"/>
                <w:kern w:val="2"/>
                <w:sz w:val="24"/>
                <w:szCs w:val="24"/>
              </w:rPr>
            </w:pPr>
            <w:r>
              <w:rPr>
                <w:rFonts w:hint="eastAsia" w:ascii="宋体" w:hAnsi="宋体" w:eastAsia="宋体" w:cs="宋体"/>
                <w:kern w:val="2"/>
                <w:sz w:val="24"/>
                <w:szCs w:val="24"/>
              </w:rPr>
              <w:t>条</w:t>
            </w:r>
          </w:p>
          <w:p>
            <w:pPr>
              <w:jc w:val="center"/>
              <w:rPr>
                <w:rFonts w:ascii="宋体" w:hAnsi="宋体" w:eastAsia="宋体" w:cs="宋体"/>
                <w:kern w:val="2"/>
                <w:sz w:val="24"/>
                <w:szCs w:val="24"/>
              </w:rPr>
            </w:pPr>
          </w:p>
          <w:p>
            <w:pPr>
              <w:jc w:val="center"/>
              <w:rPr>
                <w:rFonts w:ascii="宋体" w:hAnsi="宋体" w:eastAsia="宋体" w:cs="宋体"/>
                <w:kern w:val="2"/>
                <w:sz w:val="24"/>
                <w:szCs w:val="24"/>
              </w:rPr>
            </w:pPr>
            <w:r>
              <w:rPr>
                <w:rFonts w:hint="eastAsia" w:ascii="宋体" w:hAnsi="宋体" w:eastAsia="宋体" w:cs="宋体"/>
                <w:kern w:val="2"/>
                <w:sz w:val="24"/>
                <w:szCs w:val="24"/>
              </w:rPr>
              <w:t>款</w:t>
            </w:r>
          </w:p>
          <w:p>
            <w:pPr>
              <w:jc w:val="center"/>
              <w:rPr>
                <w:rFonts w:ascii="宋体" w:hAnsi="宋体" w:eastAsia="宋体" w:cs="宋体"/>
                <w:kern w:val="2"/>
                <w:sz w:val="24"/>
                <w:szCs w:val="24"/>
              </w:rPr>
            </w:pPr>
          </w:p>
          <w:p>
            <w:pPr>
              <w:jc w:val="center"/>
              <w:rPr>
                <w:rFonts w:ascii="宋体" w:hAnsi="宋体" w:eastAsia="宋体" w:cs="宋体"/>
                <w:kern w:val="2"/>
                <w:sz w:val="24"/>
                <w:szCs w:val="24"/>
              </w:rPr>
            </w:pPr>
            <w:r>
              <w:rPr>
                <w:rFonts w:hint="eastAsia" w:ascii="宋体" w:hAnsi="宋体" w:eastAsia="宋体" w:cs="宋体"/>
                <w:kern w:val="2"/>
                <w:sz w:val="24"/>
                <w:szCs w:val="24"/>
              </w:rPr>
              <w:t>打√</w:t>
            </w:r>
          </w:p>
        </w:tc>
        <w:tc>
          <w:tcPr>
            <w:tcW w:w="8542" w:type="dxa"/>
            <w:gridSpan w:val="7"/>
          </w:tcPr>
          <w:p>
            <w:pPr>
              <w:numPr>
                <w:ilvl w:val="0"/>
                <w:numId w:val="5"/>
              </w:numPr>
              <w:rPr>
                <w:rFonts w:ascii="宋体" w:hAnsi="宋体" w:eastAsia="宋体" w:cs="宋体"/>
                <w:kern w:val="2"/>
                <w:sz w:val="24"/>
                <w:szCs w:val="24"/>
              </w:rPr>
            </w:pPr>
            <w:r>
              <w:rPr>
                <w:rFonts w:hint="eastAsia" w:ascii="宋体" w:hAnsi="宋体" w:eastAsia="宋体" w:cs="宋体"/>
                <w:kern w:val="2"/>
                <w:sz w:val="24"/>
                <w:szCs w:val="24"/>
              </w:rPr>
              <w:t>1．供应商提供货物的规格、型号、数量、颜色</w:t>
            </w:r>
            <w:r>
              <w:rPr>
                <w:rFonts w:hint="eastAsia" w:ascii="宋体" w:hAnsi="宋体" w:eastAsia="宋体" w:cs="宋体"/>
                <w:kern w:val="2"/>
                <w:sz w:val="24"/>
                <w:szCs w:val="24"/>
                <w:lang w:eastAsia="zh-CN"/>
              </w:rPr>
              <w:t>等</w:t>
            </w:r>
            <w:r>
              <w:rPr>
                <w:rFonts w:hint="eastAsia" w:ascii="宋体" w:hAnsi="宋体" w:eastAsia="宋体" w:cs="宋体"/>
                <w:kern w:val="2"/>
                <w:sz w:val="24"/>
                <w:szCs w:val="24"/>
              </w:rPr>
              <w:t>是否与采购单位政府采购计划表的需求、中标供应商的投标产品以及采购合同的货物相符；</w:t>
            </w:r>
          </w:p>
          <w:p>
            <w:pPr>
              <w:numPr>
                <w:ilvl w:val="0"/>
                <w:numId w:val="5"/>
              </w:numPr>
              <w:rPr>
                <w:rFonts w:ascii="宋体" w:hAnsi="宋体" w:eastAsia="宋体" w:cs="宋体"/>
                <w:kern w:val="2"/>
                <w:sz w:val="24"/>
                <w:szCs w:val="24"/>
              </w:rPr>
            </w:pPr>
            <w:r>
              <w:rPr>
                <w:rFonts w:hint="eastAsia" w:ascii="宋体" w:hAnsi="宋体" w:eastAsia="宋体" w:cs="宋体"/>
                <w:kern w:val="2"/>
                <w:sz w:val="24"/>
                <w:szCs w:val="24"/>
              </w:rPr>
              <w:t>2．供应商是否按照投标文件上的时间、地点交货；</w:t>
            </w:r>
          </w:p>
          <w:p>
            <w:pPr>
              <w:numPr>
                <w:ilvl w:val="0"/>
                <w:numId w:val="5"/>
              </w:numPr>
              <w:rPr>
                <w:rFonts w:ascii="宋体" w:hAnsi="宋体" w:eastAsia="宋体" w:cs="宋体"/>
                <w:kern w:val="2"/>
                <w:sz w:val="24"/>
                <w:szCs w:val="24"/>
              </w:rPr>
            </w:pPr>
            <w:r>
              <w:rPr>
                <w:rFonts w:hint="eastAsia" w:ascii="宋体" w:hAnsi="宋体" w:eastAsia="宋体" w:cs="宋体"/>
                <w:kern w:val="2"/>
                <w:sz w:val="24"/>
                <w:szCs w:val="24"/>
              </w:rPr>
              <w:t>3．供应商提供的货物是否在验收现场验收；</w:t>
            </w:r>
          </w:p>
          <w:p>
            <w:pPr>
              <w:numPr>
                <w:ilvl w:val="0"/>
                <w:numId w:val="5"/>
              </w:numPr>
              <w:rPr>
                <w:rFonts w:ascii="宋体" w:hAnsi="宋体" w:eastAsia="宋体" w:cs="宋体"/>
                <w:kern w:val="2"/>
                <w:sz w:val="24"/>
                <w:szCs w:val="24"/>
              </w:rPr>
            </w:pPr>
            <w:r>
              <w:rPr>
                <w:rFonts w:hint="eastAsia" w:ascii="宋体" w:hAnsi="宋体" w:eastAsia="宋体" w:cs="宋体"/>
                <w:kern w:val="2"/>
                <w:sz w:val="24"/>
                <w:szCs w:val="24"/>
              </w:rPr>
              <w:t>4. 产品质量是否达标；</w:t>
            </w:r>
          </w:p>
          <w:p>
            <w:pPr>
              <w:numPr>
                <w:ilvl w:val="0"/>
                <w:numId w:val="5"/>
              </w:numPr>
              <w:rPr>
                <w:rFonts w:ascii="宋体" w:hAnsi="宋体" w:eastAsia="宋体" w:cs="宋体"/>
                <w:kern w:val="2"/>
                <w:sz w:val="24"/>
                <w:szCs w:val="24"/>
              </w:rPr>
            </w:pPr>
            <w:r>
              <w:rPr>
                <w:rFonts w:hint="eastAsia" w:ascii="宋体" w:hAnsi="宋体" w:eastAsia="宋体" w:cs="宋体"/>
                <w:kern w:val="2"/>
                <w:sz w:val="24"/>
                <w:szCs w:val="24"/>
              </w:rPr>
              <w:t>5．供应商提供的发票是否真实；</w:t>
            </w:r>
          </w:p>
          <w:p>
            <w:pPr>
              <w:numPr>
                <w:ilvl w:val="0"/>
                <w:numId w:val="5"/>
              </w:numPr>
              <w:rPr>
                <w:rFonts w:ascii="宋体" w:hAnsi="宋体" w:eastAsia="宋体" w:cs="宋体"/>
                <w:kern w:val="2"/>
                <w:sz w:val="24"/>
                <w:szCs w:val="24"/>
              </w:rPr>
            </w:pPr>
            <w:r>
              <w:rPr>
                <w:rFonts w:hint="eastAsia" w:ascii="宋体" w:hAnsi="宋体" w:eastAsia="宋体" w:cs="宋体"/>
                <w:kern w:val="2"/>
                <w:sz w:val="24"/>
                <w:szCs w:val="24"/>
              </w:rPr>
              <w:t>6．供应商是否有违规及超出投标文件的行为。</w:t>
            </w:r>
          </w:p>
          <w:p>
            <w:pPr>
              <w:pStyle w:val="14"/>
            </w:pPr>
          </w:p>
          <w:p>
            <w:pPr>
              <w:pStyle w:val="14"/>
            </w:pPr>
          </w:p>
          <w:p>
            <w:pPr>
              <w:rPr>
                <w:rFonts w:ascii="宋体" w:hAnsi="宋体" w:eastAsia="宋体" w:cs="宋体"/>
                <w:kern w:val="2"/>
                <w:sz w:val="24"/>
                <w:szCs w:val="24"/>
              </w:rPr>
            </w:pPr>
            <w:r>
              <w:rPr>
                <w:rFonts w:hint="eastAsia" w:ascii="宋体" w:hAnsi="宋体" w:eastAsia="宋体" w:cs="宋体"/>
                <w:kern w:val="2"/>
                <w:sz w:val="24"/>
                <w:szCs w:val="24"/>
              </w:rPr>
              <w:t xml:space="preserve">  （使用单位公章）</w:t>
            </w:r>
          </w:p>
          <w:p>
            <w:pPr>
              <w:rPr>
                <w:rFonts w:ascii="宋体" w:hAnsi="宋体" w:eastAsia="宋体" w:cs="宋体"/>
                <w:kern w:val="2"/>
                <w:sz w:val="24"/>
                <w:szCs w:val="24"/>
              </w:rPr>
            </w:pPr>
            <w:r>
              <w:rPr>
                <w:rFonts w:hint="eastAsia" w:ascii="宋体" w:hAnsi="宋体" w:eastAsia="宋体" w:cs="宋体"/>
                <w:kern w:val="2"/>
                <w:sz w:val="24"/>
                <w:szCs w:val="24"/>
              </w:rPr>
              <w:t xml:space="preserve">    采购单位使用人：</w:t>
            </w:r>
          </w:p>
          <w:p>
            <w:pPr>
              <w:rPr>
                <w:rFonts w:ascii="宋体" w:hAnsi="宋体" w:eastAsia="宋体" w:cs="宋体"/>
                <w:kern w:val="2"/>
                <w:sz w:val="24"/>
                <w:szCs w:val="24"/>
              </w:rPr>
            </w:pPr>
          </w:p>
          <w:p>
            <w:pPr>
              <w:rPr>
                <w:rFonts w:ascii="宋体" w:hAnsi="宋体" w:eastAsia="宋体" w:cs="宋体"/>
                <w:kern w:val="2"/>
                <w:sz w:val="24"/>
                <w:szCs w:val="24"/>
              </w:rPr>
            </w:pPr>
            <w:r>
              <w:rPr>
                <w:rFonts w:hint="eastAsia" w:ascii="宋体" w:hAnsi="宋体" w:eastAsia="宋体" w:cs="宋体"/>
                <w:kern w:val="2"/>
                <w:sz w:val="24"/>
                <w:szCs w:val="24"/>
              </w:rPr>
              <w:t xml:space="preserve">    采购单位财务部门：</w:t>
            </w:r>
          </w:p>
          <w:p>
            <w:pPr>
              <w:rPr>
                <w:rFonts w:ascii="宋体" w:hAnsi="宋体" w:eastAsia="宋体" w:cs="宋体"/>
                <w:kern w:val="2"/>
                <w:sz w:val="24"/>
                <w:szCs w:val="24"/>
              </w:rPr>
            </w:pPr>
          </w:p>
          <w:p>
            <w:pPr>
              <w:rPr>
                <w:rFonts w:ascii="宋体" w:hAnsi="宋体" w:eastAsia="宋体" w:cs="宋体"/>
                <w:kern w:val="2"/>
                <w:sz w:val="24"/>
                <w:szCs w:val="24"/>
              </w:rPr>
            </w:pPr>
            <w:r>
              <w:rPr>
                <w:rFonts w:hint="eastAsia" w:ascii="宋体" w:hAnsi="宋体" w:eastAsia="宋体" w:cs="宋体"/>
                <w:kern w:val="2"/>
                <w:sz w:val="24"/>
                <w:szCs w:val="24"/>
              </w:rPr>
              <w:t xml:space="preserve">    采购单位纪检部门： </w:t>
            </w:r>
          </w:p>
          <w:p>
            <w:pPr>
              <w:rPr>
                <w:rFonts w:ascii="宋体" w:hAnsi="宋体" w:eastAsia="宋体" w:cs="宋体"/>
                <w:kern w:val="2"/>
                <w:sz w:val="24"/>
                <w:szCs w:val="24"/>
              </w:rPr>
            </w:pPr>
            <w:r>
              <w:rPr>
                <w:rFonts w:hint="eastAsia" w:ascii="宋体" w:hAnsi="宋体" w:eastAsia="宋体" w:cs="宋体"/>
                <w:kern w:val="2"/>
                <w:sz w:val="24"/>
                <w:szCs w:val="24"/>
              </w:rPr>
              <w:t xml:space="preserve">   （根据需要，采购单位相关技术部门）：</w:t>
            </w:r>
          </w:p>
          <w:p>
            <w:pPr>
              <w:ind w:firstLine="480" w:firstLineChars="200"/>
              <w:rPr>
                <w:rFonts w:ascii="宋体" w:hAnsi="宋体" w:eastAsia="宋体" w:cs="宋体"/>
                <w:kern w:val="2"/>
                <w:sz w:val="24"/>
                <w:szCs w:val="24"/>
              </w:rPr>
            </w:pPr>
            <w:r>
              <w:rPr>
                <w:rFonts w:hint="eastAsia" w:ascii="宋体" w:hAnsi="宋体" w:eastAsia="宋体" w:cs="宋体"/>
                <w:kern w:val="2"/>
                <w:sz w:val="24"/>
                <w:szCs w:val="24"/>
              </w:rPr>
              <w:t>验收小组人员：（签名）</w:t>
            </w:r>
          </w:p>
        </w:tc>
      </w:tr>
    </w:tbl>
    <w:p>
      <w:pPr>
        <w:jc w:val="center"/>
        <w:rPr>
          <w:rStyle w:val="24"/>
          <w:rFonts w:ascii="宋体" w:hAnsi="宋体" w:cs="宋体"/>
          <w:sz w:val="28"/>
          <w:szCs w:val="28"/>
          <w:lang w:val="zh-CN"/>
        </w:rPr>
        <w:sectPr>
          <w:footerReference r:id="rId10" w:type="first"/>
          <w:footerReference r:id="rId9" w:type="default"/>
          <w:pgSz w:w="11907" w:h="16840"/>
          <w:pgMar w:top="1134" w:right="1418" w:bottom="1134" w:left="1418" w:header="851" w:footer="992" w:gutter="0"/>
          <w:cols w:space="720" w:num="1"/>
          <w:titlePg/>
          <w:docGrid w:type="lines" w:linePitch="312" w:charSpace="0"/>
        </w:sectPr>
      </w:pPr>
      <w:r>
        <w:rPr>
          <w:rFonts w:hint="eastAsia" w:ascii="宋体" w:hAnsi="宋体" w:eastAsia="宋体" w:cs="宋体"/>
          <w:sz w:val="28"/>
          <w:szCs w:val="28"/>
          <w:lang w:val="zh-CN"/>
        </w:rPr>
        <w:t>注：履约验收由采购人组织验收。</w:t>
      </w:r>
    </w:p>
    <w:p>
      <w:pPr>
        <w:pStyle w:val="4"/>
        <w:numPr>
          <w:ilvl w:val="0"/>
          <w:numId w:val="1"/>
        </w:numPr>
        <w:snapToGrid w:val="0"/>
        <w:spacing w:line="560" w:lineRule="exact"/>
        <w:rPr>
          <w:rFonts w:cs="宋体"/>
          <w:color w:val="auto"/>
          <w:lang w:val="zh-CN"/>
        </w:rPr>
      </w:pPr>
      <w:bookmarkStart w:id="95" w:name="_Toc490"/>
      <w:bookmarkStart w:id="96" w:name="_Toc30919"/>
      <w:bookmarkStart w:id="97" w:name="_Toc16658"/>
      <w:bookmarkStart w:id="98" w:name="_Toc30193"/>
      <w:r>
        <w:rPr>
          <w:rFonts w:hint="eastAsia" w:cs="宋体"/>
          <w:color w:val="auto"/>
          <w:lang w:val="zh-CN"/>
        </w:rPr>
        <w:t>采购要求及内容</w:t>
      </w:r>
      <w:bookmarkEnd w:id="95"/>
      <w:bookmarkEnd w:id="96"/>
      <w:bookmarkEnd w:id="97"/>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lang w:val="zh-CN"/>
        </w:rPr>
        <w:t>一包：</w:t>
      </w:r>
      <w:r>
        <w:rPr>
          <w:rFonts w:hint="eastAsia" w:ascii="仿宋" w:hAnsi="仿宋" w:eastAsia="仿宋" w:cs="仿宋"/>
          <w:color w:val="auto"/>
          <w:sz w:val="28"/>
          <w:szCs w:val="28"/>
        </w:rPr>
        <w:t>（一）★采购方式：投标人接到采购人通知后，为采购人免费提供书名和目录（以社会科学类图书为主，当年畅销新书排行榜上的书目均应在配送图书之列）并安排采购人到卖场。</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（二）采购范围：</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1、图书必须是最新百佳出版社图书为主，供应商须无偿提供《社科类新书目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科技类新书目》等及各大出版社最新图书征订目录，书目形式为书本式与电子数据两种，每两周提供一次新书目。提供的征订书目内容应有准确的图书出版年月、真实的库存复本数等，且均需符合读者的阅读要求。所供图书必须2020年及以后出版的正版新书。</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2、其中“必备书目及重点收藏图书”订到率须为 100%。所购图书必须具有国家出版署批准的书号（ISBN）。</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3、投标人应及时提供近一年来所出新书的 MARC格式采访数据，每月社科类数据量不少于3000条、科技类数据量不少于1000条，并不得拒绝采购人自行收集书目所提出的采购要求。</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必须保证提供采购人指定的权威出版社所出版的正版图书。一经发现所提供的为违法、盗版、翻版书籍，必须无条件退货，采购人有权解除合同，取消其服务资格，违约责任、经济责任与法律责任由成交方承担。</w:t>
      </w:r>
    </w:p>
    <w:p>
      <w:pPr>
        <w:spacing w:line="360" w:lineRule="auto"/>
        <w:rPr>
          <w:rFonts w:ascii="仿宋" w:hAnsi="仿宋" w:eastAsia="仿宋" w:cs="仿宋"/>
          <w:color w:val="auto"/>
          <w:sz w:val="28"/>
          <w:szCs w:val="28"/>
        </w:rPr>
      </w:pPr>
    </w:p>
    <w:p>
      <w:pPr>
        <w:spacing w:line="360" w:lineRule="auto"/>
        <w:rPr>
          <w:rFonts w:ascii="仿宋" w:hAnsi="仿宋" w:eastAsia="仿宋" w:cs="仿宋"/>
          <w:color w:val="auto"/>
          <w:sz w:val="28"/>
          <w:szCs w:val="28"/>
        </w:rPr>
      </w:pPr>
      <w:bookmarkStart w:id="99" w:name="_Toc14716358"/>
      <w:r>
        <w:rPr>
          <w:rFonts w:hint="eastAsia" w:ascii="仿宋" w:hAnsi="仿宋" w:eastAsia="仿宋" w:cs="仿宋"/>
          <w:color w:val="auto"/>
          <w:sz w:val="28"/>
          <w:szCs w:val="28"/>
        </w:rPr>
        <w:t>四、其他要求</w:t>
      </w:r>
      <w:bookmarkEnd w:id="99"/>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（一）加工要求：所提供的图书需按照图书馆要求编目全加工，并承担加工材料。分编工作要严格按照采购人制定的分类、编目规则进行。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1.广水市馆藏图书购置加工标准如下：</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图书新书开包验收时每本书封底后面用铅笔标明复本数。</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藏书章盖2个。分别盖在书名页正中、切口正中。</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（3）RFID电子标签贴在封面反面正中靠近书脊2.5厘米以内</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（4）书标贴在书籍下方3厘米处。</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（5）书标外加透明胶，并且透明胶需要将书标平整覆盖。</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2.广水市图书馆数据录入标准：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（1）查重：如有书名相同的多卷集、多册书要取原相同的种次号。</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（2）本地数据库以有市馆馆藏的数据为首选。</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（3）数据下载以国家图书馆数据为首选。</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（4）增加验收。总馆图书分别选择各自对应的馆藏地点。</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（5）自建数据要严格执行《随州地区中文图书联合编目著录基本标准》，并且需要将自建数据上报给孝昌县图书馆编目负责人。</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（二）配送要求：</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投标人按采购人要求的时限将图书免费配送到指定地点。投标人配送的图书必须有详细的验收清单（所送图书每包附清单，每批有总清单。），包括电子版1份，纸质版一式三份并加盖公司印章，验收清单上须标明每册图书对应的书名、价格和出版社等3个项目，图书验收时，3个项目与图书实体核对无误则该册图书验收合格，否则不办理验收手续。投标人配送图书之前，应预先电话通知指定配送地点，以便对方做好收货准备，并在送书完成后做好每个配送分馆的图书签收登记工作。</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所有图书的品种和复本数量均由采购人决定，投标人不得自行搭配和追加非采购人确认订购的品种或复本。对有错页、缺页、漏页、图文不清、倒装、污损、受潮、缺附件等情况的图书，投标人应在3个工作日内应负责包退、包换，不能以已加工等理由拒绝，由此造成的损失及费用由投标人承担。</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如果投标人提供的图书有盗版，采购人可按盗版图书总码洋的30倍对投标人进行经济处罚，并有权单方终止购书合同；如果采购人对投标人的图书和服务质量有意见且沟通整改后仍达不到采购人要求的，采购人有权单方面</w:t>
      </w:r>
      <w:r>
        <w:rPr>
          <w:rFonts w:hint="eastAsia" w:ascii="仿宋" w:hAnsi="仿宋" w:eastAsia="仿宋" w:cs="仿宋"/>
          <w:color w:val="auto"/>
          <w:sz w:val="28"/>
          <w:szCs w:val="28"/>
          <w:lang w:eastAsia="zh-CN"/>
        </w:rPr>
        <w:t>终止合同</w:t>
      </w:r>
      <w:r>
        <w:rPr>
          <w:rFonts w:hint="eastAsia" w:ascii="仿宋" w:hAnsi="仿宋" w:eastAsia="仿宋" w:cs="仿宋"/>
          <w:color w:val="auto"/>
          <w:sz w:val="28"/>
          <w:szCs w:val="28"/>
        </w:rPr>
        <w:t>。上述两点所引发的法律责任全部由投标人承担。</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（三）供货进度要求：投标人根据供货期要求，参照以下内容做出履行合同内容各阶段的时间安排。</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1.合同的签订；</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2.根据采购人数目购买图书；</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3.图书编码及其他加工；</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4.图书配送及整理。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（四）考核要求：广水市图书馆将适时对中标单位进行考核，以一个月为单位考核采访数据的提供。考核不达标一次扣减合同10000元直至终止供书合同。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（五）样书情况：投标人应根据采购人提供的样书目录在递交响应文件时一并递交样书。样书分类别提供，一个类别提供的一本即可。</w:t>
      </w:r>
    </w:p>
    <w:p>
      <w:pPr>
        <w:spacing w:line="360" w:lineRule="auto"/>
        <w:rPr>
          <w:rFonts w:ascii="仿宋" w:hAnsi="仿宋" w:eastAsia="仿宋" w:cs="仿宋"/>
          <w:color w:val="auto"/>
          <w:sz w:val="28"/>
          <w:szCs w:val="28"/>
        </w:rPr>
      </w:pPr>
      <w:bookmarkStart w:id="100" w:name="_Toc14716359"/>
      <w:r>
        <w:rPr>
          <w:rFonts w:hint="eastAsia" w:ascii="仿宋" w:hAnsi="仿宋" w:eastAsia="仿宋" w:cs="仿宋"/>
          <w:color w:val="auto"/>
          <w:sz w:val="28"/>
          <w:szCs w:val="28"/>
        </w:rPr>
        <w:t>五、商务要求</w:t>
      </w:r>
      <w:bookmarkEnd w:id="100"/>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（一）交货期：在 2023年7月底前完成全部采购加工任务并通过采购人的验收。</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（二）质保期：1年。质保期内投标人免费上门维护，质保期从图书验收合格之日起计算。投标人在接到图书整理电话后1小时内响应，4小时内到达现场，12小时内处理完毕。若在 12小时内仍未能有效解决，投标人须免费提供同款新书替换损坏图书。</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（三）付款方式：本项目图书为分批采购，图书按采购批次付款，每批图书经采购人确认上架后 30 个日历天内付清。</w:t>
      </w:r>
    </w:p>
    <w:p>
      <w:pPr>
        <w:spacing w:line="360" w:lineRule="auto"/>
        <w:rPr>
          <w:rFonts w:ascii="仿宋" w:hAnsi="仿宋" w:eastAsia="仿宋" w:cs="仿宋"/>
          <w:color w:val="auto"/>
          <w:sz w:val="28"/>
          <w:szCs w:val="28"/>
        </w:rPr>
      </w:pPr>
      <w:bookmarkStart w:id="101" w:name="_Toc14716360"/>
      <w:r>
        <w:rPr>
          <w:rFonts w:hint="eastAsia" w:ascii="仿宋" w:hAnsi="仿宋" w:eastAsia="仿宋" w:cs="仿宋"/>
          <w:color w:val="auto"/>
          <w:sz w:val="28"/>
          <w:szCs w:val="28"/>
        </w:rPr>
        <w:t>六、报价要求</w:t>
      </w:r>
      <w:bookmarkEnd w:id="101"/>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投标人对本项目的投标总价一律按综合折扣率报价（总实洋=总码洋×综合折扣）。</w:t>
      </w:r>
    </w:p>
    <w:p>
      <w:pPr>
        <w:spacing w:line="360" w:lineRule="auto"/>
        <w:rPr>
          <w:rFonts w:ascii="仿宋" w:hAnsi="仿宋" w:eastAsia="仿宋" w:cs="仿宋"/>
          <w:color w:val="auto"/>
          <w:sz w:val="28"/>
          <w:szCs w:val="28"/>
        </w:rPr>
      </w:pPr>
      <w:bookmarkStart w:id="102" w:name="_Toc14716361"/>
      <w:r>
        <w:rPr>
          <w:rFonts w:hint="eastAsia" w:ascii="仿宋" w:hAnsi="仿宋" w:eastAsia="仿宋" w:cs="仿宋"/>
          <w:color w:val="auto"/>
          <w:sz w:val="28"/>
          <w:szCs w:val="28"/>
        </w:rPr>
        <w:t>七、违约处罚要求</w:t>
      </w:r>
      <w:bookmarkEnd w:id="102"/>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1、投标人须保证所提供的图书为正版图书，如出现盗版图书作退书处理，并按 1000 元/本处罚。</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2、投标人不得搭配非采购人订购的图书。如出现非采购人订购图书，不予退还并按500 元/本处罚。</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3、到书时间从报订到上架在 30 个日历天内，超过时间扣除合同实洋金额的 5‰/天。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4、到书率在 30 个日历天内达到80%以上上架，剩余部分在10个日历天内上架，如到书率未达到标准，每低 1%扣除合同实洋金额的 5%。未达到1%按1%计算。</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5、投标人在收到图书订单后应及时进行订购处理，并按需方要求将加工好的图书及时发送到需方指定地点，为此所发生的费用</w:t>
      </w:r>
      <w:r>
        <w:rPr>
          <w:rFonts w:hint="eastAsia" w:ascii="仿宋" w:hAnsi="仿宋" w:eastAsia="仿宋" w:cs="仿宋"/>
          <w:color w:val="auto"/>
          <w:sz w:val="28"/>
          <w:szCs w:val="28"/>
          <w:lang w:eastAsia="zh-CN"/>
        </w:rPr>
        <w:t>全部</w:t>
      </w:r>
      <w:r>
        <w:rPr>
          <w:rFonts w:hint="eastAsia" w:ascii="仿宋" w:hAnsi="仿宋" w:eastAsia="仿宋" w:cs="仿宋"/>
          <w:color w:val="auto"/>
          <w:sz w:val="28"/>
          <w:szCs w:val="28"/>
        </w:rPr>
        <w:t>由供应商承担。</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6、投标人必须按需方订购的图书品种、数量及时供货，除推迟出版或发生影响合同履行的不可抗力情况以外，若不能按时供货的图书</w:t>
      </w:r>
      <w:r>
        <w:rPr>
          <w:rFonts w:hint="eastAsia" w:ascii="仿宋" w:hAnsi="仿宋" w:eastAsia="仿宋" w:cs="仿宋"/>
          <w:color w:val="auto"/>
          <w:sz w:val="28"/>
          <w:szCs w:val="28"/>
          <w:lang w:eastAsia="zh-CN"/>
        </w:rPr>
        <w:t>种类</w:t>
      </w:r>
      <w:r>
        <w:rPr>
          <w:rFonts w:hint="eastAsia" w:ascii="仿宋" w:hAnsi="仿宋" w:eastAsia="仿宋" w:cs="仿宋"/>
          <w:color w:val="auto"/>
          <w:sz w:val="28"/>
          <w:szCs w:val="28"/>
        </w:rPr>
        <w:t>或册数超过订单订购数的 15%，即可以认定该投标人不具备供货条件，需方有权要求终止供货，因终止供货而造成的损失由投标人承担。需方有权采取相应的补救措施（如直接向出版商邮购图书或向其他供货商补订图书）， 由此给需方造成的各项损失或增加的各项费用（如折扣损失、邮费、数据费、加工费） 等均由违约的投标人承担。</w:t>
      </w:r>
    </w:p>
    <w:p>
      <w:pPr>
        <w:spacing w:line="360" w:lineRule="auto"/>
        <w:rPr>
          <w:rFonts w:ascii="仿宋" w:hAnsi="仿宋" w:eastAsia="仿宋" w:cs="仿宋"/>
          <w:color w:val="auto"/>
          <w:sz w:val="28"/>
          <w:szCs w:val="28"/>
        </w:rPr>
      </w:pPr>
      <w:bookmarkStart w:id="103" w:name="_Toc14716362"/>
      <w:r>
        <w:rPr>
          <w:rFonts w:hint="eastAsia" w:ascii="仿宋" w:hAnsi="仿宋" w:eastAsia="仿宋" w:cs="仿宋"/>
          <w:color w:val="auto"/>
          <w:sz w:val="28"/>
          <w:szCs w:val="28"/>
        </w:rPr>
        <w:t>八、</w:t>
      </w:r>
      <w:r>
        <w:rPr>
          <w:rFonts w:hint="eastAsia" w:ascii="仿宋" w:hAnsi="仿宋" w:eastAsia="仿宋" w:cs="仿宋"/>
          <w:color w:val="auto"/>
          <w:sz w:val="28"/>
          <w:szCs w:val="28"/>
          <w:lang w:eastAsia="zh-CN"/>
        </w:rPr>
        <w:t>其他要求</w:t>
      </w:r>
      <w:bookmarkEnd w:id="103"/>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1、本采购项目为交钥匙项目，投标人须提供包括人力、材料等资源以完成对设备及其附属配套装置的生产制造、采购、运输、安装、检验、试验、调试、试运行、后期服务等工作。</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2、所供货物必须是市场成熟产品，在中国市场有较多应用用户，质量要求和技术标准必须满足国家相关技术标准或企业标准。</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3、所供货物应是全新、未使用过的产品，标识明显；货物外观清洁，字体清晰、明确。</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4、所供主要设备技术规格、标准、配置要求应符合采购人的需求。</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5、投标人应根据项目要求和现场情况，详细列明项目所需的设备、材料、配件、辅材， 以及运输、安装、调试、验收等人工、管理（包括税费）等所有费用，如一旦中标，在项目实施中出现任何遗漏，均由投标人免费提供，采购人不再支付任何费用。</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6、投标人必须对产品的技术资料、参数等</w:t>
      </w:r>
      <w:r>
        <w:rPr>
          <w:rFonts w:hint="eastAsia" w:ascii="仿宋" w:hAnsi="仿宋" w:eastAsia="仿宋" w:cs="仿宋"/>
          <w:color w:val="auto"/>
          <w:sz w:val="28"/>
          <w:szCs w:val="28"/>
          <w:lang w:eastAsia="zh-CN"/>
        </w:rPr>
        <w:t>作出</w:t>
      </w:r>
      <w:r>
        <w:rPr>
          <w:rFonts w:hint="eastAsia" w:ascii="仿宋" w:hAnsi="仿宋" w:eastAsia="仿宋" w:cs="仿宋"/>
          <w:color w:val="auto"/>
          <w:sz w:val="28"/>
          <w:szCs w:val="28"/>
        </w:rPr>
        <w:t>说明。</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7、应列出技术、售后服务内容及优惠条款，应对质保期内容、时间做出承诺。</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8、投标人不得将本项目进行分包和转包。</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9、应能充分满足采购人的其他需求。</w:t>
      </w:r>
    </w:p>
    <w:p>
      <w:pPr>
        <w:pStyle w:val="25"/>
        <w:spacing w:line="360" w:lineRule="auto"/>
        <w:outlineLvl w:val="2"/>
        <w:rPr>
          <w:rFonts w:ascii="仿宋" w:hAnsi="仿宋" w:eastAsia="仿宋" w:cs="仿宋"/>
          <w:color w:val="auto"/>
          <w:sz w:val="28"/>
          <w:szCs w:val="28"/>
        </w:rPr>
      </w:pPr>
      <w:r>
        <w:rPr>
          <w:rFonts w:hint="eastAsia" w:ascii="仿宋" w:hAnsi="仿宋" w:eastAsia="仿宋" w:cs="仿宋"/>
          <w:color w:val="auto"/>
          <w:sz w:val="28"/>
          <w:szCs w:val="28"/>
        </w:rPr>
        <w:t>10、投标人投标报价如低于成本价投标，需要投标人提供不少于10家出版社的购货合同和对应的发票清单。</w:t>
      </w:r>
      <w:bookmarkStart w:id="104" w:name="_Toc256000070"/>
    </w:p>
    <w:p>
      <w:pPr>
        <w:pStyle w:val="25"/>
        <w:spacing w:line="360" w:lineRule="auto"/>
        <w:outlineLvl w:val="2"/>
        <w:rPr>
          <w:rFonts w:ascii="仿宋" w:hAnsi="仿宋" w:eastAsia="仿宋" w:cs="仿宋"/>
          <w:b/>
          <w:bCs/>
          <w:color w:val="auto"/>
          <w:sz w:val="28"/>
          <w:szCs w:val="28"/>
        </w:rPr>
      </w:pPr>
      <w:r>
        <w:rPr>
          <w:rFonts w:hint="eastAsia" w:ascii="仿宋" w:hAnsi="仿宋" w:eastAsia="仿宋" w:cs="仿宋"/>
          <w:b/>
          <w:bCs/>
          <w:color w:val="auto"/>
          <w:sz w:val="28"/>
          <w:szCs w:val="28"/>
        </w:rPr>
        <w:t>样书目录</w:t>
      </w:r>
      <w:bookmarkEnd w:id="104"/>
    </w:p>
    <w:p>
      <w:pPr>
        <w:pStyle w:val="25"/>
        <w:widowControl/>
        <w:spacing w:line="360" w:lineRule="auto"/>
        <w:jc w:val="left"/>
        <w:textAlignment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注：1、此次“样书清单”是根据实际需要，精选出具有代表性的样书目录。</w:t>
      </w:r>
    </w:p>
    <w:p>
      <w:pPr>
        <w:pStyle w:val="25"/>
        <w:widowControl/>
        <w:spacing w:line="360" w:lineRule="auto"/>
        <w:jc w:val="left"/>
        <w:textAlignment w:val="center"/>
        <w:rPr>
          <w:rFonts w:ascii="仿宋" w:hAnsi="仿宋" w:eastAsia="仿宋" w:cs="仿宋"/>
          <w:b/>
          <w:bCs/>
          <w:color w:val="auto"/>
          <w:sz w:val="28"/>
          <w:szCs w:val="28"/>
        </w:rPr>
      </w:pPr>
      <w:r>
        <w:rPr>
          <w:rFonts w:hint="eastAsia" w:ascii="仿宋" w:hAnsi="仿宋" w:eastAsia="仿宋" w:cs="仿宋"/>
          <w:b/>
          <w:bCs/>
          <w:color w:val="auto"/>
          <w:kern w:val="0"/>
          <w:sz w:val="28"/>
          <w:szCs w:val="28"/>
        </w:rPr>
        <w:t>2、为方便招标人了解本次供货的图书质量及验证供货率，投标人开标前需按照《样书目录》的清单提供样书，每样各一册，不得提供《样书目录》清单以外的样书参加评标。每本样书与《样书目录》中的ISBN号、书名、出版社等信息全部相符，该样书才能被认定有效。</w:t>
      </w:r>
    </w:p>
    <w:p>
      <w:pPr>
        <w:tabs>
          <w:tab w:val="left" w:pos="851"/>
        </w:tabs>
        <w:spacing w:line="360" w:lineRule="auto"/>
        <w:outlineLvl w:val="2"/>
        <w:rPr>
          <w:rFonts w:ascii="仿宋" w:hAnsi="仿宋" w:eastAsia="仿宋" w:cs="仿宋"/>
          <w:b/>
          <w:bCs/>
          <w:color w:val="auto"/>
          <w:sz w:val="28"/>
          <w:szCs w:val="28"/>
        </w:rPr>
      </w:pPr>
    </w:p>
    <w:tbl>
      <w:tblPr>
        <w:tblStyle w:val="18"/>
        <w:tblW w:w="5000" w:type="pct"/>
        <w:tblInd w:w="-3" w:type="dxa"/>
        <w:tblLayout w:type="autofit"/>
        <w:tblCellMar>
          <w:top w:w="0" w:type="dxa"/>
          <w:left w:w="0" w:type="dxa"/>
          <w:bottom w:w="0" w:type="dxa"/>
          <w:right w:w="0" w:type="dxa"/>
        </w:tblCellMar>
      </w:tblPr>
      <w:tblGrid>
        <w:gridCol w:w="809"/>
        <w:gridCol w:w="2341"/>
        <w:gridCol w:w="3576"/>
        <w:gridCol w:w="2861"/>
      </w:tblGrid>
      <w:tr>
        <w:tblPrEx>
          <w:tblCellMar>
            <w:top w:w="0" w:type="dxa"/>
            <w:left w:w="0" w:type="dxa"/>
            <w:bottom w:w="0" w:type="dxa"/>
            <w:right w:w="0" w:type="dxa"/>
          </w:tblCellMar>
        </w:tblPrEx>
        <w:trPr>
          <w:trHeight w:val="798" w:hRule="atLeast"/>
        </w:trPr>
        <w:tc>
          <w:tcPr>
            <w:tcW w:w="5000" w:type="pct"/>
            <w:gridSpan w:val="4"/>
            <w:tcBorders>
              <w:top w:val="single" w:color="auto" w:sz="2" w:space="0"/>
              <w:left w:val="single" w:color="auto" w:sz="2" w:space="0"/>
              <w:bottom w:val="single" w:color="auto" w:sz="2" w:space="0"/>
              <w:right w:val="single" w:color="auto" w:sz="2" w:space="0"/>
            </w:tcBorders>
            <w:vAlign w:val="center"/>
          </w:tcPr>
          <w:p>
            <w:pPr>
              <w:pStyle w:val="26"/>
              <w:kinsoku w:val="0"/>
              <w:autoSpaceDE/>
              <w:autoSpaceDN/>
              <w:adjustRightInd/>
              <w:ind w:firstLine="440"/>
              <w:jc w:val="center"/>
              <w:rPr>
                <w:rStyle w:val="27"/>
                <w:rFonts w:ascii="仿宋" w:hAnsi="仿宋" w:eastAsia="仿宋" w:cs="仿宋"/>
                <w:color w:val="auto"/>
                <w:spacing w:val="-10"/>
                <w:sz w:val="28"/>
                <w:szCs w:val="28"/>
                <w:lang w:eastAsia="en-US"/>
              </w:rPr>
            </w:pPr>
            <w:r>
              <w:rPr>
                <w:rStyle w:val="27"/>
                <w:rFonts w:hint="eastAsia" w:ascii="仿宋" w:hAnsi="仿宋" w:eastAsia="仿宋" w:cs="仿宋"/>
                <w:color w:val="auto"/>
                <w:spacing w:val="-10"/>
                <w:sz w:val="28"/>
                <w:szCs w:val="28"/>
                <w:lang w:eastAsia="en-US"/>
              </w:rPr>
              <w:t>样书目录</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6"/>
              <w:kinsoku w:val="0"/>
              <w:autoSpaceDE/>
              <w:autoSpaceDN/>
              <w:adjustRightInd/>
              <w:jc w:val="center"/>
              <w:rPr>
                <w:rStyle w:val="27"/>
                <w:rFonts w:ascii="仿宋" w:hAnsi="仿宋" w:eastAsia="仿宋" w:cs="仿宋"/>
                <w:color w:val="auto"/>
                <w:sz w:val="28"/>
                <w:szCs w:val="28"/>
              </w:rPr>
            </w:pPr>
            <w:r>
              <w:rPr>
                <w:rStyle w:val="27"/>
                <w:rFonts w:hint="eastAsia" w:ascii="仿宋" w:hAnsi="仿宋" w:eastAsia="仿宋" w:cs="仿宋"/>
                <w:color w:val="auto"/>
                <w:sz w:val="28"/>
                <w:szCs w:val="28"/>
              </w:rPr>
              <w:t>序号</w:t>
            </w:r>
          </w:p>
        </w:tc>
        <w:tc>
          <w:tcPr>
            <w:tcW w:w="1221" w:type="pct"/>
            <w:tcBorders>
              <w:top w:val="single" w:color="auto" w:sz="2" w:space="0"/>
              <w:left w:val="single" w:color="auto" w:sz="2" w:space="0"/>
              <w:bottom w:val="single" w:color="auto" w:sz="2" w:space="0"/>
              <w:right w:val="single" w:color="auto" w:sz="2" w:space="0"/>
            </w:tcBorders>
            <w:vAlign w:val="center"/>
          </w:tcPr>
          <w:p>
            <w:pPr>
              <w:pStyle w:val="26"/>
              <w:kinsoku w:val="0"/>
              <w:autoSpaceDE/>
              <w:autoSpaceDN/>
              <w:adjustRightInd/>
              <w:jc w:val="center"/>
              <w:rPr>
                <w:rStyle w:val="27"/>
                <w:rFonts w:ascii="仿宋" w:hAnsi="仿宋" w:eastAsia="仿宋" w:cs="仿宋"/>
                <w:color w:val="auto"/>
                <w:sz w:val="28"/>
                <w:szCs w:val="28"/>
              </w:rPr>
            </w:pPr>
            <w:r>
              <w:rPr>
                <w:rStyle w:val="27"/>
                <w:rFonts w:hint="eastAsia" w:ascii="仿宋" w:hAnsi="仿宋" w:eastAsia="仿宋" w:cs="仿宋"/>
                <w:color w:val="auto"/>
                <w:sz w:val="28"/>
                <w:szCs w:val="28"/>
              </w:rPr>
              <w:t>书号</w:t>
            </w:r>
          </w:p>
        </w:tc>
        <w:tc>
          <w:tcPr>
            <w:tcW w:w="1865" w:type="pct"/>
            <w:tcBorders>
              <w:top w:val="single" w:color="auto" w:sz="2" w:space="0"/>
              <w:left w:val="single" w:color="auto" w:sz="2" w:space="0"/>
              <w:bottom w:val="single" w:color="auto" w:sz="2" w:space="0"/>
              <w:right w:val="single" w:color="auto" w:sz="2" w:space="0"/>
            </w:tcBorders>
            <w:vAlign w:val="center"/>
          </w:tcPr>
          <w:p>
            <w:pPr>
              <w:pStyle w:val="26"/>
              <w:kinsoku w:val="0"/>
              <w:autoSpaceDE/>
              <w:autoSpaceDN/>
              <w:adjustRightInd/>
              <w:jc w:val="center"/>
              <w:rPr>
                <w:rStyle w:val="27"/>
                <w:rFonts w:ascii="仿宋" w:hAnsi="仿宋" w:eastAsia="仿宋" w:cs="仿宋"/>
                <w:color w:val="auto"/>
                <w:sz w:val="28"/>
                <w:szCs w:val="28"/>
              </w:rPr>
            </w:pPr>
            <w:r>
              <w:rPr>
                <w:rStyle w:val="27"/>
                <w:rFonts w:hint="eastAsia" w:ascii="仿宋" w:hAnsi="仿宋" w:eastAsia="仿宋" w:cs="仿宋"/>
                <w:color w:val="auto"/>
                <w:sz w:val="28"/>
                <w:szCs w:val="28"/>
              </w:rPr>
              <w:t>书名</w:t>
            </w:r>
          </w:p>
        </w:tc>
        <w:tc>
          <w:tcPr>
            <w:tcW w:w="1492" w:type="pct"/>
            <w:tcBorders>
              <w:top w:val="single" w:color="auto" w:sz="2" w:space="0"/>
              <w:left w:val="single" w:color="auto" w:sz="2" w:space="0"/>
              <w:bottom w:val="single" w:color="auto" w:sz="2" w:space="0"/>
              <w:right w:val="single" w:color="auto" w:sz="2" w:space="0"/>
            </w:tcBorders>
            <w:vAlign w:val="center"/>
          </w:tcPr>
          <w:p>
            <w:pPr>
              <w:pStyle w:val="26"/>
              <w:kinsoku w:val="0"/>
              <w:autoSpaceDE/>
              <w:autoSpaceDN/>
              <w:adjustRightInd/>
              <w:jc w:val="center"/>
              <w:rPr>
                <w:rStyle w:val="27"/>
                <w:rFonts w:ascii="仿宋" w:hAnsi="仿宋" w:eastAsia="仿宋" w:cs="仿宋"/>
                <w:color w:val="auto"/>
                <w:sz w:val="28"/>
                <w:szCs w:val="28"/>
              </w:rPr>
            </w:pPr>
            <w:r>
              <w:rPr>
                <w:rStyle w:val="27"/>
                <w:rFonts w:hint="eastAsia" w:ascii="仿宋" w:hAnsi="仿宋" w:eastAsia="仿宋" w:cs="仿宋"/>
                <w:color w:val="auto"/>
                <w:sz w:val="28"/>
                <w:szCs w:val="28"/>
              </w:rPr>
              <w:t>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9787516659786</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人民标尺</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新华出版社</w:t>
            </w:r>
          </w:p>
        </w:tc>
      </w:tr>
      <w:tr>
        <w:tblPrEx>
          <w:tblCellMar>
            <w:top w:w="0" w:type="dxa"/>
            <w:left w:w="0" w:type="dxa"/>
            <w:bottom w:w="0" w:type="dxa"/>
            <w:right w:w="0" w:type="dxa"/>
          </w:tblCellMar>
        </w:tblPrEx>
        <w:trPr>
          <w:trHeight w:val="1003"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p>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9787509915172</w:t>
            </w:r>
          </w:p>
          <w:p>
            <w:pPr>
              <w:pStyle w:val="28"/>
              <w:kinsoku w:val="0"/>
              <w:autoSpaceDE/>
              <w:autoSpaceDN/>
              <w:spacing w:before="0"/>
              <w:ind w:left="0"/>
              <w:jc w:val="center"/>
              <w:rPr>
                <w:rFonts w:ascii="仿宋" w:hAnsi="仿宋" w:eastAsia="仿宋" w:cs="仿宋"/>
                <w:color w:val="auto"/>
                <w:sz w:val="28"/>
                <w:szCs w:val="28"/>
              </w:rPr>
            </w:pP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二十大党章修正案学习问答</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党建读物出版社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9787511574121</w:t>
            </w:r>
          </w:p>
          <w:p>
            <w:pPr>
              <w:pStyle w:val="28"/>
              <w:kinsoku w:val="0"/>
              <w:autoSpaceDE/>
              <w:autoSpaceDN/>
              <w:spacing w:before="0"/>
              <w:ind w:left="0"/>
              <w:jc w:val="center"/>
              <w:rPr>
                <w:rFonts w:ascii="仿宋" w:hAnsi="仿宋" w:eastAsia="仿宋" w:cs="仿宋"/>
                <w:color w:val="auto"/>
                <w:sz w:val="28"/>
                <w:szCs w:val="28"/>
              </w:rPr>
            </w:pP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both"/>
              <w:rPr>
                <w:rFonts w:ascii="仿宋" w:hAnsi="仿宋" w:eastAsia="仿宋" w:cs="仿宋"/>
                <w:color w:val="auto"/>
                <w:sz w:val="28"/>
                <w:szCs w:val="28"/>
              </w:rPr>
            </w:pPr>
            <w:r>
              <w:rPr>
                <w:rFonts w:hint="eastAsia" w:ascii="仿宋" w:hAnsi="仿宋" w:eastAsia="仿宋" w:cs="仿宋"/>
                <w:color w:val="auto"/>
                <w:sz w:val="28"/>
                <w:szCs w:val="28"/>
                <w:lang w:eastAsia="zh-CN"/>
              </w:rPr>
              <w:t>《人民日报》</w:t>
            </w:r>
            <w:r>
              <w:rPr>
                <w:rFonts w:hint="eastAsia" w:ascii="仿宋" w:hAnsi="仿宋" w:eastAsia="仿宋" w:cs="仿宋"/>
                <w:color w:val="auto"/>
                <w:sz w:val="28"/>
                <w:szCs w:val="28"/>
              </w:rPr>
              <w:t>金句（奋斗卷）</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《人民日报》</w:t>
            </w:r>
            <w:r>
              <w:rPr>
                <w:rFonts w:hint="eastAsia" w:ascii="仿宋" w:hAnsi="仿宋" w:eastAsia="仿宋" w:cs="仿宋"/>
                <w:color w:val="auto"/>
                <w:sz w:val="28"/>
                <w:szCs w:val="28"/>
              </w:rPr>
              <w:t>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9787010113135</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曾侯乙墓礼乐制度研究</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人民出版社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9787513711746</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书写新篇章</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中国和平出版社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9787506572439</w:t>
            </w: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中小学课本里的星火燎原</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解放军出版社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9787010247113</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中国共产党百年法治大事记</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人民出版社</w:t>
            </w:r>
          </w:p>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法律出版社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9787558194597</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firstLine="280" w:firstLineChars="100"/>
              <w:jc w:val="both"/>
              <w:rPr>
                <w:rFonts w:ascii="仿宋" w:hAnsi="仿宋" w:eastAsia="仿宋" w:cs="仿宋"/>
                <w:color w:val="auto"/>
                <w:sz w:val="28"/>
                <w:szCs w:val="28"/>
              </w:rPr>
            </w:pPr>
            <w:r>
              <w:rPr>
                <w:rFonts w:hint="eastAsia" w:ascii="仿宋" w:hAnsi="仿宋" w:eastAsia="仿宋" w:cs="仿宋"/>
                <w:color w:val="auto"/>
                <w:sz w:val="28"/>
                <w:szCs w:val="28"/>
              </w:rPr>
              <w:t>草原上的小木屋</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吉林出版集团股份有限公司</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9787521629873</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基层党务工作者实用指南</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中国法制出版社</w:t>
            </w:r>
          </w:p>
        </w:tc>
      </w:tr>
      <w:tr>
        <w:tblPrEx>
          <w:tblCellMar>
            <w:top w:w="0" w:type="dxa"/>
            <w:left w:w="0" w:type="dxa"/>
            <w:bottom w:w="0" w:type="dxa"/>
            <w:right w:w="0" w:type="dxa"/>
          </w:tblCellMar>
        </w:tblPrEx>
        <w:trPr>
          <w:trHeight w:val="798" w:hRule="atLeast"/>
        </w:trPr>
        <w:tc>
          <w:tcPr>
            <w:tcW w:w="42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1221"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9787514357479</w:t>
            </w:r>
          </w:p>
          <w:p>
            <w:pPr>
              <w:pStyle w:val="28"/>
              <w:kinsoku w:val="0"/>
              <w:autoSpaceDE/>
              <w:autoSpaceDN/>
              <w:spacing w:before="0"/>
              <w:ind w:left="0"/>
              <w:jc w:val="center"/>
              <w:rPr>
                <w:rFonts w:ascii="仿宋" w:hAnsi="仿宋" w:eastAsia="仿宋" w:cs="仿宋"/>
                <w:color w:val="auto"/>
                <w:sz w:val="28"/>
                <w:szCs w:val="28"/>
              </w:rPr>
            </w:pPr>
          </w:p>
        </w:tc>
        <w:tc>
          <w:tcPr>
            <w:tcW w:w="1865"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荔浦春秋</w:t>
            </w:r>
          </w:p>
        </w:tc>
        <w:tc>
          <w:tcPr>
            <w:tcW w:w="1492" w:type="pct"/>
            <w:tcBorders>
              <w:top w:val="single" w:color="auto" w:sz="2" w:space="0"/>
              <w:left w:val="single" w:color="auto" w:sz="2" w:space="0"/>
              <w:bottom w:val="single" w:color="auto" w:sz="2" w:space="0"/>
              <w:right w:val="single" w:color="auto" w:sz="2" w:space="0"/>
            </w:tcBorders>
            <w:vAlign w:val="center"/>
          </w:tcPr>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中国出版集团</w:t>
            </w:r>
          </w:p>
          <w:p>
            <w:pPr>
              <w:pStyle w:val="28"/>
              <w:kinsoku w:val="0"/>
              <w:autoSpaceDE/>
              <w:autoSpaceDN/>
              <w:spacing w:before="0"/>
              <w:ind w:left="0"/>
              <w:jc w:val="center"/>
              <w:rPr>
                <w:rFonts w:ascii="仿宋" w:hAnsi="仿宋" w:eastAsia="仿宋" w:cs="仿宋"/>
                <w:color w:val="auto"/>
                <w:sz w:val="28"/>
                <w:szCs w:val="28"/>
              </w:rPr>
            </w:pPr>
            <w:r>
              <w:rPr>
                <w:rFonts w:hint="eastAsia" w:ascii="仿宋" w:hAnsi="仿宋" w:eastAsia="仿宋" w:cs="仿宋"/>
                <w:color w:val="auto"/>
                <w:sz w:val="28"/>
                <w:szCs w:val="28"/>
              </w:rPr>
              <w:t>现代出版社</w:t>
            </w:r>
          </w:p>
        </w:tc>
      </w:tr>
    </w:tbl>
    <w:p>
      <w:pPr>
        <w:spacing w:line="360" w:lineRule="auto"/>
        <w:rPr>
          <w:rFonts w:ascii="仿宋" w:hAnsi="仿宋" w:eastAsia="仿宋" w:cs="仿宋"/>
          <w:color w:val="auto"/>
          <w:sz w:val="28"/>
          <w:szCs w:val="28"/>
        </w:rPr>
      </w:pPr>
    </w:p>
    <w:p>
      <w:pPr>
        <w:pStyle w:val="4"/>
        <w:snapToGrid w:val="0"/>
        <w:spacing w:line="560" w:lineRule="exact"/>
        <w:jc w:val="both"/>
        <w:rPr>
          <w:rFonts w:ascii="仿宋" w:hAnsi="仿宋" w:eastAsia="仿宋" w:cs="仿宋"/>
          <w:color w:val="auto"/>
          <w:sz w:val="28"/>
          <w:szCs w:val="28"/>
          <w:lang w:val="zh-CN"/>
        </w:rPr>
      </w:pPr>
    </w:p>
    <w:p>
      <w:pPr>
        <w:pStyle w:val="4"/>
        <w:snapToGrid w:val="0"/>
        <w:spacing w:line="560" w:lineRule="exact"/>
        <w:jc w:val="both"/>
        <w:rPr>
          <w:rFonts w:ascii="仿宋" w:hAnsi="仿宋" w:eastAsia="仿宋" w:cs="仿宋"/>
          <w:sz w:val="28"/>
          <w:szCs w:val="28"/>
          <w:lang w:val="zh-CN"/>
        </w:rPr>
      </w:pPr>
      <w:r>
        <w:rPr>
          <w:rFonts w:hint="eastAsia" w:ascii="仿宋" w:hAnsi="仿宋" w:eastAsia="仿宋" w:cs="仿宋"/>
          <w:sz w:val="28"/>
          <w:szCs w:val="28"/>
          <w:lang w:val="zh-CN"/>
        </w:rPr>
        <w:t>二包：</w:t>
      </w:r>
    </w:p>
    <w:p>
      <w:pPr>
        <w:spacing w:line="360" w:lineRule="auto"/>
        <w:outlineLvl w:val="0"/>
        <w:rPr>
          <w:rFonts w:ascii="仿宋" w:hAnsi="仿宋" w:eastAsia="仿宋" w:cs="仿宋"/>
          <w:b/>
          <w:sz w:val="28"/>
          <w:szCs w:val="28"/>
        </w:rPr>
      </w:pPr>
      <w:r>
        <w:rPr>
          <w:rFonts w:hint="eastAsia" w:ascii="仿宋" w:hAnsi="仿宋" w:eastAsia="仿宋" w:cs="仿宋"/>
          <w:b/>
          <w:sz w:val="28"/>
          <w:szCs w:val="28"/>
        </w:rPr>
        <w:t>一、建设清单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608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6086"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具体内容</w:t>
            </w:r>
          </w:p>
        </w:tc>
        <w:tc>
          <w:tcPr>
            <w:tcW w:w="1418"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xml:space="preserve">智慧图书管理系统 </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服务大厅高清大屏</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服务大厅瀑布流屏</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报告厅数字化建设</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智慧朗读空间（朗读亭）</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6</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智能书法体验平台</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电子书借阅机</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8</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移动图书馆平台</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9</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微信悦读小程序</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电子图书资源库</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11</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大众期刊资源库</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12</w:t>
            </w:r>
          </w:p>
        </w:tc>
        <w:tc>
          <w:tcPr>
            <w:tcW w:w="6086"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少儿绘本资源库</w:t>
            </w:r>
          </w:p>
        </w:tc>
        <w:tc>
          <w:tcPr>
            <w:tcW w:w="141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spacing w:line="360" w:lineRule="auto"/>
        <w:outlineLvl w:val="0"/>
        <w:rPr>
          <w:rFonts w:ascii="仿宋" w:hAnsi="仿宋" w:eastAsia="仿宋" w:cs="仿宋"/>
          <w:b/>
          <w:sz w:val="28"/>
          <w:szCs w:val="28"/>
        </w:rPr>
      </w:pPr>
      <w:r>
        <w:rPr>
          <w:rFonts w:hint="eastAsia" w:ascii="仿宋" w:hAnsi="仿宋" w:eastAsia="仿宋" w:cs="仿宋"/>
          <w:b/>
          <w:sz w:val="28"/>
          <w:szCs w:val="28"/>
        </w:rPr>
        <w:t>二、详细技术参数</w:t>
      </w: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2.1 智慧图书管理系统</w:t>
      </w:r>
    </w:p>
    <w:tbl>
      <w:tblPr>
        <w:tblStyle w:val="2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86"/>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586"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85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jc w:val="center"/>
              <w:rPr>
                <w:rFonts w:ascii="仿宋" w:hAnsi="仿宋" w:eastAsia="仿宋" w:cs="仿宋"/>
                <w:b/>
                <w:bCs/>
                <w:sz w:val="28"/>
                <w:szCs w:val="28"/>
              </w:rPr>
            </w:pPr>
            <w:r>
              <w:rPr>
                <w:rFonts w:hint="eastAsia" w:ascii="仿宋" w:hAnsi="仿宋" w:eastAsia="仿宋" w:cs="仿宋"/>
                <w:b/>
                <w:sz w:val="28"/>
                <w:szCs w:val="28"/>
              </w:rPr>
              <w:t>智慧图书馆图书服务及管理平台</w:t>
            </w:r>
          </w:p>
        </w:tc>
        <w:tc>
          <w:tcPr>
            <w:tcW w:w="586"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一、资源采访</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1.支持纸质资源、电子资源的总分馆统一订购。</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2.平台生成唯一的采购流水号，保证完整的、可追溯的采购流程</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3.支持多种订购方式，可通过书目单订购、直接订购、读者推荐订购、中央知识库订购、自采验收及PDA订购。</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4.实现快速订购，数据来源可通过z39和中央知识库获取，扫码直接订购，按规则自动生成经费及订购套数。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5.支持中央知识库书目数据订购。</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6.支持书商提供的标准MARC和Excel格式的数据文件导入，支持GBK、UNICODE、UTF-8编码格式marc，全面兼容小语种，并支持币种和汇率设置。</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7.资源覆盖量：900个以上的数据库，1400个以上的数据包，13万种以上的期刊</w:t>
            </w:r>
            <w:r>
              <w:rPr>
                <w:rFonts w:hint="eastAsia" w:ascii="仿宋" w:hAnsi="仿宋" w:eastAsia="仿宋" w:cs="仿宋"/>
                <w:sz w:val="28"/>
                <w:szCs w:val="28"/>
                <w:lang w:eastAsia="zh-CN"/>
              </w:rPr>
              <w:t>；</w:t>
            </w:r>
            <w:r>
              <w:rPr>
                <w:rFonts w:hint="eastAsia" w:ascii="仿宋" w:hAnsi="仿宋" w:eastAsia="仿宋" w:cs="仿宋"/>
                <w:sz w:val="28"/>
                <w:szCs w:val="28"/>
              </w:rPr>
              <w:t>支持查看篇级数据。</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二、资源管理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 总馆与分馆总共3个独立账号用户权级管理、独立模块、界面等，分馆可发布本级信息近期举办的活动，提交后总馆后台审核、发布，实现总分馆项目的真正对接。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2.纸质、电子、数字三种资源元数据进行总分馆统一管理，同时支持纸质、电子、数字多资源的馆藏管理。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3.平台拥有中央知识库做支撑，能够实现本馆元数据与中央知识库的挂接。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4.提供本地检索和联机检索（可单独本地检索或联机检索），支持多索引组检索。其中联机检索支持多题名、多主题词的检索，同时可通过Z39.50广播查询下载，包括国图、CALIS等多数据来源检索）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5.遵循多种国际国内编目标准，CNMARC、USMARC、DC、DCTERMS及规范MARC的元数据支持。</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6.支持图片、文档、音频、视频等多种数字资源管理，支持资源本地或远程存储（数字馆藏）、收割数字资源元数据（OAI-PM）。</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7.完善的馆藏信息，包括物理馆藏、验收记录附件的展示。</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8.支持挂接或手动添加新增电子资源库，以及电子资源库下的电子资源包并设置订购层级为全库、子库或其他。</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9.对已购数据库具有数据统计分析功能，包括统计数据库访问量、数据库资源重复率、数据库资源重复标引等统计数据。</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三、资源典藏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1.具备总馆和各个分馆新书分配、清点、调拨、剔旧、报废、单册处理等功能。</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2.按规则方式和条码方式分配，可批量修改年份、流通属性、分配馆等信息，可批量自动分配条码、分配馆藏地及送流通。</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3.上架的新书有荐购记录的，会优先通知荐购者。</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4.提供二次清点，显示在馆异常和非本馆书目。</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5.批量调拨，能够变更财产归属，可查看调拨日志。</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四、读者服务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1.实现总馆与分馆馆情地图方式展示，总馆与分馆的馆情介绍和具体位置，方便读者了解总馆和分馆历史和藏书量等。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2.总分馆信息展示共享，总馆发布的信息、动态、活动等，都能与各乡镇共享。</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3.根据不同的借阅规则和请求规则，对读者借阅、续借、超期、预约请求、物流服务等进行权限限制。</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4.统一的账号管理，同一用户可拥有多重身份，包括工作人员、读者。支持一卡通的接入。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5.提供读者借阅辅助证管理，包括本馆借阅证、辅助卡。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6.统一的行为和费用管理，可对超期、遗失等行为进行处理，可选择停借、罚款等组合处理方式。</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五、期刊管理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1.实现总分馆期刊征订数据的导入，规范价格和出版频率。</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2.预订池管理，不限定供应商和批次的情况下，提供限定条件单选及扩展条件复选，限定条件包含文献类型、预订时间，扩展条件含订购年、责任者、出版社、预订包号等</w:t>
            </w:r>
            <w:r>
              <w:rPr>
                <w:rFonts w:hint="eastAsia" w:ascii="仿宋" w:hAnsi="仿宋" w:eastAsia="仿宋" w:cs="仿宋"/>
                <w:sz w:val="28"/>
                <w:szCs w:val="28"/>
                <w:lang w:eastAsia="zh-CN"/>
              </w:rPr>
              <w:t>多</w:t>
            </w:r>
            <w:r>
              <w:rPr>
                <w:rFonts w:hint="eastAsia" w:ascii="仿宋" w:hAnsi="仿宋" w:eastAsia="仿宋" w:cs="仿宋"/>
                <w:sz w:val="28"/>
                <w:szCs w:val="28"/>
              </w:rPr>
              <w:t>类条件。并可根据订购状态（所有、未订、已订）进行筛选显示。预订记录的增删改查。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3.批查重，查重后有重复记录的显示重复情况，支持关联订购，提供关联订购标记，并自动继承往年的订购、签收和分配参数。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4.现刊条码分配，现刊直接入藏借阅。</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5.满足正常刊、不详刊、其他出版频率刊的签收。</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六、统一检索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1.为总分馆提供统一的检索界面，具备基本检索功能的同时，支持高级检索并可使用前方匹配功能，同时检索结果</w:t>
            </w:r>
            <w:r>
              <w:rPr>
                <w:rFonts w:hint="eastAsia" w:ascii="仿宋" w:hAnsi="仿宋" w:eastAsia="仿宋" w:cs="仿宋"/>
                <w:sz w:val="28"/>
                <w:szCs w:val="28"/>
                <w:lang w:eastAsia="zh-CN"/>
              </w:rPr>
              <w:t>也</w:t>
            </w:r>
            <w:r>
              <w:rPr>
                <w:rFonts w:hint="eastAsia" w:ascii="仿宋" w:hAnsi="仿宋" w:eastAsia="仿宋" w:cs="仿宋"/>
                <w:sz w:val="28"/>
                <w:szCs w:val="28"/>
              </w:rPr>
              <w:t>可二次检索。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2.为总分馆读者显示近一个月检索频次高的热门检索词。提供关键词检索，检索首页展示近X天内的热门资源库、最新资源库、热门借阅、新书上架等。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3.对图书、期刊、论文均提供评价、收藏、分享、引用功能，对检索条件提供订阅功能，即将检索条件进行记录保留。</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4.关键词检索所有整合的文献资源，包括并不限于本馆纸本资源、电子资源、数字资产等，将所有检索结果按资源的相关度显示出来。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同时支持纸质、电子、数字多资源的馆藏管理；提供纸质资源，电子资源，数字资源的整合检索，同一个元数据能同时展示元数据下对应的纸质馆藏和电子馆藏以及数字资源。纸本可直接查看详细信息，电子可链接到全文或者数据库。</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6.提供期刊导航，支持学科与字母聚类A-Z、0-9检索，支持核心索引筛选，必须包含SCI、SSCI、SCIE、ESI、CSCD等核心。</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七、分析决策</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具备总分馆综合分析功能：对总馆及分馆资源保障、生命周期、用户行为的统计分析进行整合，提供综合看板，包括资源馆藏综合看板和资源使用综合看板；提供总分馆读者综合分析，包括按照用户类型/单位/院系/文化程度/性别等分类方式对读者成分的分析，以及读者的增长情况；提供门户综合分析，统一检索的热门检索词统计；提供总分馆经费综合分析，各个资源的经费支出情况，资源下资料类型的采购比例。</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2.资源馆藏综合分析展示分馆数量、</w:t>
            </w:r>
            <w:r>
              <w:rPr>
                <w:rFonts w:hint="eastAsia" w:ascii="仿宋" w:hAnsi="仿宋" w:eastAsia="仿宋" w:cs="仿宋"/>
                <w:sz w:val="28"/>
                <w:szCs w:val="28"/>
                <w:lang w:eastAsia="zh-CN"/>
              </w:rPr>
              <w:t>馆藏的数量</w:t>
            </w:r>
            <w:r>
              <w:rPr>
                <w:rFonts w:hint="eastAsia" w:ascii="仿宋" w:hAnsi="仿宋" w:eastAsia="仿宋" w:cs="仿宋"/>
                <w:sz w:val="28"/>
                <w:szCs w:val="28"/>
              </w:rPr>
              <w:t>，纸质文献的种、册、价及电子资源库资源总量、独有资源量。按学科、馆藏分布，多维度统计种、册、价信息。</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3.资源使用统计，包含总分馆纸质馆藏借阅量、检索量、电子资源下载量、借阅趋势、借阅变化、热门借阅、热门资源库、热门检索词统计。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4.购逾期未到统计；电子资源包括订购及资源库采购涨幅统计。多维度统计分析经费的使用情况以提供经费预警；通过数形化的展示电子资源增长量。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5.提供总分馆系统运行日志。包括账目明细、注册业务结算单、借还行为日志、工作人员操作日志；按工作人员、工作台、业务类型进行工作量统计等。</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八、系统配置</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1.实现对总分馆系统通用参数、资源采访、资源管理、读者服务、系统管理、机构参数的后台配置。从机构到工作台到个人三层参数设置，保证了机构一致性和个人独立性。</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2.提供服务规则统一管理，每个馆都能设置服务规则及读者服务策略，对应的规则组合可以包括本馆和异馆的读者类型和馆藏地。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3.通过总分馆资料采购的设置，规范订购和接收的业务流程，可根据接收方式判断资料类型。</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4.资源管理参数类型包括种次号分组、MARC行列对照、数字编码格式等。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5.提供通告管理，及时发布通知便于馆员查看。</w:t>
            </w:r>
          </w:p>
        </w:tc>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2.2 服务大厅高清大屏</w:t>
      </w:r>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39"/>
        <w:gridCol w:w="606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名称</w:t>
            </w:r>
          </w:p>
        </w:tc>
        <w:tc>
          <w:tcPr>
            <w:tcW w:w="83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606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708"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服务大厅高清大屏</w:t>
            </w: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全彩LED显示屏</w:t>
            </w:r>
          </w:p>
        </w:tc>
        <w:tc>
          <w:tcPr>
            <w:tcW w:w="60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1.整屏尺寸：宽≥5.12米、高≥2.88米。像素间距≤2.5mm，点间距测试依据：SJ/T 11281-2017 发光二极管</w:t>
            </w:r>
            <w:r>
              <w:rPr>
                <w:rFonts w:hint="eastAsia" w:ascii="仿宋" w:hAnsi="仿宋" w:eastAsia="仿宋" w:cs="仿宋"/>
                <w:sz w:val="28"/>
                <w:szCs w:val="28"/>
                <w:lang w:eastAsia="zh-CN"/>
              </w:rPr>
              <w:t>（</w:t>
            </w:r>
            <w:r>
              <w:rPr>
                <w:rFonts w:hint="eastAsia" w:ascii="仿宋" w:hAnsi="仿宋" w:eastAsia="仿宋" w:cs="仿宋"/>
                <w:sz w:val="28"/>
                <w:szCs w:val="28"/>
              </w:rPr>
              <w:t>LED</w:t>
            </w:r>
            <w:r>
              <w:rPr>
                <w:rFonts w:hint="eastAsia" w:ascii="仿宋" w:hAnsi="仿宋" w:eastAsia="仿宋" w:cs="仿宋"/>
                <w:sz w:val="28"/>
                <w:szCs w:val="28"/>
                <w:lang w:eastAsia="zh-CN"/>
              </w:rPr>
              <w:t>）</w:t>
            </w:r>
            <w:r>
              <w:rPr>
                <w:rFonts w:hint="eastAsia" w:ascii="仿宋" w:hAnsi="仿宋" w:eastAsia="仿宋" w:cs="仿宋"/>
                <w:sz w:val="28"/>
                <w:szCs w:val="28"/>
              </w:rPr>
              <w:t>显示屏测试方法及SJ/T 11141-2017 LED显示屏通用规范；LED类型：SMD 1515黑灯，1R1G1B；像素密度≥ 160000点/m2，显示单元厚度≤60mm；</w:t>
            </w:r>
          </w:p>
          <w:p>
            <w:pPr>
              <w:rPr>
                <w:rFonts w:ascii="仿宋" w:hAnsi="仿宋" w:eastAsia="仿宋" w:cs="仿宋"/>
                <w:sz w:val="28"/>
                <w:szCs w:val="28"/>
              </w:rPr>
            </w:pPr>
            <w:r>
              <w:rPr>
                <w:rFonts w:hint="eastAsia" w:ascii="仿宋" w:hAnsi="仿宋" w:eastAsia="仿宋" w:cs="仿宋"/>
                <w:sz w:val="28"/>
                <w:szCs w:val="28"/>
              </w:rPr>
              <w:t>2.采用原厂整机出厂方式供货，提供原厂整机出厂承诺函。LED显示单元包括显示组件、电源板、接收板及后盖；电源板及接收板分别安装于显示组件的背面，后盖安装于显示组件的背面并罩设于电源板及接收板外；显示组件包括至少一个LED显示模组；当显示组件包括两个及两个以上LED显示模组时，相邻两个LED显示模组之间通过连接件固定连接；</w:t>
            </w:r>
          </w:p>
          <w:p>
            <w:pPr>
              <w:rPr>
                <w:rFonts w:ascii="仿宋" w:hAnsi="仿宋" w:eastAsia="仿宋" w:cs="仿宋"/>
                <w:sz w:val="28"/>
                <w:szCs w:val="28"/>
              </w:rPr>
            </w:pPr>
            <w:r>
              <w:rPr>
                <w:rFonts w:hint="eastAsia" w:ascii="仿宋" w:hAnsi="仿宋" w:eastAsia="仿宋" w:cs="仿宋"/>
                <w:sz w:val="28"/>
                <w:szCs w:val="28"/>
              </w:rPr>
              <w:t>3.所投LED品牌制造商须为真实制造商，不接受OEM厂家及非LED行业生产企业。LED显示屏厂商主营业务范围必须是“LED显示屏”或“电子显示设备”的生产研发销售，且LED显示屏厂商具有生产厂房；显示单元间隙（mm）≤0.05；显示单元平整度（mm）≤0.05；模组平整度（mm）≤0.05；模组间隙（mm）≤0.05；显示屏最高对比度≥10000:1；相对错位偏差（水平/垂直）≤1.0%；</w:t>
            </w:r>
          </w:p>
          <w:p>
            <w:pPr>
              <w:rPr>
                <w:rFonts w:ascii="仿宋" w:hAnsi="仿宋" w:eastAsia="仿宋" w:cs="仿宋"/>
                <w:sz w:val="28"/>
                <w:szCs w:val="28"/>
              </w:rPr>
            </w:pPr>
            <w:r>
              <w:rPr>
                <w:rFonts w:hint="eastAsia" w:ascii="仿宋" w:hAnsi="仿宋" w:eastAsia="仿宋" w:cs="仿宋"/>
                <w:sz w:val="28"/>
                <w:szCs w:val="28"/>
              </w:rPr>
              <w:t>4.模组支持双电压DC2.8V/DC3.8V或单电压DC4.2V~DC5V供电方式；免工具维护，同时有防呆设计，预防接错电源线短路而导致的烧毁模组行为；</w:t>
            </w:r>
          </w:p>
          <w:p>
            <w:pPr>
              <w:rPr>
                <w:rFonts w:ascii="仿宋" w:hAnsi="仿宋" w:eastAsia="仿宋" w:cs="仿宋"/>
                <w:sz w:val="28"/>
                <w:szCs w:val="28"/>
              </w:rPr>
            </w:pPr>
            <w:r>
              <w:rPr>
                <w:rFonts w:hint="eastAsia" w:ascii="仿宋" w:hAnsi="仿宋" w:eastAsia="仿宋" w:cs="仿宋"/>
                <w:sz w:val="28"/>
                <w:szCs w:val="28"/>
              </w:rPr>
              <w:t>5.色域/色准：≥120% NTSC/△E≤0.9；相对错位偏差（水平/垂直）≤1.0%；LED像素失控率≤1/1500000；</w:t>
            </w:r>
          </w:p>
          <w:p>
            <w:pPr>
              <w:rPr>
                <w:rFonts w:ascii="仿宋" w:hAnsi="仿宋" w:eastAsia="仿宋" w:cs="仿宋"/>
                <w:sz w:val="28"/>
                <w:szCs w:val="28"/>
              </w:rPr>
            </w:pPr>
            <w:r>
              <w:rPr>
                <w:rFonts w:hint="eastAsia" w:ascii="仿宋" w:hAnsi="仿宋" w:eastAsia="仿宋" w:cs="仿宋"/>
                <w:sz w:val="28"/>
                <w:szCs w:val="28"/>
              </w:rPr>
              <w:t>6.亮度≥500nit（0-100%无级可调）；亮度均匀性≥989%</w:t>
            </w:r>
            <w:r>
              <w:rPr>
                <w:rFonts w:hint="eastAsia" w:ascii="仿宋" w:hAnsi="仿宋" w:eastAsia="仿宋" w:cs="仿宋"/>
                <w:sz w:val="28"/>
                <w:szCs w:val="28"/>
                <w:lang w:eastAsia="zh-CN"/>
              </w:rPr>
              <w:t>，</w:t>
            </w:r>
            <w:r>
              <w:rPr>
                <w:rFonts w:hint="eastAsia" w:ascii="仿宋" w:hAnsi="仿宋" w:eastAsia="仿宋" w:cs="仿宋"/>
                <w:sz w:val="28"/>
                <w:szCs w:val="28"/>
              </w:rPr>
              <w:t>色度均匀性：±0.001Cx,Cy之内；</w:t>
            </w:r>
          </w:p>
          <w:p>
            <w:pPr>
              <w:rPr>
                <w:rFonts w:ascii="仿宋" w:hAnsi="仿宋" w:eastAsia="仿宋" w:cs="仿宋"/>
                <w:sz w:val="28"/>
                <w:szCs w:val="28"/>
              </w:rPr>
            </w:pPr>
            <w:r>
              <w:rPr>
                <w:rFonts w:hint="eastAsia" w:ascii="仿宋" w:hAnsi="仿宋" w:eastAsia="仿宋" w:cs="仿宋"/>
                <w:sz w:val="28"/>
                <w:szCs w:val="28"/>
              </w:rPr>
              <w:t>7.采用EPWM灰阶控制技术提升低灰视觉效果，100%亮度时，16bit灰度；70%亮度，16bit灰度；50%亮度，16bit灰度；20%亮度，14bit灰度，显示画面无单列或单行像素失控现象；支持0-100%亮度时，8-16bits灰度自定义设置；标准6500K，1000</w:t>
            </w:r>
            <w:r>
              <w:rPr>
                <w:rFonts w:hint="eastAsia" w:ascii="仿宋" w:hAnsi="仿宋" w:eastAsia="仿宋" w:cs="仿宋"/>
                <w:sz w:val="28"/>
                <w:szCs w:val="28"/>
                <w:lang w:eastAsia="zh-CN"/>
              </w:rPr>
              <w:t>—</w:t>
            </w:r>
            <w:r>
              <w:rPr>
                <w:rFonts w:hint="eastAsia" w:ascii="仿宋" w:hAnsi="仿宋" w:eastAsia="仿宋" w:cs="仿宋"/>
                <w:sz w:val="28"/>
                <w:szCs w:val="28"/>
              </w:rPr>
              <w:t>13000K 连续可调，调节步长100K，可自定义色温值，色温误差色</w:t>
            </w:r>
            <w:r>
              <w:rPr>
                <w:rFonts w:hint="eastAsia" w:ascii="仿宋" w:hAnsi="仿宋" w:eastAsia="仿宋" w:cs="仿宋"/>
                <w:sz w:val="28"/>
                <w:szCs w:val="28"/>
                <w:lang w:eastAsia="zh-CN"/>
              </w:rPr>
              <w:t>：</w:t>
            </w:r>
            <w:r>
              <w:rPr>
                <w:rFonts w:hint="eastAsia" w:ascii="仿宋" w:hAnsi="仿宋" w:eastAsia="仿宋" w:cs="仿宋"/>
                <w:sz w:val="28"/>
                <w:szCs w:val="28"/>
              </w:rPr>
              <w:t>温为6500K时；100%,75%,50%,25%四档电平白场调节色温误差≤100K；</w:t>
            </w:r>
          </w:p>
          <w:p>
            <w:pPr>
              <w:rPr>
                <w:rFonts w:ascii="仿宋" w:hAnsi="仿宋" w:eastAsia="仿宋" w:cs="仿宋"/>
                <w:sz w:val="28"/>
                <w:szCs w:val="28"/>
              </w:rPr>
            </w:pPr>
            <w:r>
              <w:rPr>
                <w:rFonts w:hint="eastAsia" w:ascii="仿宋" w:hAnsi="仿宋" w:eastAsia="仿宋" w:cs="仿宋"/>
                <w:sz w:val="28"/>
                <w:szCs w:val="28"/>
              </w:rPr>
              <w:t>8.刷新频率≥3840HZ，换帧频率：50Hz&amp;60Hz；水平视角≥165°；垂直视角≥165°；</w:t>
            </w:r>
          </w:p>
          <w:p>
            <w:pPr>
              <w:rPr>
                <w:rFonts w:ascii="仿宋" w:hAnsi="仿宋" w:eastAsia="仿宋" w:cs="仿宋"/>
                <w:sz w:val="28"/>
                <w:szCs w:val="28"/>
              </w:rPr>
            </w:pPr>
            <w:r>
              <w:rPr>
                <w:rFonts w:hint="eastAsia" w:ascii="仿宋" w:hAnsi="仿宋" w:eastAsia="仿宋" w:cs="仿宋"/>
                <w:sz w:val="28"/>
                <w:szCs w:val="28"/>
              </w:rPr>
              <w:t>9.基色主波长误差C级△λD≤5，亮度误差值在3%，灯芯的波长误差值在±1nm之内；</w:t>
            </w:r>
          </w:p>
          <w:p>
            <w:pPr>
              <w:rPr>
                <w:rFonts w:ascii="仿宋" w:hAnsi="仿宋" w:eastAsia="仿宋" w:cs="仿宋"/>
                <w:sz w:val="28"/>
                <w:szCs w:val="28"/>
              </w:rPr>
            </w:pPr>
            <w:r>
              <w:rPr>
                <w:rFonts w:hint="eastAsia" w:ascii="仿宋" w:hAnsi="仿宋" w:eastAsia="仿宋" w:cs="仿宋"/>
                <w:sz w:val="28"/>
                <w:szCs w:val="28"/>
              </w:rPr>
              <w:t>10.白场色坐标符合SJ/T 11141-2017 5.10.5规定范围，亮度鉴别C级 Bj≥20；</w:t>
            </w:r>
          </w:p>
          <w:p>
            <w:pPr>
              <w:rPr>
                <w:rFonts w:ascii="仿宋" w:hAnsi="仿宋" w:eastAsia="仿宋" w:cs="仿宋"/>
                <w:sz w:val="28"/>
                <w:szCs w:val="28"/>
              </w:rPr>
            </w:pPr>
            <w:r>
              <w:rPr>
                <w:rFonts w:hint="eastAsia" w:ascii="仿宋" w:hAnsi="仿宋" w:eastAsia="仿宋" w:cs="仿宋"/>
                <w:sz w:val="28"/>
                <w:szCs w:val="28"/>
              </w:rPr>
              <w:t>11.人眼视觉健康舒适度VICO指数达到1级；LED显示屏图像主观质量评价等级为优，评分为5分；支持摩尔纹抑制功能，减轻摩尔纹视觉主观效果80%；</w:t>
            </w:r>
          </w:p>
          <w:p>
            <w:pPr>
              <w:rPr>
                <w:rFonts w:ascii="仿宋" w:hAnsi="仿宋" w:eastAsia="仿宋" w:cs="仿宋"/>
                <w:sz w:val="28"/>
                <w:szCs w:val="28"/>
              </w:rPr>
            </w:pPr>
            <w:r>
              <w:rPr>
                <w:rFonts w:hint="eastAsia" w:ascii="仿宋" w:hAnsi="仿宋" w:eastAsia="仿宋" w:cs="仿宋"/>
                <w:sz w:val="28"/>
                <w:szCs w:val="28"/>
              </w:rPr>
              <w:t>12.峰值功耗≤325W/㎡，平均功耗≤108W/㎡，单箱功率≤49W，显示屏黑屏不点亮时功耗≤42W/㎡；</w:t>
            </w:r>
          </w:p>
          <w:p>
            <w:pPr>
              <w:rPr>
                <w:rFonts w:ascii="仿宋" w:hAnsi="仿宋" w:eastAsia="仿宋" w:cs="仿宋"/>
                <w:sz w:val="28"/>
                <w:szCs w:val="28"/>
              </w:rPr>
            </w:pPr>
            <w:r>
              <w:rPr>
                <w:rFonts w:hint="eastAsia" w:ascii="仿宋" w:hAnsi="仿宋" w:eastAsia="仿宋" w:cs="仿宋"/>
                <w:sz w:val="28"/>
                <w:szCs w:val="28"/>
              </w:rPr>
              <w:t>13.支持软硬件调节亮暗线功能：暗线修复、隐亮消除。支持鬼影消除、拖尾消除、低灰偏色补偿、去除坏点、毛毛虫消除、余辉消除、亮度缓慢变亮功能；支持屏体拼缝亮线、暗线校正；</w:t>
            </w:r>
          </w:p>
          <w:p>
            <w:pPr>
              <w:rPr>
                <w:rFonts w:ascii="仿宋" w:hAnsi="仿宋" w:eastAsia="仿宋" w:cs="仿宋"/>
                <w:sz w:val="28"/>
                <w:szCs w:val="28"/>
              </w:rPr>
            </w:pPr>
            <w:r>
              <w:rPr>
                <w:rFonts w:hint="eastAsia" w:ascii="仿宋" w:hAnsi="仿宋" w:eastAsia="仿宋" w:cs="仿宋"/>
                <w:sz w:val="28"/>
                <w:szCs w:val="28"/>
              </w:rPr>
              <w:t>14.支持LED显示屏系统级联板卡自适应功能；具有单点、模块级亮度、色度校正功能，校正后亮度损失＜10%；通过调整流入每个LED的电流控制像素亮度，从而实现整屏一致的亮度；</w:t>
            </w:r>
          </w:p>
          <w:p>
            <w:pPr>
              <w:rPr>
                <w:rFonts w:ascii="仿宋" w:hAnsi="仿宋" w:eastAsia="仿宋" w:cs="仿宋"/>
                <w:sz w:val="28"/>
                <w:szCs w:val="28"/>
              </w:rPr>
            </w:pPr>
            <w:r>
              <w:rPr>
                <w:rFonts w:hint="eastAsia" w:ascii="仿宋" w:hAnsi="仿宋" w:eastAsia="仿宋" w:cs="仿宋"/>
                <w:sz w:val="28"/>
                <w:szCs w:val="28"/>
              </w:rPr>
              <w:t>15.可实时监控显示屏工作状态、温度，具有过温或故障报警功能，发生故障立即发消息到指定邮箱，及时处理；具有工作电压、接收卡、发送</w:t>
            </w:r>
            <w:r>
              <w:rPr>
                <w:rFonts w:hint="eastAsia" w:ascii="仿宋" w:hAnsi="仿宋" w:eastAsia="仿宋" w:cs="仿宋"/>
                <w:sz w:val="28"/>
                <w:szCs w:val="28"/>
                <w:lang w:eastAsia="zh-CN"/>
              </w:rPr>
              <w:t>非工作状态</w:t>
            </w:r>
            <w:r>
              <w:rPr>
                <w:rFonts w:hint="eastAsia" w:ascii="仿宋" w:hAnsi="仿宋" w:eastAsia="仿宋" w:cs="仿宋"/>
                <w:sz w:val="28"/>
                <w:szCs w:val="28"/>
              </w:rPr>
              <w:t>监控功能；</w:t>
            </w:r>
          </w:p>
          <w:p>
            <w:pPr>
              <w:rPr>
                <w:rFonts w:ascii="仿宋" w:hAnsi="仿宋" w:eastAsia="仿宋" w:cs="仿宋"/>
                <w:sz w:val="28"/>
                <w:szCs w:val="28"/>
              </w:rPr>
            </w:pPr>
            <w:r>
              <w:rPr>
                <w:rFonts w:hint="eastAsia" w:ascii="仿宋" w:hAnsi="仿宋" w:eastAsia="仿宋" w:cs="仿宋"/>
                <w:sz w:val="28"/>
                <w:szCs w:val="28"/>
              </w:rPr>
              <w:t>16.具有多点测温系统，均衡散热，防止局部温度过高造成色彩漂移，并提高显示屏寿命；分布式供电，具有电源过压、过流、断电保护以及温度控制系统，提供电源实时温度监控，超出设定温度自动报警，防止过温失效；</w:t>
            </w:r>
          </w:p>
          <w:p>
            <w:pPr>
              <w:rPr>
                <w:rFonts w:ascii="仿宋" w:hAnsi="仿宋" w:eastAsia="仿宋" w:cs="仿宋"/>
                <w:sz w:val="28"/>
                <w:szCs w:val="28"/>
              </w:rPr>
            </w:pPr>
            <w:r>
              <w:rPr>
                <w:rFonts w:hint="eastAsia" w:ascii="仿宋" w:hAnsi="仿宋" w:eastAsia="仿宋" w:cs="仿宋"/>
                <w:sz w:val="28"/>
                <w:szCs w:val="28"/>
              </w:rPr>
              <w:t>17.具有视频降噪、运动补偿、色彩变换等图像处理功能；具有亮度、对比度、色度调节、视觉修正等图像调整功能；LED图像无失真现象；LED图像显示画面无重影和拖影现象，无几何失真和非线性失真；</w:t>
            </w:r>
          </w:p>
          <w:p>
            <w:pPr>
              <w:rPr>
                <w:rFonts w:ascii="仿宋" w:hAnsi="仿宋" w:eastAsia="仿宋" w:cs="仿宋"/>
                <w:sz w:val="28"/>
                <w:szCs w:val="28"/>
              </w:rPr>
            </w:pPr>
            <w:r>
              <w:rPr>
                <w:rFonts w:hint="eastAsia" w:ascii="仿宋" w:hAnsi="仿宋" w:eastAsia="仿宋" w:cs="仿宋"/>
                <w:sz w:val="28"/>
                <w:szCs w:val="28"/>
              </w:rPr>
              <w:t>18.支持任意非标准分辨率信号输入自适应，输出范围内进行缩放，实现最佳分辨率自动匹配，避免屏幕比例和黑边问题的复杂调试；</w:t>
            </w:r>
          </w:p>
          <w:p>
            <w:pPr>
              <w:rPr>
                <w:rFonts w:ascii="仿宋" w:hAnsi="仿宋" w:eastAsia="仿宋" w:cs="仿宋"/>
                <w:sz w:val="28"/>
                <w:szCs w:val="28"/>
              </w:rPr>
            </w:pPr>
            <w:r>
              <w:rPr>
                <w:rFonts w:hint="eastAsia" w:ascii="仿宋" w:hAnsi="仿宋" w:eastAsia="仿宋" w:cs="仿宋"/>
                <w:sz w:val="28"/>
                <w:szCs w:val="28"/>
              </w:rPr>
              <w:t>19.支持LED显示屏OSD及校正智能显示驱动软件V1.0；支持多bin色度校正，校正数据存储在模组里，采用色彩管理系统，在LED控制系统对视频解码后，添加二次过滤显示算法，对显示屏每一个发光二极管进行逐点14位颜色校正；</w:t>
            </w:r>
          </w:p>
          <w:p>
            <w:pPr>
              <w:rPr>
                <w:rFonts w:ascii="仿宋" w:hAnsi="仿宋" w:eastAsia="仿宋" w:cs="仿宋"/>
                <w:sz w:val="28"/>
                <w:szCs w:val="28"/>
              </w:rPr>
            </w:pPr>
            <w:r>
              <w:rPr>
                <w:rFonts w:hint="eastAsia" w:ascii="仿宋" w:hAnsi="仿宋" w:eastAsia="仿宋" w:cs="仿宋"/>
                <w:sz w:val="28"/>
                <w:szCs w:val="28"/>
              </w:rPr>
              <w:t>20.支持无信号输入自动熄屏待机，有信号输入自动唤醒功能；</w:t>
            </w:r>
          </w:p>
          <w:p>
            <w:pPr>
              <w:rPr>
                <w:rFonts w:ascii="仿宋" w:hAnsi="仿宋" w:eastAsia="仿宋" w:cs="仿宋"/>
                <w:sz w:val="28"/>
                <w:szCs w:val="28"/>
              </w:rPr>
            </w:pPr>
            <w:r>
              <w:rPr>
                <w:rFonts w:hint="eastAsia" w:ascii="仿宋" w:hAnsi="仿宋" w:eastAsia="仿宋" w:cs="仿宋"/>
                <w:sz w:val="28"/>
                <w:szCs w:val="28"/>
              </w:rPr>
              <w:t>21.支持UI菜单显示，可调节屏幕参数、亮度、色温，信号、场景切换，开关机控制等，支持在屏幕上显示主要变化信息。支持掌控宝IOS/Android客户端软件控制；</w:t>
            </w:r>
          </w:p>
          <w:p>
            <w:pPr>
              <w:rPr>
                <w:rFonts w:ascii="仿宋" w:hAnsi="仿宋" w:eastAsia="仿宋" w:cs="仿宋"/>
                <w:sz w:val="28"/>
                <w:szCs w:val="28"/>
              </w:rPr>
            </w:pPr>
            <w:r>
              <w:rPr>
                <w:rFonts w:hint="eastAsia" w:ascii="仿宋" w:hAnsi="仿宋" w:eastAsia="仿宋" w:cs="仿宋"/>
                <w:sz w:val="28"/>
                <w:szCs w:val="28"/>
              </w:rPr>
              <w:t>21.带有智能（黑屏）节电功能，开启智能节电功能比没有开启节能50%以上，能源效率值≥3cd/W，睡眠模式功率密度值≤125W/m2；</w:t>
            </w:r>
          </w:p>
          <w:p>
            <w:pPr>
              <w:rPr>
                <w:rFonts w:ascii="仿宋" w:hAnsi="仿宋" w:eastAsia="仿宋" w:cs="仿宋"/>
                <w:sz w:val="28"/>
                <w:szCs w:val="28"/>
              </w:rPr>
            </w:pPr>
            <w:r>
              <w:rPr>
                <w:rFonts w:hint="eastAsia" w:ascii="仿宋" w:hAnsi="仿宋" w:eastAsia="仿宋" w:cs="仿宋"/>
                <w:sz w:val="28"/>
                <w:szCs w:val="28"/>
              </w:rPr>
              <w:t>22.LED显示屏确保</w:t>
            </w:r>
            <w:r>
              <w:rPr>
                <w:rFonts w:hint="eastAsia" w:ascii="仿宋" w:hAnsi="仿宋" w:eastAsia="仿宋" w:cs="仿宋"/>
                <w:sz w:val="28"/>
                <w:szCs w:val="28"/>
                <w:lang w:eastAsia="zh-CN"/>
              </w:rPr>
              <w:t>协议通信</w:t>
            </w:r>
            <w:r>
              <w:rPr>
                <w:rFonts w:hint="eastAsia" w:ascii="仿宋" w:hAnsi="仿宋" w:eastAsia="仿宋" w:cs="仿宋"/>
                <w:sz w:val="28"/>
                <w:szCs w:val="28"/>
              </w:rPr>
              <w:t>及系统运行稳定性，屏体控制器与屏体之间有信号加密传输功能；防电力远程窃密，采用信息相关方式阻止电力通信，采用电子对抗原理，防止电磁3传导辐射泄露有用信息，防止劫持相关控制设备；</w:t>
            </w:r>
          </w:p>
          <w:p>
            <w:pPr>
              <w:rPr>
                <w:rFonts w:ascii="仿宋" w:hAnsi="仿宋" w:eastAsia="仿宋" w:cs="仿宋"/>
                <w:sz w:val="28"/>
                <w:szCs w:val="28"/>
              </w:rPr>
            </w:pPr>
            <w:r>
              <w:rPr>
                <w:rFonts w:hint="eastAsia" w:ascii="仿宋" w:hAnsi="仿宋" w:eastAsia="仿宋" w:cs="仿宋"/>
                <w:sz w:val="28"/>
                <w:szCs w:val="28"/>
              </w:rPr>
              <w:t>23.具备一键除湿功能，屏体长时间没有使用，屏体自动切入除湿模式，有效防止湿气进入灯珠内部导致短路；</w:t>
            </w:r>
          </w:p>
          <w:p>
            <w:pPr>
              <w:rPr>
                <w:rFonts w:ascii="仿宋" w:hAnsi="仿宋" w:eastAsia="仿宋" w:cs="仿宋"/>
                <w:sz w:val="28"/>
                <w:szCs w:val="28"/>
              </w:rPr>
            </w:pPr>
            <w:r>
              <w:rPr>
                <w:rFonts w:hint="eastAsia" w:ascii="仿宋" w:hAnsi="仿宋" w:eastAsia="仿宋" w:cs="仿宋"/>
                <w:sz w:val="28"/>
                <w:szCs w:val="28"/>
              </w:rPr>
              <w:t>24.LED显示屏拼装结构采用环保型铝型材框架安装</w:t>
            </w:r>
            <w:r>
              <w:rPr>
                <w:rFonts w:hint="eastAsia" w:ascii="仿宋" w:hAnsi="仿宋" w:eastAsia="仿宋" w:cs="仿宋"/>
                <w:sz w:val="28"/>
                <w:szCs w:val="28"/>
                <w:lang w:eastAsia="zh-CN"/>
              </w:rPr>
              <w:t>，</w:t>
            </w:r>
            <w:r>
              <w:rPr>
                <w:rFonts w:hint="eastAsia" w:ascii="仿宋" w:hAnsi="仿宋" w:eastAsia="仿宋" w:cs="仿宋"/>
                <w:sz w:val="28"/>
                <w:szCs w:val="28"/>
              </w:rPr>
              <w:t>其框架材料经过严格环保、无毒测试</w:t>
            </w:r>
            <w:r>
              <w:rPr>
                <w:rFonts w:hint="eastAsia" w:ascii="仿宋" w:hAnsi="仿宋" w:eastAsia="仿宋" w:cs="仿宋"/>
                <w:sz w:val="28"/>
                <w:szCs w:val="28"/>
                <w:lang w:eastAsia="zh-CN"/>
              </w:rPr>
              <w:t>，</w:t>
            </w:r>
            <w:r>
              <w:rPr>
                <w:rFonts w:hint="eastAsia" w:ascii="仿宋" w:hAnsi="仿宋" w:eastAsia="仿宋" w:cs="仿宋"/>
                <w:sz w:val="28"/>
                <w:szCs w:val="28"/>
              </w:rPr>
              <w:t>符合国家《GB/T26572-2011》标准限量；</w:t>
            </w:r>
          </w:p>
          <w:p>
            <w:pPr>
              <w:rPr>
                <w:rFonts w:ascii="仿宋" w:hAnsi="仿宋" w:eastAsia="仿宋" w:cs="仿宋"/>
                <w:sz w:val="28"/>
                <w:szCs w:val="28"/>
              </w:rPr>
            </w:pPr>
            <w:r>
              <w:rPr>
                <w:rFonts w:hint="eastAsia" w:ascii="仿宋" w:hAnsi="仿宋" w:eastAsia="仿宋" w:cs="仿宋"/>
                <w:sz w:val="28"/>
                <w:szCs w:val="28"/>
              </w:rPr>
              <w:t>25.产品满足BS476-7表面燃烧测试1级标准；焊盘采用OSP工艺处理，充分保证单模块安装的稳定性和抗氧化性，板材采用玻璃化温度能达到覆铜板≥1500C，PCB满足V-0阻燃等级要求；</w:t>
            </w:r>
          </w:p>
          <w:p>
            <w:pPr>
              <w:rPr>
                <w:rFonts w:ascii="仿宋" w:hAnsi="仿宋" w:eastAsia="仿宋" w:cs="仿宋"/>
                <w:sz w:val="28"/>
                <w:szCs w:val="28"/>
              </w:rPr>
            </w:pPr>
            <w:r>
              <w:rPr>
                <w:rFonts w:hint="eastAsia" w:ascii="仿宋" w:hAnsi="仿宋" w:eastAsia="仿宋" w:cs="仿宋"/>
                <w:sz w:val="28"/>
                <w:szCs w:val="28"/>
              </w:rPr>
              <w:t>26.燃烧烟气毒性指数满足BS6853测试R值≤1；抗震等级满足8级要求；蓝光危害辐亮度≤5.7W/m2/sr；</w:t>
            </w:r>
          </w:p>
          <w:p>
            <w:pPr>
              <w:rPr>
                <w:rFonts w:ascii="仿宋" w:hAnsi="仿宋" w:eastAsia="仿宋" w:cs="仿宋"/>
                <w:sz w:val="28"/>
                <w:szCs w:val="28"/>
              </w:rPr>
            </w:pPr>
            <w:r>
              <w:rPr>
                <w:rFonts w:hint="eastAsia" w:ascii="仿宋" w:hAnsi="仿宋" w:eastAsia="仿宋" w:cs="仿宋"/>
                <w:sz w:val="28"/>
                <w:szCs w:val="28"/>
              </w:rPr>
              <w:t>27.按正常工作状态放入恒定湿热试验箱中，然后将试验箱内温度保持25℃、湿度调节至恒定90%环境中通电工作8h，每小时进行一次检查，并完成4次开关机检测，试验中、试验后样品外观结构和箱体各应用功能应正常；</w:t>
            </w:r>
          </w:p>
          <w:p>
            <w:pPr>
              <w:rPr>
                <w:rFonts w:ascii="仿宋" w:hAnsi="仿宋" w:eastAsia="仿宋" w:cs="仿宋"/>
                <w:sz w:val="28"/>
                <w:szCs w:val="28"/>
              </w:rPr>
            </w:pPr>
            <w:r>
              <w:rPr>
                <w:rFonts w:hint="eastAsia" w:ascii="仿宋" w:hAnsi="仿宋" w:eastAsia="仿宋" w:cs="仿宋"/>
                <w:sz w:val="28"/>
                <w:szCs w:val="28"/>
              </w:rPr>
              <w:t>28.产品防尘满足IP4X等级要求，防冲击满足IK10等级要求；</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LED发送盒</w:t>
            </w:r>
          </w:p>
        </w:tc>
        <w:tc>
          <w:tcPr>
            <w:tcW w:w="6061"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230W像素点，大外置盒，四路千兆网口输出  输入信号HDMI/DVI；</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视频处理器</w:t>
            </w:r>
          </w:p>
        </w:tc>
        <w:tc>
          <w:tcPr>
            <w:tcW w:w="6061"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视频处理器，不含发送卡，5路信号源输入</w:t>
            </w:r>
            <w:r>
              <w:rPr>
                <w:rFonts w:hint="eastAsia" w:ascii="仿宋" w:hAnsi="仿宋" w:eastAsia="仿宋" w:cs="仿宋"/>
                <w:sz w:val="28"/>
                <w:szCs w:val="28"/>
                <w:lang w:eastAsia="zh-CN"/>
              </w:rPr>
              <w:t>(</w:t>
            </w:r>
            <w:r>
              <w:rPr>
                <w:rFonts w:hint="eastAsia" w:ascii="仿宋" w:hAnsi="仿宋" w:eastAsia="仿宋" w:cs="仿宋"/>
                <w:sz w:val="28"/>
                <w:szCs w:val="28"/>
              </w:rPr>
              <w:t>DVI HDMI CVBS VGA)，2路DVI输出，带载260万，2画面；</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LED播放软件</w:t>
            </w:r>
          </w:p>
        </w:tc>
        <w:tc>
          <w:tcPr>
            <w:tcW w:w="60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1.支持多种视频格式、图片、动画、Office文件、文字、时钟、走马灯、天气、计时、温湿度、流媒体、网页、采集卡、摄像头、Rss简讯；</w:t>
            </w:r>
          </w:p>
          <w:p>
            <w:pPr>
              <w:rPr>
                <w:rFonts w:ascii="仿宋" w:hAnsi="仿宋" w:eastAsia="仿宋" w:cs="仿宋"/>
                <w:sz w:val="28"/>
                <w:szCs w:val="28"/>
              </w:rPr>
            </w:pPr>
            <w:r>
              <w:rPr>
                <w:rFonts w:hint="eastAsia" w:ascii="仿宋" w:hAnsi="仿宋" w:eastAsia="仿宋" w:cs="仿宋"/>
                <w:sz w:val="28"/>
                <w:szCs w:val="28"/>
              </w:rPr>
              <w:t>2.丰富的媒体属性：包括透明、背景颜色、背景图片、透明度、音量、显示比例、出入场特效、特效速度、文字颜色、炫彩效果、字体、风格等；</w:t>
            </w:r>
          </w:p>
          <w:p>
            <w:pPr>
              <w:rPr>
                <w:rFonts w:ascii="仿宋" w:hAnsi="仿宋" w:eastAsia="仿宋" w:cs="仿宋"/>
                <w:sz w:val="28"/>
                <w:szCs w:val="28"/>
              </w:rPr>
            </w:pPr>
            <w:r>
              <w:rPr>
                <w:rFonts w:hint="eastAsia" w:ascii="仿宋" w:hAnsi="仿宋" w:eastAsia="仿宋" w:cs="仿宋"/>
                <w:sz w:val="28"/>
                <w:szCs w:val="28"/>
              </w:rPr>
              <w:t>3.页面支持一个或多个窗口；</w:t>
            </w:r>
          </w:p>
          <w:p>
            <w:pPr>
              <w:rPr>
                <w:rFonts w:ascii="仿宋" w:hAnsi="仿宋" w:eastAsia="仿宋" w:cs="仿宋"/>
                <w:sz w:val="28"/>
                <w:szCs w:val="28"/>
              </w:rPr>
            </w:pPr>
            <w:r>
              <w:rPr>
                <w:rFonts w:hint="eastAsia" w:ascii="仿宋" w:hAnsi="仿宋" w:eastAsia="仿宋" w:cs="仿宋"/>
                <w:sz w:val="28"/>
                <w:szCs w:val="28"/>
              </w:rPr>
              <w:t>4.支持多个窗口个数不同的页面按次数或播放时长切换播放，且切换过程平滑无黑帧；</w:t>
            </w:r>
          </w:p>
          <w:p>
            <w:pPr>
              <w:rPr>
                <w:rFonts w:ascii="仿宋" w:hAnsi="仿宋" w:eastAsia="仿宋" w:cs="仿宋"/>
                <w:sz w:val="28"/>
                <w:szCs w:val="28"/>
              </w:rPr>
            </w:pPr>
            <w:r>
              <w:rPr>
                <w:rFonts w:hint="eastAsia" w:ascii="仿宋" w:hAnsi="仿宋" w:eastAsia="仿宋" w:cs="仿宋"/>
                <w:sz w:val="28"/>
                <w:szCs w:val="28"/>
              </w:rPr>
              <w:t>5.可设置不同的日期和时间播放不同的节目页；可实现多台异地显示屏同步播放；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控制电脑</w:t>
            </w:r>
          </w:p>
        </w:tc>
        <w:tc>
          <w:tcPr>
            <w:tcW w:w="60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I5，8G，256G，21.5寸显示器</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结构装饰</w:t>
            </w:r>
          </w:p>
        </w:tc>
        <w:tc>
          <w:tcPr>
            <w:tcW w:w="60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大屏幕安装配套，要求抗绣，抗腐蚀，稳定牢固，不允许存在安全隐患。</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配电柜</w:t>
            </w:r>
          </w:p>
        </w:tc>
        <w:tc>
          <w:tcPr>
            <w:tcW w:w="60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 20KW智能配电柜，远程控制</w:t>
            </w:r>
            <w:r>
              <w:rPr>
                <w:rFonts w:hint="eastAsia" w:ascii="仿宋" w:hAnsi="仿宋" w:eastAsia="仿宋" w:cs="仿宋"/>
                <w:sz w:val="28"/>
                <w:szCs w:val="28"/>
                <w:lang w:eastAsia="zh-CN"/>
              </w:rPr>
              <w:t>；</w:t>
            </w:r>
          </w:p>
          <w:p>
            <w:pPr>
              <w:rPr>
                <w:rFonts w:ascii="仿宋" w:hAnsi="仿宋" w:eastAsia="仿宋" w:cs="仿宋"/>
                <w:sz w:val="28"/>
                <w:szCs w:val="28"/>
              </w:rPr>
            </w:pPr>
            <w:r>
              <w:rPr>
                <w:rFonts w:hint="eastAsia" w:ascii="仿宋" w:hAnsi="仿宋" w:eastAsia="仿宋" w:cs="仿宋"/>
                <w:sz w:val="28"/>
                <w:szCs w:val="28"/>
              </w:rPr>
              <w:t>2满足过流、短路、断路、过压</w:t>
            </w:r>
            <w:r>
              <w:rPr>
                <w:rFonts w:hint="eastAsia" w:ascii="仿宋" w:hAnsi="仿宋" w:eastAsia="仿宋" w:cs="仿宋"/>
                <w:sz w:val="28"/>
                <w:szCs w:val="28"/>
                <w:lang w:eastAsia="zh-CN"/>
              </w:rPr>
              <w:t>/</w:t>
            </w:r>
            <w:r>
              <w:rPr>
                <w:rFonts w:hint="eastAsia" w:ascii="仿宋" w:hAnsi="仿宋" w:eastAsia="仿宋" w:cs="仿宋"/>
                <w:sz w:val="28"/>
                <w:szCs w:val="28"/>
              </w:rPr>
              <w:t>欠压等保护措施</w:t>
            </w:r>
            <w:r>
              <w:rPr>
                <w:rFonts w:hint="eastAsia" w:ascii="仿宋" w:hAnsi="仿宋" w:eastAsia="仿宋" w:cs="仿宋"/>
                <w:sz w:val="28"/>
                <w:szCs w:val="28"/>
                <w:lang w:eastAsia="zh-CN"/>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辅材、配件</w:t>
            </w:r>
          </w:p>
        </w:tc>
        <w:tc>
          <w:tcPr>
            <w:tcW w:w="6061" w:type="dxa"/>
            <w:vAlign w:val="center"/>
          </w:tcPr>
          <w:p>
            <w:pPr>
              <w:rPr>
                <w:rFonts w:ascii="仿宋" w:hAnsi="仿宋" w:eastAsia="仿宋" w:cs="仿宋"/>
                <w:sz w:val="28"/>
                <w:szCs w:val="28"/>
              </w:rPr>
            </w:pPr>
            <w:r>
              <w:rPr>
                <w:rFonts w:hint="eastAsia" w:ascii="仿宋" w:hAnsi="仿宋" w:eastAsia="仿宋" w:cs="仿宋"/>
                <w:sz w:val="28"/>
                <w:szCs w:val="28"/>
              </w:rPr>
              <w:t>1.同批次模组2张</w:t>
            </w:r>
            <w:r>
              <w:rPr>
                <w:rFonts w:hint="eastAsia" w:ascii="仿宋" w:hAnsi="仿宋" w:eastAsia="仿宋" w:cs="仿宋"/>
                <w:sz w:val="28"/>
                <w:szCs w:val="28"/>
                <w:lang w:eastAsia="zh-CN"/>
              </w:rPr>
              <w:t>，</w:t>
            </w:r>
            <w:r>
              <w:rPr>
                <w:rFonts w:hint="eastAsia" w:ascii="仿宋" w:hAnsi="仿宋" w:eastAsia="仿宋" w:cs="仿宋"/>
                <w:sz w:val="28"/>
                <w:szCs w:val="28"/>
              </w:rPr>
              <w:t>接收卡1张</w:t>
            </w:r>
            <w:r>
              <w:rPr>
                <w:rFonts w:hint="eastAsia" w:ascii="仿宋" w:hAnsi="仿宋" w:eastAsia="仿宋" w:cs="仿宋"/>
                <w:sz w:val="28"/>
                <w:szCs w:val="28"/>
                <w:lang w:eastAsia="zh-CN"/>
              </w:rPr>
              <w:t>，</w:t>
            </w:r>
            <w:r>
              <w:rPr>
                <w:rFonts w:hint="eastAsia" w:ascii="仿宋" w:hAnsi="仿宋" w:eastAsia="仿宋" w:cs="仿宋"/>
                <w:sz w:val="28"/>
                <w:szCs w:val="28"/>
              </w:rPr>
              <w:t>电源1台</w:t>
            </w:r>
          </w:p>
          <w:p>
            <w:pPr>
              <w:rPr>
                <w:rFonts w:ascii="仿宋" w:hAnsi="仿宋" w:eastAsia="仿宋" w:cs="仿宋"/>
                <w:sz w:val="28"/>
                <w:szCs w:val="28"/>
              </w:rPr>
            </w:pPr>
            <w:r>
              <w:rPr>
                <w:rFonts w:hint="eastAsia" w:ascii="仿宋" w:hAnsi="仿宋" w:eastAsia="仿宋" w:cs="仿宋"/>
                <w:sz w:val="28"/>
                <w:szCs w:val="28"/>
              </w:rPr>
              <w:t>2.标书要求中未提到的，本项目中需用到的配套线材，电缆等辅材。</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92" w:type="dxa"/>
            <w:vMerge w:val="continue"/>
            <w:vAlign w:val="center"/>
          </w:tcPr>
          <w:p>
            <w:pPr>
              <w:jc w:val="center"/>
              <w:rPr>
                <w:rFonts w:ascii="仿宋" w:hAnsi="仿宋" w:eastAsia="仿宋" w:cs="仿宋"/>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系统安装联调服务</w:t>
            </w:r>
          </w:p>
        </w:tc>
        <w:tc>
          <w:tcPr>
            <w:tcW w:w="6061" w:type="dxa"/>
            <w:vAlign w:val="center"/>
          </w:tcPr>
          <w:p>
            <w:pPr>
              <w:rPr>
                <w:rFonts w:ascii="仿宋" w:hAnsi="仿宋" w:eastAsia="仿宋" w:cs="仿宋"/>
                <w:sz w:val="28"/>
                <w:szCs w:val="28"/>
              </w:rPr>
            </w:pPr>
            <w:r>
              <w:rPr>
                <w:rFonts w:hint="eastAsia" w:ascii="仿宋" w:hAnsi="仿宋" w:eastAsia="仿宋" w:cs="仿宋"/>
                <w:sz w:val="28"/>
                <w:szCs w:val="28"/>
              </w:rPr>
              <w:t>1.本次采购货物的包装、运输、装卸、安装、调试、技术指导、</w:t>
            </w:r>
          </w:p>
          <w:p>
            <w:pPr>
              <w:rPr>
                <w:rFonts w:ascii="仿宋" w:hAnsi="仿宋" w:eastAsia="仿宋" w:cs="仿宋"/>
                <w:sz w:val="28"/>
                <w:szCs w:val="28"/>
              </w:rPr>
            </w:pPr>
            <w:r>
              <w:rPr>
                <w:rFonts w:hint="eastAsia" w:ascii="仿宋" w:hAnsi="仿宋" w:eastAsia="仿宋" w:cs="仿宋"/>
                <w:sz w:val="28"/>
                <w:szCs w:val="28"/>
              </w:rPr>
              <w:t>2.培训、咨询、服务、保险、检测、验收合格交付使用之前以及技术和售后等所有服务；</w:t>
            </w:r>
          </w:p>
          <w:p>
            <w:pPr>
              <w:rPr>
                <w:rFonts w:ascii="仿宋" w:hAnsi="仿宋" w:eastAsia="仿宋" w:cs="仿宋"/>
                <w:sz w:val="28"/>
                <w:szCs w:val="28"/>
              </w:rPr>
            </w:pPr>
            <w:r>
              <w:rPr>
                <w:rFonts w:hint="eastAsia" w:ascii="仿宋" w:hAnsi="仿宋" w:eastAsia="仿宋" w:cs="仿宋"/>
                <w:sz w:val="28"/>
                <w:szCs w:val="28"/>
              </w:rPr>
              <w:t>3.电源及信号走线。</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kern w:val="2"/>
                <w:sz w:val="28"/>
                <w:szCs w:val="28"/>
              </w:rPr>
            </w:pPr>
            <w:r>
              <w:rPr>
                <w:rFonts w:hint="eastAsia" w:ascii="仿宋" w:hAnsi="仿宋" w:eastAsia="仿宋" w:cs="仿宋"/>
                <w:b/>
                <w:kern w:val="2"/>
                <w:sz w:val="28"/>
                <w:szCs w:val="28"/>
              </w:rPr>
              <w:t>1套</w:t>
            </w:r>
          </w:p>
        </w:tc>
      </w:tr>
    </w:tbl>
    <w:p>
      <w:pPr>
        <w:widowControl/>
        <w:jc w:val="left"/>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2.3 服务大厅瀑布流屏</w:t>
      </w:r>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39"/>
        <w:gridCol w:w="606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名称</w:t>
            </w:r>
          </w:p>
        </w:tc>
        <w:tc>
          <w:tcPr>
            <w:tcW w:w="83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606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708"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trPr>
        <w:tc>
          <w:tcPr>
            <w:tcW w:w="892"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服务大厅瀑布流屏</w:t>
            </w:r>
          </w:p>
        </w:tc>
        <w:tc>
          <w:tcPr>
            <w:tcW w:w="839"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6061" w:type="dxa"/>
          </w:tcPr>
          <w:p>
            <w:pPr>
              <w:rPr>
                <w:rFonts w:ascii="仿宋" w:hAnsi="仿宋" w:eastAsia="仿宋" w:cs="仿宋"/>
                <w:b/>
                <w:sz w:val="28"/>
                <w:szCs w:val="28"/>
              </w:rPr>
            </w:pPr>
            <w:r>
              <w:rPr>
                <w:rFonts w:hint="eastAsia" w:ascii="仿宋" w:hAnsi="仿宋" w:eastAsia="仿宋" w:cs="仿宋"/>
                <w:b/>
                <w:sz w:val="28"/>
                <w:szCs w:val="28"/>
              </w:rPr>
              <w:t>一、系统</w:t>
            </w:r>
          </w:p>
          <w:p>
            <w:pPr>
              <w:rPr>
                <w:rFonts w:ascii="仿宋" w:hAnsi="仿宋" w:eastAsia="仿宋" w:cs="仿宋"/>
                <w:sz w:val="28"/>
                <w:szCs w:val="28"/>
              </w:rPr>
            </w:pPr>
            <w:r>
              <w:rPr>
                <w:rFonts w:hint="eastAsia" w:ascii="仿宋" w:hAnsi="仿宋" w:eastAsia="仿宋" w:cs="仿宋"/>
                <w:sz w:val="28"/>
                <w:szCs w:val="28"/>
              </w:rPr>
              <w:t>1.基于1080*5760分辨率拼接屏研发，软件运行环境为不低于Windows10 64位操作系统。实现终端平台展示、图书资源管理、借阅等功能模块。</w:t>
            </w:r>
          </w:p>
          <w:p>
            <w:pPr>
              <w:rPr>
                <w:rFonts w:ascii="仿宋" w:hAnsi="仿宋" w:eastAsia="仿宋" w:cs="仿宋"/>
                <w:sz w:val="28"/>
                <w:szCs w:val="28"/>
              </w:rPr>
            </w:pPr>
            <w:r>
              <w:rPr>
                <w:rFonts w:hint="eastAsia" w:ascii="仿宋" w:hAnsi="仿宋" w:eastAsia="仿宋" w:cs="仿宋"/>
                <w:sz w:val="28"/>
                <w:szCs w:val="28"/>
              </w:rPr>
              <w:t>2.通过配套的手机客户端可以直接扫描电子书借阅机上的图书二维码下载图书到手机等移动终端中阅读。手机客户端需同时支持ios、android系统。</w:t>
            </w:r>
          </w:p>
          <w:p>
            <w:pPr>
              <w:rPr>
                <w:rFonts w:ascii="仿宋" w:hAnsi="仿宋" w:eastAsia="仿宋" w:cs="仿宋"/>
                <w:sz w:val="28"/>
                <w:szCs w:val="28"/>
              </w:rPr>
            </w:pPr>
            <w:r>
              <w:rPr>
                <w:rFonts w:hint="eastAsia" w:ascii="仿宋" w:hAnsi="仿宋" w:eastAsia="仿宋" w:cs="仿宋"/>
                <w:sz w:val="28"/>
                <w:szCs w:val="28"/>
              </w:rPr>
              <w:t>3.支持远程升级，支持一键更新，减少管理成本。</w:t>
            </w:r>
          </w:p>
          <w:p>
            <w:pPr>
              <w:rPr>
                <w:rFonts w:ascii="仿宋" w:hAnsi="仿宋" w:eastAsia="仿宋" w:cs="仿宋"/>
                <w:sz w:val="28"/>
                <w:szCs w:val="28"/>
              </w:rPr>
            </w:pPr>
            <w:r>
              <w:rPr>
                <w:rFonts w:hint="eastAsia" w:ascii="仿宋" w:hAnsi="仿宋" w:eastAsia="仿宋" w:cs="仿宋"/>
                <w:sz w:val="28"/>
                <w:szCs w:val="28"/>
              </w:rPr>
              <w:t>4.通过微信等第三方扫描工具二维码扫描，可提供直接在线阅读原版文本全文，无需下载客户端，并能将图书分享至朋友圈等社交网络。也可根据读者喜好自行选择下载客户端阅读。</w:t>
            </w:r>
          </w:p>
          <w:p>
            <w:pPr>
              <w:rPr>
                <w:rFonts w:ascii="仿宋" w:hAnsi="仿宋" w:eastAsia="仿宋" w:cs="仿宋"/>
                <w:b/>
                <w:sz w:val="28"/>
                <w:szCs w:val="28"/>
              </w:rPr>
            </w:pPr>
            <w:r>
              <w:rPr>
                <w:rFonts w:hint="eastAsia" w:ascii="仿宋" w:hAnsi="仿宋" w:eastAsia="仿宋" w:cs="仿宋"/>
                <w:b/>
                <w:sz w:val="28"/>
                <w:szCs w:val="28"/>
              </w:rPr>
              <w:t>二、借阅资源</w:t>
            </w:r>
          </w:p>
          <w:p>
            <w:pPr>
              <w:rPr>
                <w:rFonts w:ascii="仿宋" w:hAnsi="仿宋" w:eastAsia="仿宋" w:cs="仿宋"/>
                <w:sz w:val="28"/>
                <w:szCs w:val="28"/>
              </w:rPr>
            </w:pPr>
            <w:r>
              <w:rPr>
                <w:rFonts w:hint="eastAsia" w:ascii="仿宋" w:hAnsi="仿宋" w:eastAsia="仿宋" w:cs="仿宋"/>
                <w:sz w:val="28"/>
                <w:szCs w:val="28"/>
              </w:rPr>
              <w:t>1.需提供不少于3000册正版授权的epub格式电子图书且与原版图书保持原貌一致，如相关图片、目录等，每月定时更新不少于150种热门电子图书。</w:t>
            </w:r>
          </w:p>
          <w:p>
            <w:pPr>
              <w:rPr>
                <w:rFonts w:ascii="仿宋" w:hAnsi="仿宋" w:eastAsia="仿宋" w:cs="仿宋"/>
                <w:sz w:val="28"/>
                <w:szCs w:val="28"/>
              </w:rPr>
            </w:pPr>
            <w:r>
              <w:rPr>
                <w:rFonts w:hint="eastAsia" w:ascii="仿宋" w:hAnsi="仿宋" w:eastAsia="仿宋" w:cs="仿宋"/>
                <w:sz w:val="28"/>
                <w:szCs w:val="28"/>
              </w:rPr>
              <w:t>2.需提供不少于300集名师讲坛视频；同时根据需求能够满足不同区域、因地制宜的多元化需求。</w:t>
            </w:r>
          </w:p>
          <w:p>
            <w:pPr>
              <w:rPr>
                <w:rFonts w:ascii="仿宋" w:hAnsi="仿宋" w:eastAsia="仿宋" w:cs="仿宋"/>
                <w:sz w:val="28"/>
                <w:szCs w:val="28"/>
              </w:rPr>
            </w:pPr>
            <w:r>
              <w:rPr>
                <w:rFonts w:hint="eastAsia" w:ascii="仿宋" w:hAnsi="仿宋" w:eastAsia="仿宋" w:cs="仿宋"/>
                <w:sz w:val="28"/>
                <w:szCs w:val="28"/>
              </w:rPr>
              <w:t>3.需提供不少于500种专题资源，内容包括不限于文化赏析、生活小技巧、党建等热门专题，不定期更新，亦可为馆内量身定做内容，满足图书馆个性化配置、宣传展示等需求。</w:t>
            </w:r>
          </w:p>
          <w:p>
            <w:pPr>
              <w:rPr>
                <w:rFonts w:ascii="仿宋" w:hAnsi="仿宋" w:eastAsia="仿宋" w:cs="仿宋"/>
                <w:sz w:val="28"/>
                <w:szCs w:val="28"/>
              </w:rPr>
            </w:pPr>
            <w:r>
              <w:rPr>
                <w:rFonts w:hint="eastAsia" w:ascii="仿宋" w:hAnsi="仿宋" w:eastAsia="仿宋" w:cs="仿宋"/>
                <w:sz w:val="28"/>
                <w:szCs w:val="28"/>
              </w:rPr>
              <w:t>4.支持专题自建特色库。</w:t>
            </w:r>
          </w:p>
          <w:p>
            <w:pPr>
              <w:rPr>
                <w:rFonts w:ascii="仿宋" w:hAnsi="仿宋" w:eastAsia="仿宋" w:cs="仿宋"/>
                <w:sz w:val="28"/>
                <w:szCs w:val="28"/>
              </w:rPr>
            </w:pPr>
            <w:r>
              <w:rPr>
                <w:rFonts w:hint="eastAsia" w:ascii="仿宋" w:hAnsi="仿宋" w:eastAsia="仿宋" w:cs="仿宋"/>
                <w:sz w:val="28"/>
                <w:szCs w:val="28"/>
              </w:rPr>
              <w:t>5.提供不少于300种优质期刊，精选杂志期刊，汇聚时事，尽收眼底。</w:t>
            </w:r>
          </w:p>
          <w:p>
            <w:pPr>
              <w:rPr>
                <w:rFonts w:ascii="仿宋" w:hAnsi="仿宋" w:eastAsia="仿宋" w:cs="仿宋"/>
                <w:sz w:val="28"/>
                <w:szCs w:val="28"/>
              </w:rPr>
            </w:pPr>
            <w:r>
              <w:rPr>
                <w:rFonts w:hint="eastAsia" w:ascii="仿宋" w:hAnsi="仿宋" w:eastAsia="仿宋" w:cs="仿宋"/>
                <w:sz w:val="28"/>
                <w:szCs w:val="28"/>
              </w:rPr>
              <w:t>6.提供不少于500集国学系列有声音频，包括三字经、</w:t>
            </w:r>
            <w:r>
              <w:rPr>
                <w:rFonts w:hint="eastAsia" w:ascii="仿宋" w:hAnsi="仿宋" w:eastAsia="仿宋" w:cs="仿宋"/>
                <w:sz w:val="28"/>
                <w:szCs w:val="28"/>
                <w:lang w:eastAsia="zh-CN"/>
              </w:rPr>
              <w:t>《诗经》</w:t>
            </w:r>
            <w:r>
              <w:rPr>
                <w:rFonts w:hint="eastAsia" w:ascii="仿宋" w:hAnsi="仿宋" w:eastAsia="仿宋" w:cs="仿宋"/>
                <w:sz w:val="28"/>
                <w:szCs w:val="28"/>
              </w:rPr>
              <w:t>部分系列等经典国学诵读，音频资源由专业播音员配音阅读，发音标准，随着音频的诵读进行，系统支持对应朗读文本的自动跟读换行。</w:t>
            </w:r>
          </w:p>
          <w:p>
            <w:pPr>
              <w:rPr>
                <w:rFonts w:ascii="仿宋" w:hAnsi="仿宋" w:eastAsia="仿宋" w:cs="仿宋"/>
                <w:sz w:val="28"/>
                <w:szCs w:val="28"/>
              </w:rPr>
            </w:pPr>
            <w:r>
              <w:rPr>
                <w:rFonts w:hint="eastAsia" w:ascii="仿宋" w:hAnsi="仿宋" w:eastAsia="仿宋" w:cs="仿宋"/>
                <w:sz w:val="28"/>
                <w:szCs w:val="28"/>
              </w:rPr>
              <w:t>7.提供不少于150少儿动画绘本资源。</w:t>
            </w:r>
          </w:p>
          <w:p>
            <w:pPr>
              <w:rPr>
                <w:rFonts w:ascii="仿宋" w:hAnsi="仿宋" w:eastAsia="仿宋" w:cs="仿宋"/>
                <w:sz w:val="28"/>
                <w:szCs w:val="28"/>
              </w:rPr>
            </w:pPr>
            <w:r>
              <w:rPr>
                <w:rFonts w:hint="eastAsia" w:ascii="仿宋" w:hAnsi="仿宋" w:eastAsia="仿宋" w:cs="仿宋"/>
                <w:sz w:val="28"/>
                <w:szCs w:val="28"/>
              </w:rPr>
              <w:t>8.图书资源支持定制，根据客户的需求挑选相关内容。</w:t>
            </w:r>
          </w:p>
          <w:p>
            <w:pPr>
              <w:rPr>
                <w:rFonts w:ascii="仿宋" w:hAnsi="仿宋" w:eastAsia="仿宋" w:cs="仿宋"/>
                <w:b/>
                <w:sz w:val="28"/>
                <w:szCs w:val="28"/>
              </w:rPr>
            </w:pPr>
            <w:r>
              <w:rPr>
                <w:rFonts w:hint="eastAsia" w:ascii="仿宋" w:hAnsi="仿宋" w:eastAsia="仿宋" w:cs="仿宋"/>
                <w:b/>
                <w:sz w:val="28"/>
                <w:szCs w:val="28"/>
              </w:rPr>
              <w:t>三、应用功能</w:t>
            </w:r>
          </w:p>
          <w:p>
            <w:pPr>
              <w:rPr>
                <w:rFonts w:ascii="仿宋" w:hAnsi="仿宋" w:eastAsia="仿宋" w:cs="仿宋"/>
                <w:sz w:val="28"/>
                <w:szCs w:val="28"/>
              </w:rPr>
            </w:pPr>
            <w:r>
              <w:rPr>
                <w:rFonts w:hint="eastAsia" w:ascii="仿宋" w:hAnsi="仿宋" w:eastAsia="仿宋" w:cs="仿宋"/>
                <w:sz w:val="28"/>
                <w:szCs w:val="28"/>
              </w:rPr>
              <w:t>1.支持每块拼接屏的资源内容随机排序。</w:t>
            </w:r>
          </w:p>
          <w:p>
            <w:pPr>
              <w:rPr>
                <w:rFonts w:ascii="仿宋" w:hAnsi="仿宋" w:eastAsia="仿宋" w:cs="仿宋"/>
                <w:sz w:val="28"/>
                <w:szCs w:val="28"/>
              </w:rPr>
            </w:pPr>
            <w:r>
              <w:rPr>
                <w:rFonts w:hint="eastAsia" w:ascii="仿宋" w:hAnsi="仿宋" w:eastAsia="仿宋" w:cs="仿宋"/>
                <w:sz w:val="28"/>
                <w:szCs w:val="28"/>
              </w:rPr>
              <w:t>2.要求资源的展示方式为瀑布流形式，资源封面由屏幕顶端向下飘落，动态流动，循环播放，让阅读更具呼吸感。</w:t>
            </w:r>
          </w:p>
          <w:p>
            <w:pPr>
              <w:rPr>
                <w:rFonts w:ascii="仿宋" w:hAnsi="仿宋" w:eastAsia="仿宋" w:cs="仿宋"/>
                <w:sz w:val="28"/>
                <w:szCs w:val="28"/>
              </w:rPr>
            </w:pPr>
            <w:r>
              <w:rPr>
                <w:rFonts w:hint="eastAsia" w:ascii="仿宋" w:hAnsi="仿宋" w:eastAsia="仿宋" w:cs="仿宋"/>
                <w:sz w:val="28"/>
                <w:szCs w:val="28"/>
              </w:rPr>
              <w:t>3.支持资源单独、组合展示，资源可按资源类型分类展示。</w:t>
            </w:r>
          </w:p>
          <w:p>
            <w:pPr>
              <w:rPr>
                <w:rFonts w:ascii="仿宋" w:hAnsi="仿宋" w:eastAsia="仿宋" w:cs="仿宋"/>
                <w:sz w:val="28"/>
                <w:szCs w:val="28"/>
              </w:rPr>
            </w:pPr>
            <w:r>
              <w:rPr>
                <w:rFonts w:hint="eastAsia" w:ascii="仿宋" w:hAnsi="仿宋" w:eastAsia="仿宋" w:cs="仿宋"/>
                <w:sz w:val="28"/>
                <w:szCs w:val="28"/>
              </w:rPr>
              <w:t>4.需提供标准版和滑动版两种模式的资源展示效果，灵活切换。</w:t>
            </w:r>
          </w:p>
          <w:p>
            <w:pPr>
              <w:rPr>
                <w:rFonts w:ascii="仿宋" w:hAnsi="仿宋" w:eastAsia="仿宋" w:cs="仿宋"/>
                <w:sz w:val="28"/>
                <w:szCs w:val="28"/>
              </w:rPr>
            </w:pPr>
            <w:r>
              <w:rPr>
                <w:rFonts w:hint="eastAsia" w:ascii="仿宋" w:hAnsi="仿宋" w:eastAsia="仿宋" w:cs="仿宋"/>
                <w:sz w:val="28"/>
                <w:szCs w:val="28"/>
              </w:rPr>
              <w:t>5.支持一键切屏功能，实现不同资源的快速切换展示。</w:t>
            </w:r>
          </w:p>
          <w:p>
            <w:pPr>
              <w:rPr>
                <w:rFonts w:ascii="仿宋" w:hAnsi="仿宋" w:eastAsia="仿宋" w:cs="仿宋"/>
                <w:sz w:val="28"/>
                <w:szCs w:val="28"/>
              </w:rPr>
            </w:pPr>
            <w:r>
              <w:rPr>
                <w:rFonts w:hint="eastAsia" w:ascii="仿宋" w:hAnsi="仿宋" w:eastAsia="仿宋" w:cs="仿宋"/>
                <w:sz w:val="28"/>
                <w:szCs w:val="28"/>
              </w:rPr>
              <w:t>6.支持展示多个资源分类展示，定制分类名称等。如图书（“经典名著</w:t>
            </w:r>
            <w:r>
              <w:rPr>
                <w:rFonts w:hint="eastAsia" w:ascii="仿宋" w:hAnsi="仿宋" w:eastAsia="仿宋" w:cs="仿宋"/>
                <w:sz w:val="28"/>
                <w:szCs w:val="28"/>
                <w:lang w:eastAsia="zh-CN"/>
              </w:rPr>
              <w:t>”“</w:t>
            </w:r>
            <w:r>
              <w:rPr>
                <w:rFonts w:hint="eastAsia" w:ascii="仿宋" w:hAnsi="仿宋" w:eastAsia="仿宋" w:cs="仿宋"/>
                <w:sz w:val="28"/>
                <w:szCs w:val="28"/>
              </w:rPr>
              <w:t>历史人文”）。</w:t>
            </w:r>
          </w:p>
          <w:p>
            <w:pPr>
              <w:rPr>
                <w:rFonts w:ascii="仿宋" w:hAnsi="仿宋" w:eastAsia="仿宋" w:cs="仿宋"/>
                <w:sz w:val="28"/>
                <w:szCs w:val="28"/>
              </w:rPr>
            </w:pPr>
            <w:r>
              <w:rPr>
                <w:rFonts w:hint="eastAsia" w:ascii="仿宋" w:hAnsi="仿宋" w:eastAsia="仿宋" w:cs="仿宋"/>
                <w:sz w:val="28"/>
                <w:szCs w:val="28"/>
                <w:lang w:bidi="ar"/>
              </w:rPr>
              <w:t>7.</w:t>
            </w:r>
            <w:r>
              <w:rPr>
                <w:rFonts w:hint="eastAsia" w:ascii="仿宋" w:hAnsi="仿宋" w:eastAsia="仿宋" w:cs="仿宋"/>
                <w:sz w:val="28"/>
                <w:szCs w:val="28"/>
              </w:rPr>
              <w:t>支持主题换肤功能，</w:t>
            </w:r>
            <w:r>
              <w:rPr>
                <w:rFonts w:hint="eastAsia" w:ascii="仿宋" w:hAnsi="仿宋" w:eastAsia="仿宋" w:cs="仿宋"/>
                <w:sz w:val="28"/>
                <w:szCs w:val="28"/>
                <w:lang w:eastAsia="zh-CN"/>
              </w:rPr>
              <w:t>结合时事热点</w:t>
            </w:r>
            <w:r>
              <w:rPr>
                <w:rFonts w:hint="eastAsia" w:ascii="仿宋" w:hAnsi="仿宋" w:eastAsia="仿宋" w:cs="仿宋"/>
                <w:sz w:val="28"/>
                <w:szCs w:val="28"/>
              </w:rPr>
              <w:t>，提供主题瀑布流展示。</w:t>
            </w:r>
          </w:p>
          <w:p>
            <w:pPr>
              <w:rPr>
                <w:rFonts w:ascii="仿宋" w:hAnsi="仿宋" w:eastAsia="仿宋" w:cs="仿宋"/>
                <w:sz w:val="28"/>
                <w:szCs w:val="28"/>
              </w:rPr>
            </w:pPr>
            <w:r>
              <w:rPr>
                <w:rFonts w:hint="eastAsia" w:ascii="仿宋" w:hAnsi="仿宋" w:eastAsia="仿宋" w:cs="仿宋"/>
                <w:sz w:val="28"/>
                <w:szCs w:val="28"/>
              </w:rPr>
              <w:t>8.需提供特色主题包，如新春主题瀑布流、端午瀑布流等。</w:t>
            </w:r>
          </w:p>
          <w:p>
            <w:pPr>
              <w:rPr>
                <w:rFonts w:ascii="仿宋" w:hAnsi="仿宋" w:eastAsia="仿宋" w:cs="仿宋"/>
                <w:sz w:val="28"/>
                <w:szCs w:val="28"/>
              </w:rPr>
            </w:pPr>
            <w:r>
              <w:rPr>
                <w:rFonts w:hint="eastAsia" w:ascii="仿宋" w:hAnsi="仿宋" w:eastAsia="仿宋" w:cs="仿宋"/>
                <w:sz w:val="28"/>
                <w:szCs w:val="28"/>
              </w:rPr>
              <w:t>9.支持信息发布功能，包括发布文字、图片、视频、超链接等内容。</w:t>
            </w:r>
          </w:p>
          <w:p>
            <w:pPr>
              <w:rPr>
                <w:rFonts w:ascii="仿宋" w:hAnsi="仿宋" w:eastAsia="仿宋" w:cs="仿宋"/>
                <w:sz w:val="28"/>
                <w:szCs w:val="28"/>
              </w:rPr>
            </w:pPr>
            <w:r>
              <w:rPr>
                <w:rFonts w:hint="eastAsia" w:ascii="仿宋" w:hAnsi="仿宋" w:eastAsia="仿宋" w:cs="仿宋"/>
                <w:sz w:val="28"/>
                <w:szCs w:val="28"/>
              </w:rPr>
              <w:t>10.需提供活动小应用功能，结合时事热点，不定期推出应用活动服务，如猜灯谜、知识普及答题、四史时间轴等。</w:t>
            </w:r>
          </w:p>
          <w:p>
            <w:pPr>
              <w:rPr>
                <w:rFonts w:ascii="仿宋" w:hAnsi="仿宋" w:eastAsia="仿宋" w:cs="仿宋"/>
                <w:sz w:val="28"/>
                <w:szCs w:val="28"/>
              </w:rPr>
            </w:pPr>
            <w:r>
              <w:rPr>
                <w:rFonts w:hint="eastAsia" w:ascii="仿宋" w:hAnsi="仿宋" w:eastAsia="仿宋" w:cs="仿宋"/>
                <w:sz w:val="28"/>
                <w:szCs w:val="28"/>
              </w:rPr>
              <w:t>11.资源均可以在线观看，图书、期刊、视频、专题提供扫码带走功能。</w:t>
            </w:r>
          </w:p>
          <w:p>
            <w:pPr>
              <w:rPr>
                <w:rFonts w:ascii="仿宋" w:hAnsi="仿宋" w:eastAsia="仿宋" w:cs="仿宋"/>
                <w:sz w:val="28"/>
                <w:szCs w:val="28"/>
              </w:rPr>
            </w:pPr>
            <w:r>
              <w:rPr>
                <w:rFonts w:hint="eastAsia" w:ascii="仿宋" w:hAnsi="仿宋" w:eastAsia="仿宋" w:cs="仿宋"/>
                <w:sz w:val="28"/>
                <w:szCs w:val="28"/>
              </w:rPr>
              <w:t>12.支持展示本馆自有版权图片资源，图片支持点击放大查看，支持单、多张系列展示。</w:t>
            </w:r>
          </w:p>
          <w:p>
            <w:pPr>
              <w:rPr>
                <w:rFonts w:ascii="仿宋" w:hAnsi="仿宋" w:eastAsia="仿宋" w:cs="仿宋"/>
                <w:sz w:val="28"/>
                <w:szCs w:val="28"/>
              </w:rPr>
            </w:pPr>
            <w:r>
              <w:rPr>
                <w:rFonts w:hint="eastAsia" w:ascii="仿宋" w:hAnsi="仿宋" w:eastAsia="仿宋" w:cs="仿宋"/>
                <w:sz w:val="28"/>
                <w:szCs w:val="28"/>
              </w:rPr>
              <w:t>13.支持展示本馆自有版权视频资源，视频支持单集、系列选集播放展示。</w:t>
            </w:r>
          </w:p>
          <w:p>
            <w:pPr>
              <w:rPr>
                <w:rFonts w:ascii="仿宋" w:hAnsi="仿宋" w:eastAsia="仿宋" w:cs="仿宋"/>
                <w:sz w:val="28"/>
                <w:szCs w:val="28"/>
              </w:rPr>
            </w:pPr>
            <w:r>
              <w:rPr>
                <w:rFonts w:hint="eastAsia" w:ascii="仿宋" w:hAnsi="仿宋" w:eastAsia="仿宋" w:cs="仿宋"/>
                <w:sz w:val="28"/>
                <w:szCs w:val="28"/>
              </w:rPr>
              <w:t>14.支持一码两用，同时支持微信扫描和手机客户端扫描，更加便捷、高效、智能。</w:t>
            </w:r>
          </w:p>
          <w:p>
            <w:pPr>
              <w:rPr>
                <w:rFonts w:ascii="仿宋" w:hAnsi="仿宋" w:eastAsia="仿宋" w:cs="仿宋"/>
                <w:sz w:val="28"/>
                <w:szCs w:val="28"/>
              </w:rPr>
            </w:pPr>
            <w:r>
              <w:rPr>
                <w:rFonts w:hint="eastAsia" w:ascii="仿宋" w:hAnsi="仿宋" w:eastAsia="仿宋" w:cs="仿宋"/>
                <w:sz w:val="28"/>
                <w:szCs w:val="28"/>
              </w:rPr>
              <w:t>15.支持断网离线扫码图书阅读，无网络时亦可正常展示流动，扫码带走。</w:t>
            </w:r>
          </w:p>
          <w:p>
            <w:pPr>
              <w:rPr>
                <w:rFonts w:ascii="仿宋" w:hAnsi="仿宋" w:eastAsia="仿宋" w:cs="仿宋"/>
                <w:sz w:val="28"/>
                <w:szCs w:val="28"/>
              </w:rPr>
            </w:pPr>
            <w:r>
              <w:rPr>
                <w:rFonts w:hint="eastAsia" w:ascii="仿宋" w:hAnsi="仿宋" w:eastAsia="仿宋" w:cs="仿宋"/>
                <w:sz w:val="28"/>
                <w:szCs w:val="28"/>
              </w:rPr>
              <w:t>16.支持待机屏保功能，临时或固定展示宣传内容，比如活动预告、欢迎语等。</w:t>
            </w:r>
          </w:p>
          <w:p>
            <w:pPr>
              <w:rPr>
                <w:rFonts w:ascii="仿宋" w:hAnsi="仿宋" w:eastAsia="仿宋" w:cs="仿宋"/>
                <w:sz w:val="28"/>
                <w:szCs w:val="28"/>
              </w:rPr>
            </w:pPr>
            <w:r>
              <w:rPr>
                <w:rFonts w:hint="eastAsia" w:ascii="仿宋" w:hAnsi="仿宋" w:eastAsia="仿宋" w:cs="仿宋"/>
                <w:sz w:val="28"/>
                <w:szCs w:val="28"/>
              </w:rPr>
              <w:t>17.支持待机屏保功能支持单、多张待机展示。</w:t>
            </w:r>
          </w:p>
          <w:p>
            <w:pPr>
              <w:rPr>
                <w:rFonts w:ascii="仿宋" w:hAnsi="仿宋" w:eastAsia="仿宋" w:cs="仿宋"/>
                <w:sz w:val="28"/>
                <w:szCs w:val="28"/>
              </w:rPr>
            </w:pPr>
            <w:r>
              <w:rPr>
                <w:rFonts w:hint="eastAsia" w:ascii="仿宋" w:hAnsi="仿宋" w:eastAsia="仿宋" w:cs="仿宋"/>
                <w:sz w:val="28"/>
                <w:szCs w:val="28"/>
              </w:rPr>
              <w:t>18.支持资源背景图更换展示。</w:t>
            </w:r>
          </w:p>
          <w:p>
            <w:pPr>
              <w:rPr>
                <w:rFonts w:ascii="仿宋" w:hAnsi="仿宋" w:eastAsia="仿宋" w:cs="仿宋"/>
                <w:sz w:val="28"/>
                <w:szCs w:val="28"/>
              </w:rPr>
            </w:pPr>
            <w:r>
              <w:rPr>
                <w:rFonts w:hint="eastAsia" w:ascii="仿宋" w:hAnsi="仿宋" w:eastAsia="仿宋" w:cs="仿宋"/>
                <w:sz w:val="28"/>
                <w:szCs w:val="28"/>
              </w:rPr>
              <w:t>19.需提供统一管理平台，支持PC端+移动端多终端自主管理。</w:t>
            </w:r>
          </w:p>
          <w:p>
            <w:pPr>
              <w:rPr>
                <w:rFonts w:ascii="仿宋" w:hAnsi="仿宋" w:eastAsia="仿宋" w:cs="仿宋"/>
                <w:sz w:val="28"/>
                <w:szCs w:val="28"/>
              </w:rPr>
            </w:pPr>
            <w:r>
              <w:rPr>
                <w:rFonts w:hint="eastAsia" w:ascii="仿宋" w:hAnsi="仿宋" w:eastAsia="仿宋" w:cs="仿宋"/>
                <w:sz w:val="28"/>
                <w:szCs w:val="28"/>
              </w:rPr>
              <w:t>20.管理后台支持对设备信息查看、在线/离线状态监控等。</w:t>
            </w:r>
          </w:p>
          <w:p>
            <w:pPr>
              <w:rPr>
                <w:rFonts w:ascii="仿宋" w:hAnsi="仿宋" w:eastAsia="仿宋" w:cs="仿宋"/>
                <w:sz w:val="28"/>
                <w:szCs w:val="28"/>
              </w:rPr>
            </w:pPr>
            <w:r>
              <w:rPr>
                <w:rFonts w:hint="eastAsia" w:ascii="仿宋" w:hAnsi="仿宋" w:eastAsia="仿宋" w:cs="仿宋"/>
                <w:sz w:val="28"/>
                <w:szCs w:val="28"/>
              </w:rPr>
              <w:t>21.管理后台支持对设备进行远程管理，包括重启、关机、刷新等操作。</w:t>
            </w:r>
          </w:p>
          <w:p>
            <w:pPr>
              <w:rPr>
                <w:rFonts w:ascii="仿宋" w:hAnsi="仿宋" w:eastAsia="仿宋" w:cs="仿宋"/>
                <w:sz w:val="28"/>
                <w:szCs w:val="28"/>
              </w:rPr>
            </w:pPr>
            <w:r>
              <w:rPr>
                <w:rFonts w:hint="eastAsia" w:ascii="仿宋" w:hAnsi="仿宋" w:eastAsia="仿宋" w:cs="仿宋"/>
                <w:sz w:val="28"/>
                <w:szCs w:val="28"/>
              </w:rPr>
              <w:t>22.管理后台支持对设备进行内容配置，包括屏保设置、主题换肤、背景图更换等常用操作</w:t>
            </w:r>
          </w:p>
          <w:p>
            <w:pPr>
              <w:rPr>
                <w:rFonts w:ascii="仿宋" w:hAnsi="仿宋" w:eastAsia="仿宋" w:cs="仿宋"/>
                <w:sz w:val="28"/>
                <w:szCs w:val="28"/>
              </w:rPr>
            </w:pPr>
            <w:r>
              <w:rPr>
                <w:rFonts w:hint="eastAsia" w:ascii="仿宋" w:hAnsi="仿宋" w:eastAsia="仿宋" w:cs="仿宋"/>
                <w:sz w:val="28"/>
                <w:szCs w:val="28"/>
              </w:rPr>
              <w:t>23.需提供手机端遥控器，可实现对设备的便捷管理。</w:t>
            </w:r>
          </w:p>
          <w:p>
            <w:pPr>
              <w:rPr>
                <w:rFonts w:ascii="仿宋" w:hAnsi="仿宋" w:eastAsia="仿宋" w:cs="仿宋"/>
                <w:sz w:val="28"/>
                <w:szCs w:val="28"/>
              </w:rPr>
            </w:pPr>
            <w:r>
              <w:rPr>
                <w:rFonts w:hint="eastAsia" w:ascii="仿宋" w:hAnsi="仿宋" w:eastAsia="仿宋" w:cs="仿宋"/>
                <w:sz w:val="28"/>
                <w:szCs w:val="28"/>
              </w:rPr>
              <w:t>24.手机端遥控器支持对设备信息查看、在线/离线状态监控等。</w:t>
            </w:r>
          </w:p>
          <w:p>
            <w:pPr>
              <w:rPr>
                <w:rFonts w:ascii="仿宋" w:hAnsi="仿宋" w:eastAsia="仿宋" w:cs="仿宋"/>
                <w:sz w:val="28"/>
                <w:szCs w:val="28"/>
              </w:rPr>
            </w:pPr>
            <w:r>
              <w:rPr>
                <w:rFonts w:hint="eastAsia" w:ascii="仿宋" w:hAnsi="仿宋" w:eastAsia="仿宋" w:cs="仿宋"/>
                <w:sz w:val="28"/>
                <w:szCs w:val="28"/>
              </w:rPr>
              <w:t>25.手机端遥控器可以进行远程管理，包括重启、关机、刷新等操作。</w:t>
            </w:r>
          </w:p>
          <w:p>
            <w:pPr>
              <w:rPr>
                <w:rFonts w:ascii="仿宋" w:hAnsi="仿宋" w:eastAsia="仿宋" w:cs="仿宋"/>
                <w:sz w:val="28"/>
                <w:szCs w:val="28"/>
              </w:rPr>
            </w:pPr>
            <w:r>
              <w:rPr>
                <w:rFonts w:hint="eastAsia" w:ascii="仿宋" w:hAnsi="仿宋" w:eastAsia="仿宋" w:cs="仿宋"/>
                <w:sz w:val="28"/>
                <w:szCs w:val="28"/>
              </w:rPr>
              <w:t>26.手机端遥控器可以快速进行主题切换、实现一键换肤。</w:t>
            </w:r>
          </w:p>
          <w:p>
            <w:pPr>
              <w:rPr>
                <w:rFonts w:ascii="仿宋" w:hAnsi="仿宋" w:eastAsia="仿宋" w:cs="仿宋"/>
                <w:sz w:val="28"/>
                <w:szCs w:val="28"/>
              </w:rPr>
            </w:pPr>
            <w:r>
              <w:rPr>
                <w:rFonts w:hint="eastAsia" w:ascii="仿宋" w:hAnsi="仿宋" w:eastAsia="仿宋" w:cs="仿宋"/>
                <w:sz w:val="28"/>
                <w:szCs w:val="28"/>
              </w:rPr>
              <w:t>27.手机端遥控器可以快速进行屏保上传、修改。</w:t>
            </w:r>
          </w:p>
          <w:p>
            <w:pPr>
              <w:rPr>
                <w:rFonts w:ascii="仿宋" w:hAnsi="仿宋" w:eastAsia="仿宋" w:cs="仿宋"/>
                <w:sz w:val="28"/>
                <w:szCs w:val="28"/>
              </w:rPr>
            </w:pPr>
            <w:r>
              <w:rPr>
                <w:rFonts w:hint="eastAsia" w:ascii="仿宋" w:hAnsi="仿宋" w:eastAsia="仿宋" w:cs="仿宋"/>
                <w:sz w:val="28"/>
                <w:szCs w:val="28"/>
              </w:rPr>
              <w:t>28.手机端遥控器支持信息发布（任务推送），更加高效，便捷。</w:t>
            </w:r>
          </w:p>
          <w:p>
            <w:pPr>
              <w:rPr>
                <w:rFonts w:ascii="仿宋" w:hAnsi="仿宋" w:eastAsia="仿宋" w:cs="仿宋"/>
                <w:sz w:val="28"/>
                <w:szCs w:val="28"/>
              </w:rPr>
            </w:pPr>
            <w:r>
              <w:rPr>
                <w:rFonts w:hint="eastAsia" w:ascii="仿宋" w:hAnsi="仿宋" w:eastAsia="仿宋" w:cs="仿宋"/>
                <w:sz w:val="28"/>
                <w:szCs w:val="28"/>
              </w:rPr>
              <w:t>29.提供瀑布流系统定时盒子功能，盒子支持PC+移动双终端管理，实现硬件的远程监控管理。</w:t>
            </w:r>
          </w:p>
          <w:p>
            <w:pPr>
              <w:rPr>
                <w:rFonts w:ascii="仿宋" w:hAnsi="仿宋" w:eastAsia="仿宋" w:cs="仿宋"/>
                <w:sz w:val="28"/>
                <w:szCs w:val="28"/>
              </w:rPr>
            </w:pPr>
            <w:r>
              <w:rPr>
                <w:rFonts w:hint="eastAsia" w:ascii="仿宋" w:hAnsi="仿宋" w:eastAsia="仿宋" w:cs="仿宋"/>
                <w:sz w:val="28"/>
                <w:szCs w:val="28"/>
              </w:rPr>
              <w:t>30.定时盒子能够远程对硬件设备进行开关机、重启等操作，以及定时时间设置等。</w:t>
            </w:r>
          </w:p>
        </w:tc>
        <w:tc>
          <w:tcPr>
            <w:tcW w:w="708"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2" w:type="dxa"/>
            <w:vMerge w:val="continue"/>
            <w:vAlign w:val="center"/>
          </w:tcPr>
          <w:p>
            <w:pPr>
              <w:jc w:val="center"/>
              <w:rPr>
                <w:rFonts w:ascii="仿宋" w:hAnsi="仿宋" w:eastAsia="仿宋" w:cs="仿宋"/>
                <w:bCs/>
                <w:sz w:val="28"/>
                <w:szCs w:val="28"/>
              </w:rPr>
            </w:pPr>
          </w:p>
        </w:tc>
        <w:tc>
          <w:tcPr>
            <w:tcW w:w="839" w:type="dxa"/>
            <w:vAlign w:val="center"/>
          </w:tcPr>
          <w:p>
            <w:pPr>
              <w:jc w:val="center"/>
              <w:rPr>
                <w:rFonts w:ascii="仿宋" w:hAnsi="仿宋" w:eastAsia="仿宋" w:cs="仿宋"/>
                <w:sz w:val="28"/>
                <w:szCs w:val="28"/>
              </w:rPr>
            </w:pPr>
            <w:r>
              <w:rPr>
                <w:rFonts w:hint="eastAsia" w:ascii="仿宋" w:hAnsi="仿宋" w:eastAsia="仿宋" w:cs="仿宋"/>
                <w:b/>
                <w:sz w:val="28"/>
                <w:szCs w:val="28"/>
              </w:rPr>
              <w:t>硬件参数</w:t>
            </w:r>
          </w:p>
        </w:tc>
        <w:tc>
          <w:tcPr>
            <w:tcW w:w="6061" w:type="dxa"/>
            <w:vAlign w:val="center"/>
          </w:tcPr>
          <w:p>
            <w:pPr>
              <w:rPr>
                <w:rFonts w:ascii="仿宋" w:hAnsi="仿宋" w:eastAsia="仿宋" w:cs="仿宋"/>
                <w:sz w:val="28"/>
                <w:szCs w:val="28"/>
              </w:rPr>
            </w:pPr>
            <w:r>
              <w:rPr>
                <w:rFonts w:hint="eastAsia" w:ascii="仿宋" w:hAnsi="仿宋" w:eastAsia="仿宋" w:cs="仿宋"/>
                <w:sz w:val="28"/>
                <w:szCs w:val="28"/>
              </w:rPr>
              <w:t>1.液晶拼接屏：屏幕数量：1*3屏幕尺寸：不低于55寸</w:t>
            </w:r>
          </w:p>
          <w:p>
            <w:pPr>
              <w:rPr>
                <w:rFonts w:ascii="仿宋" w:hAnsi="仿宋" w:eastAsia="仿宋" w:cs="仿宋"/>
                <w:sz w:val="28"/>
                <w:szCs w:val="28"/>
              </w:rPr>
            </w:pPr>
            <w:r>
              <w:rPr>
                <w:rFonts w:hint="eastAsia" w:ascii="仿宋" w:hAnsi="仿宋" w:eastAsia="仿宋" w:cs="仿宋"/>
                <w:sz w:val="28"/>
                <w:szCs w:val="28"/>
              </w:rPr>
              <w:t xml:space="preserve">分辨率：1920*1080; </w:t>
            </w:r>
          </w:p>
          <w:p>
            <w:pPr>
              <w:rPr>
                <w:rFonts w:ascii="仿宋" w:hAnsi="仿宋" w:eastAsia="仿宋" w:cs="仿宋"/>
                <w:sz w:val="28"/>
                <w:szCs w:val="28"/>
              </w:rPr>
            </w:pPr>
            <w:r>
              <w:rPr>
                <w:rFonts w:hint="eastAsia" w:ascii="仿宋" w:hAnsi="仿宋" w:eastAsia="仿宋" w:cs="仿宋"/>
                <w:sz w:val="28"/>
                <w:szCs w:val="28"/>
              </w:rPr>
              <w:t>物理拼缝≤3.5mm（标准）；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2.触摸框</w:t>
            </w:r>
            <w:r>
              <w:rPr>
                <w:rFonts w:hint="eastAsia" w:ascii="仿宋" w:hAnsi="仿宋" w:eastAsia="仿宋" w:cs="仿宋"/>
                <w:sz w:val="28"/>
                <w:szCs w:val="28"/>
              </w:rPr>
              <w:tab/>
            </w:r>
            <w:r>
              <w:rPr>
                <w:rFonts w:hint="eastAsia" w:ascii="仿宋" w:hAnsi="仿宋" w:eastAsia="仿宋" w:cs="仿宋"/>
                <w:sz w:val="28"/>
                <w:szCs w:val="28"/>
              </w:rPr>
              <w:t>定制</w:t>
            </w:r>
            <w:r>
              <w:rPr>
                <w:rFonts w:hint="eastAsia" w:ascii="仿宋" w:hAnsi="仿宋" w:eastAsia="仿宋" w:cs="仿宋"/>
                <w:sz w:val="28"/>
                <w:szCs w:val="28"/>
              </w:rPr>
              <w:tab/>
            </w:r>
            <w:r>
              <w:rPr>
                <w:rFonts w:hint="eastAsia" w:ascii="仿宋" w:hAnsi="仿宋" w:eastAsia="仿宋" w:cs="仿宋"/>
                <w:sz w:val="28"/>
                <w:szCs w:val="28"/>
              </w:rPr>
              <w:t>十点触摸</w:t>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3.壁挂支架</w:t>
            </w:r>
            <w:r>
              <w:rPr>
                <w:rFonts w:hint="eastAsia" w:ascii="仿宋" w:hAnsi="仿宋" w:eastAsia="仿宋" w:cs="仿宋"/>
                <w:sz w:val="28"/>
                <w:szCs w:val="28"/>
              </w:rPr>
              <w:tab/>
            </w:r>
            <w:r>
              <w:rPr>
                <w:rFonts w:hint="eastAsia" w:ascii="仿宋" w:hAnsi="仿宋" w:eastAsia="仿宋" w:cs="仿宋"/>
                <w:sz w:val="28"/>
                <w:szCs w:val="28"/>
              </w:rPr>
              <w:t>定制</w:t>
            </w:r>
            <w:r>
              <w:rPr>
                <w:rFonts w:hint="eastAsia" w:ascii="仿宋" w:hAnsi="仿宋" w:eastAsia="仿宋" w:cs="仿宋"/>
                <w:sz w:val="28"/>
                <w:szCs w:val="28"/>
              </w:rPr>
              <w:tab/>
            </w:r>
            <w:r>
              <w:rPr>
                <w:rFonts w:hint="eastAsia" w:ascii="仿宋" w:hAnsi="仿宋" w:eastAsia="仿宋" w:cs="仿宋"/>
                <w:sz w:val="28"/>
                <w:szCs w:val="28"/>
              </w:rPr>
              <w:t>铝型材支架，材质坚固、不易变形</w:t>
            </w:r>
          </w:p>
          <w:p>
            <w:pPr>
              <w:rPr>
                <w:rFonts w:ascii="仿宋" w:hAnsi="仿宋" w:eastAsia="仿宋" w:cs="仿宋"/>
                <w:sz w:val="28"/>
                <w:szCs w:val="28"/>
              </w:rPr>
            </w:pPr>
            <w:r>
              <w:rPr>
                <w:rFonts w:hint="eastAsia" w:ascii="仿宋" w:hAnsi="仿宋" w:eastAsia="仿宋" w:cs="仿宋"/>
                <w:sz w:val="28"/>
                <w:szCs w:val="28"/>
              </w:rPr>
              <w:t>4.配件辅料</w:t>
            </w:r>
            <w:r>
              <w:rPr>
                <w:rFonts w:hint="eastAsia" w:ascii="仿宋" w:hAnsi="仿宋" w:eastAsia="仿宋" w:cs="仿宋"/>
                <w:sz w:val="28"/>
                <w:szCs w:val="28"/>
              </w:rPr>
              <w:tab/>
            </w:r>
            <w:r>
              <w:rPr>
                <w:rFonts w:hint="eastAsia" w:ascii="仿宋" w:hAnsi="仿宋" w:eastAsia="仿宋" w:cs="仿宋"/>
                <w:sz w:val="28"/>
                <w:szCs w:val="28"/>
              </w:rPr>
              <w:t>定制</w:t>
            </w:r>
            <w:r>
              <w:rPr>
                <w:rFonts w:hint="eastAsia" w:ascii="仿宋" w:hAnsi="仿宋" w:eastAsia="仿宋" w:cs="仿宋"/>
                <w:sz w:val="28"/>
                <w:szCs w:val="28"/>
              </w:rPr>
              <w:tab/>
            </w:r>
            <w:r>
              <w:rPr>
                <w:rFonts w:hint="eastAsia" w:ascii="仿宋" w:hAnsi="仿宋" w:eastAsia="仿宋" w:cs="仿宋"/>
                <w:sz w:val="28"/>
                <w:szCs w:val="28"/>
              </w:rPr>
              <w:t>包含6孔插排</w:t>
            </w:r>
          </w:p>
          <w:p>
            <w:pPr>
              <w:rPr>
                <w:rFonts w:ascii="仿宋" w:hAnsi="仿宋" w:eastAsia="仿宋" w:cs="仿宋"/>
                <w:sz w:val="28"/>
                <w:szCs w:val="28"/>
              </w:rPr>
            </w:pPr>
            <w:r>
              <w:rPr>
                <w:rFonts w:hint="eastAsia" w:ascii="仿宋" w:hAnsi="仿宋" w:eastAsia="仿宋" w:cs="仿宋"/>
                <w:sz w:val="28"/>
                <w:szCs w:val="28"/>
              </w:rPr>
              <w:t>5.控制主机</w:t>
            </w:r>
            <w:r>
              <w:rPr>
                <w:rFonts w:hint="eastAsia" w:ascii="仿宋" w:hAnsi="仿宋" w:eastAsia="仿宋" w:cs="仿宋"/>
                <w:sz w:val="28"/>
                <w:szCs w:val="28"/>
              </w:rPr>
              <w:tab/>
            </w:r>
            <w:r>
              <w:rPr>
                <w:rFonts w:hint="eastAsia" w:ascii="仿宋" w:hAnsi="仿宋" w:eastAsia="仿宋" w:cs="仿宋"/>
                <w:sz w:val="28"/>
                <w:szCs w:val="28"/>
              </w:rPr>
              <w:t>定制</w:t>
            </w:r>
            <w:r>
              <w:rPr>
                <w:rFonts w:hint="eastAsia" w:ascii="仿宋" w:hAnsi="仿宋" w:eastAsia="仿宋" w:cs="仿宋"/>
                <w:sz w:val="28"/>
                <w:szCs w:val="28"/>
              </w:rPr>
              <w:tab/>
            </w:r>
            <w:r>
              <w:rPr>
                <w:rFonts w:hint="eastAsia" w:ascii="仿宋" w:hAnsi="仿宋" w:eastAsia="仿宋" w:cs="仿宋"/>
                <w:sz w:val="28"/>
                <w:szCs w:val="28"/>
              </w:rPr>
              <w:t xml:space="preserve">CPU不低于 I7-7700  </w:t>
            </w:r>
          </w:p>
          <w:p>
            <w:pPr>
              <w:rPr>
                <w:rFonts w:ascii="仿宋" w:hAnsi="仿宋" w:eastAsia="仿宋" w:cs="仿宋"/>
                <w:sz w:val="28"/>
                <w:szCs w:val="28"/>
              </w:rPr>
            </w:pPr>
            <w:r>
              <w:rPr>
                <w:rFonts w:hint="eastAsia" w:ascii="仿宋" w:hAnsi="仿宋" w:eastAsia="仿宋" w:cs="仿宋"/>
                <w:sz w:val="28"/>
                <w:szCs w:val="28"/>
              </w:rPr>
              <w:t>内存  8G及以上</w:t>
            </w:r>
          </w:p>
          <w:p>
            <w:pPr>
              <w:rPr>
                <w:rFonts w:ascii="仿宋" w:hAnsi="仿宋" w:eastAsia="仿宋" w:cs="仿宋"/>
                <w:sz w:val="28"/>
                <w:szCs w:val="28"/>
              </w:rPr>
            </w:pPr>
            <w:r>
              <w:rPr>
                <w:rFonts w:hint="eastAsia" w:ascii="仿宋" w:hAnsi="仿宋" w:eastAsia="仿宋" w:cs="仿宋"/>
                <w:sz w:val="28"/>
                <w:szCs w:val="28"/>
              </w:rPr>
              <w:t>固态硬盘  不低于120G</w:t>
            </w:r>
          </w:p>
          <w:p>
            <w:pPr>
              <w:rPr>
                <w:rFonts w:ascii="仿宋" w:hAnsi="仿宋" w:eastAsia="仿宋" w:cs="仿宋"/>
                <w:b/>
                <w:sz w:val="28"/>
                <w:szCs w:val="28"/>
              </w:rPr>
            </w:pPr>
            <w:r>
              <w:rPr>
                <w:rFonts w:hint="eastAsia" w:ascii="仿宋" w:hAnsi="仿宋" w:eastAsia="仿宋" w:cs="仿宋"/>
                <w:sz w:val="28"/>
                <w:szCs w:val="28"/>
              </w:rPr>
              <w:t>多屏显卡：最大分辨率5120x2880</w:t>
            </w:r>
          </w:p>
        </w:tc>
        <w:tc>
          <w:tcPr>
            <w:tcW w:w="708" w:type="dxa"/>
            <w:vMerge w:val="continue"/>
            <w:vAlign w:val="center"/>
          </w:tcPr>
          <w:p>
            <w:pPr>
              <w:rPr>
                <w:rFonts w:ascii="仿宋" w:hAnsi="仿宋" w:eastAsia="仿宋" w:cs="仿宋"/>
                <w:sz w:val="28"/>
                <w:szCs w:val="28"/>
              </w:rPr>
            </w:pPr>
          </w:p>
        </w:tc>
      </w:tr>
    </w:tbl>
    <w:p>
      <w:pPr>
        <w:spacing w:line="360" w:lineRule="auto"/>
        <w:rPr>
          <w:rFonts w:ascii="仿宋" w:hAnsi="仿宋" w:eastAsia="仿宋" w:cs="仿宋"/>
          <w:sz w:val="28"/>
          <w:szCs w:val="28"/>
        </w:rPr>
      </w:pP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2.4 报告厅数字化建设</w:t>
      </w:r>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39"/>
        <w:gridCol w:w="606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名称</w:t>
            </w:r>
          </w:p>
        </w:tc>
        <w:tc>
          <w:tcPr>
            <w:tcW w:w="839"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606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708"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服务大厅高清大屏</w:t>
            </w:r>
          </w:p>
        </w:tc>
        <w:tc>
          <w:tcPr>
            <w:tcW w:w="839" w:type="dxa"/>
            <w:vAlign w:val="center"/>
          </w:tcPr>
          <w:p>
            <w:pPr>
              <w:jc w:val="center"/>
              <w:rPr>
                <w:rFonts w:ascii="仿宋" w:hAnsi="仿宋" w:eastAsia="仿宋" w:cs="仿宋"/>
                <w:b/>
                <w:sz w:val="28"/>
                <w:szCs w:val="28"/>
              </w:rPr>
            </w:pPr>
            <w:r>
              <w:rPr>
                <w:rFonts w:hint="eastAsia" w:ascii="仿宋" w:hAnsi="仿宋" w:eastAsia="仿宋" w:cs="仿宋"/>
                <w:b/>
                <w:sz w:val="28"/>
                <w:szCs w:val="28"/>
              </w:rPr>
              <w:t>全彩LED显示屏</w:t>
            </w:r>
          </w:p>
        </w:tc>
        <w:tc>
          <w:tcPr>
            <w:tcW w:w="6061" w:type="dxa"/>
          </w:tcPr>
          <w:p>
            <w:pPr>
              <w:rPr>
                <w:rFonts w:ascii="仿宋" w:hAnsi="仿宋" w:eastAsia="仿宋" w:cs="仿宋"/>
                <w:sz w:val="28"/>
                <w:szCs w:val="28"/>
              </w:rPr>
            </w:pPr>
            <w:r>
              <w:rPr>
                <w:rFonts w:hint="eastAsia" w:ascii="仿宋" w:hAnsi="仿宋" w:eastAsia="仿宋" w:cs="仿宋"/>
                <w:sz w:val="28"/>
                <w:szCs w:val="28"/>
              </w:rPr>
              <w:t>1.整屏尺寸：宽≥4.48米、高≥1.92米。像素间距≤1.86mm，点间距测试依据：SJ/T 11281-2017 发光二极管</w:t>
            </w:r>
            <w:r>
              <w:rPr>
                <w:rFonts w:hint="eastAsia" w:ascii="仿宋" w:hAnsi="仿宋" w:eastAsia="仿宋" w:cs="仿宋"/>
                <w:sz w:val="28"/>
                <w:szCs w:val="28"/>
                <w:lang w:eastAsia="zh-CN"/>
              </w:rPr>
              <w:t>（</w:t>
            </w:r>
            <w:r>
              <w:rPr>
                <w:rFonts w:hint="eastAsia" w:ascii="仿宋" w:hAnsi="仿宋" w:eastAsia="仿宋" w:cs="仿宋"/>
                <w:sz w:val="28"/>
                <w:szCs w:val="28"/>
              </w:rPr>
              <w:t>LED</w:t>
            </w:r>
            <w:r>
              <w:rPr>
                <w:rFonts w:hint="eastAsia" w:ascii="仿宋" w:hAnsi="仿宋" w:eastAsia="仿宋" w:cs="仿宋"/>
                <w:sz w:val="28"/>
                <w:szCs w:val="28"/>
                <w:lang w:eastAsia="zh-CN"/>
              </w:rPr>
              <w:t>）</w:t>
            </w:r>
            <w:r>
              <w:rPr>
                <w:rFonts w:hint="eastAsia" w:ascii="仿宋" w:hAnsi="仿宋" w:eastAsia="仿宋" w:cs="仿宋"/>
                <w:sz w:val="28"/>
                <w:szCs w:val="28"/>
              </w:rPr>
              <w:t>显示屏测试方法及SJ/T 11141-2017 LED显示屏通用规范；</w:t>
            </w:r>
          </w:p>
          <w:p>
            <w:pPr>
              <w:rPr>
                <w:rFonts w:ascii="仿宋" w:hAnsi="仿宋" w:eastAsia="仿宋" w:cs="仿宋"/>
                <w:sz w:val="28"/>
                <w:szCs w:val="28"/>
              </w:rPr>
            </w:pPr>
            <w:r>
              <w:rPr>
                <w:rFonts w:hint="eastAsia" w:ascii="仿宋" w:hAnsi="仿宋" w:eastAsia="仿宋" w:cs="仿宋"/>
                <w:sz w:val="28"/>
                <w:szCs w:val="28"/>
              </w:rPr>
              <w:t>2.LED类型：SMD 1515黑灯，1R1G1B；像素密度≥ 289050点/m2，显示单元厚度≤60mm；</w:t>
            </w:r>
          </w:p>
          <w:p>
            <w:pPr>
              <w:rPr>
                <w:rFonts w:ascii="仿宋" w:hAnsi="仿宋" w:eastAsia="仿宋" w:cs="仿宋"/>
                <w:sz w:val="28"/>
                <w:szCs w:val="28"/>
              </w:rPr>
            </w:pPr>
            <w:r>
              <w:rPr>
                <w:rFonts w:hint="eastAsia" w:ascii="仿宋" w:hAnsi="仿宋" w:eastAsia="仿宋" w:cs="仿宋"/>
                <w:sz w:val="28"/>
                <w:szCs w:val="28"/>
              </w:rPr>
              <w:t>3.采用原厂整机出厂方式供货，提供原厂整机出厂承诺函。LED显示单元包括显示组件、电源板、接收板及后盖；电源板及接收板分别安装于显示组件的背面，后盖安装于显示组件的背面并罩设于电源板及接收板外；显示组件包括至少一个LED显示模组；当显示组件包括两个及两个以上LED显示模组时，相邻两个LED显示模组之间通过连接件固定连接；</w:t>
            </w:r>
          </w:p>
          <w:p>
            <w:pPr>
              <w:rPr>
                <w:rFonts w:ascii="仿宋" w:hAnsi="仿宋" w:eastAsia="仿宋" w:cs="仿宋"/>
                <w:sz w:val="28"/>
                <w:szCs w:val="28"/>
              </w:rPr>
            </w:pPr>
            <w:r>
              <w:rPr>
                <w:rFonts w:hint="eastAsia" w:ascii="仿宋" w:hAnsi="仿宋" w:eastAsia="仿宋" w:cs="仿宋"/>
                <w:sz w:val="28"/>
                <w:szCs w:val="28"/>
              </w:rPr>
              <w:t>4.所投LED品牌制造商须为真实制造商，不接受OEM厂家及非LED行业生产企业。LED显示屏厂商主营业务范围必须是“LED显示屏”或“电子显示设备”的生产研发销售，且LED显示屏厂商具有生产厂房；</w:t>
            </w:r>
          </w:p>
          <w:p>
            <w:pPr>
              <w:rPr>
                <w:rFonts w:ascii="仿宋" w:hAnsi="仿宋" w:eastAsia="仿宋" w:cs="仿宋"/>
                <w:sz w:val="28"/>
                <w:szCs w:val="28"/>
              </w:rPr>
            </w:pPr>
            <w:r>
              <w:rPr>
                <w:rFonts w:hint="eastAsia" w:ascii="仿宋" w:hAnsi="仿宋" w:eastAsia="仿宋" w:cs="仿宋"/>
                <w:sz w:val="28"/>
                <w:szCs w:val="28"/>
              </w:rPr>
              <w:t>5.显示单元间隙（mm）≤0.05；显示单元平整度（mm）≤0.05；模组平整度（mm）≤0.05；模组间隙（mm）≤0.05；</w:t>
            </w:r>
          </w:p>
          <w:p>
            <w:pPr>
              <w:rPr>
                <w:rFonts w:ascii="仿宋" w:hAnsi="仿宋" w:eastAsia="仿宋" w:cs="仿宋"/>
                <w:sz w:val="28"/>
                <w:szCs w:val="28"/>
              </w:rPr>
            </w:pPr>
            <w:r>
              <w:rPr>
                <w:rFonts w:hint="eastAsia" w:ascii="仿宋" w:hAnsi="仿宋" w:eastAsia="仿宋" w:cs="仿宋"/>
                <w:sz w:val="28"/>
                <w:szCs w:val="28"/>
              </w:rPr>
              <w:t>6.显示屏最高对比度≥10000:1；相对错位偏差（水平/垂直）≤1.0%；</w:t>
            </w:r>
          </w:p>
          <w:p>
            <w:pPr>
              <w:rPr>
                <w:rFonts w:ascii="仿宋" w:hAnsi="仿宋" w:eastAsia="仿宋" w:cs="仿宋"/>
                <w:sz w:val="28"/>
                <w:szCs w:val="28"/>
              </w:rPr>
            </w:pPr>
            <w:r>
              <w:rPr>
                <w:rFonts w:hint="eastAsia" w:ascii="仿宋" w:hAnsi="仿宋" w:eastAsia="仿宋" w:cs="仿宋"/>
                <w:sz w:val="28"/>
                <w:szCs w:val="28"/>
              </w:rPr>
              <w:t>7.模组支持双电压DC2.8V/DC3.8V或单电压DC4.2V~DC5V供电方式；免工具维护，同时有防呆设计，预防接错电源线短路而导致的烧毁模组行为；</w:t>
            </w:r>
          </w:p>
          <w:p>
            <w:pPr>
              <w:rPr>
                <w:rFonts w:ascii="仿宋" w:hAnsi="仿宋" w:eastAsia="仿宋" w:cs="仿宋"/>
                <w:sz w:val="28"/>
                <w:szCs w:val="28"/>
              </w:rPr>
            </w:pPr>
            <w:r>
              <w:rPr>
                <w:rFonts w:hint="eastAsia" w:ascii="仿宋" w:hAnsi="仿宋" w:eastAsia="仿宋" w:cs="仿宋"/>
                <w:sz w:val="28"/>
                <w:szCs w:val="28"/>
              </w:rPr>
              <w:t>8.色域/色准：≥120% NTSC/△E≤0.9；</w:t>
            </w:r>
          </w:p>
          <w:p>
            <w:pPr>
              <w:rPr>
                <w:rFonts w:ascii="仿宋" w:hAnsi="仿宋" w:eastAsia="仿宋" w:cs="仿宋"/>
                <w:sz w:val="28"/>
                <w:szCs w:val="28"/>
              </w:rPr>
            </w:pPr>
            <w:r>
              <w:rPr>
                <w:rFonts w:hint="eastAsia" w:ascii="仿宋" w:hAnsi="仿宋" w:eastAsia="仿宋" w:cs="仿宋"/>
                <w:sz w:val="28"/>
                <w:szCs w:val="28"/>
              </w:rPr>
              <w:t>9.相对错位偏差（水平/垂直）≤1.0%；LED像素失控率≤1/1500000；</w:t>
            </w:r>
          </w:p>
          <w:p>
            <w:pPr>
              <w:rPr>
                <w:rFonts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rPr>
              <w:tab/>
            </w:r>
            <w:r>
              <w:rPr>
                <w:rFonts w:hint="eastAsia" w:ascii="仿宋" w:hAnsi="仿宋" w:eastAsia="仿宋" w:cs="仿宋"/>
                <w:sz w:val="28"/>
                <w:szCs w:val="28"/>
              </w:rPr>
              <w:t>亮度≥500nit（0-100%无级可调）；亮度均匀性≥989%</w:t>
            </w:r>
            <w:r>
              <w:rPr>
                <w:rFonts w:hint="eastAsia" w:ascii="仿宋" w:hAnsi="仿宋" w:eastAsia="仿宋" w:cs="仿宋"/>
                <w:sz w:val="28"/>
                <w:szCs w:val="28"/>
                <w:lang w:eastAsia="zh-CN"/>
              </w:rPr>
              <w:t>，</w:t>
            </w:r>
            <w:r>
              <w:rPr>
                <w:rFonts w:hint="eastAsia" w:ascii="仿宋" w:hAnsi="仿宋" w:eastAsia="仿宋" w:cs="仿宋"/>
                <w:sz w:val="28"/>
                <w:szCs w:val="28"/>
              </w:rPr>
              <w:t>色度均匀性：±0.001Cx,Cy 之内；</w:t>
            </w:r>
          </w:p>
          <w:p>
            <w:pPr>
              <w:rPr>
                <w:rFonts w:ascii="仿宋" w:hAnsi="仿宋" w:eastAsia="仿宋" w:cs="仿宋"/>
                <w:sz w:val="28"/>
                <w:szCs w:val="28"/>
              </w:rPr>
            </w:pPr>
            <w:r>
              <w:rPr>
                <w:rFonts w:hint="eastAsia" w:ascii="仿宋" w:hAnsi="仿宋" w:eastAsia="仿宋" w:cs="仿宋"/>
                <w:sz w:val="28"/>
                <w:szCs w:val="28"/>
              </w:rPr>
              <w:t>11.采用EPWM 灰阶控制技术提升低灰视觉效果，100%亮度时，16bit灰度；70%亮度，16bit灰度；50%亮度，16bit灰度；20%亮度，14bit灰度，显示画面无单列或单行像素失控现象；支持0-100%亮度时，8-16bits灰度自定义设置；</w:t>
            </w:r>
          </w:p>
          <w:p>
            <w:pPr>
              <w:rPr>
                <w:rFonts w:ascii="仿宋" w:hAnsi="仿宋" w:eastAsia="仿宋" w:cs="仿宋"/>
                <w:sz w:val="28"/>
                <w:szCs w:val="28"/>
              </w:rPr>
            </w:pPr>
            <w:r>
              <w:rPr>
                <w:rFonts w:hint="eastAsia" w:ascii="仿宋" w:hAnsi="仿宋" w:eastAsia="仿宋" w:cs="仿宋"/>
                <w:sz w:val="28"/>
                <w:szCs w:val="28"/>
              </w:rPr>
              <w:t>12.标准6500K，1000</w:t>
            </w:r>
            <w:r>
              <w:rPr>
                <w:rFonts w:hint="eastAsia" w:ascii="仿宋" w:hAnsi="仿宋" w:eastAsia="仿宋" w:cs="仿宋"/>
                <w:sz w:val="28"/>
                <w:szCs w:val="28"/>
                <w:lang w:eastAsia="zh-CN"/>
              </w:rPr>
              <w:t>—</w:t>
            </w:r>
            <w:r>
              <w:rPr>
                <w:rFonts w:hint="eastAsia" w:ascii="仿宋" w:hAnsi="仿宋" w:eastAsia="仿宋" w:cs="仿宋"/>
                <w:sz w:val="28"/>
                <w:szCs w:val="28"/>
              </w:rPr>
              <w:t>13000K 连续可调，调节步长100K，可自定义色温值，色温误差色</w:t>
            </w:r>
            <w:r>
              <w:rPr>
                <w:rFonts w:hint="eastAsia" w:ascii="仿宋" w:hAnsi="仿宋" w:eastAsia="仿宋" w:cs="仿宋"/>
                <w:sz w:val="28"/>
                <w:szCs w:val="28"/>
                <w:lang w:eastAsia="zh-CN"/>
              </w:rPr>
              <w:t>：</w:t>
            </w:r>
            <w:r>
              <w:rPr>
                <w:rFonts w:hint="eastAsia" w:ascii="仿宋" w:hAnsi="仿宋" w:eastAsia="仿宋" w:cs="仿宋"/>
                <w:sz w:val="28"/>
                <w:szCs w:val="28"/>
              </w:rPr>
              <w:t>温为6500K时；100%,75%,50%,25%四档电平白场调节色温误差≤100K；</w:t>
            </w:r>
          </w:p>
          <w:p>
            <w:pPr>
              <w:rPr>
                <w:rFonts w:ascii="仿宋" w:hAnsi="仿宋" w:eastAsia="仿宋" w:cs="仿宋"/>
                <w:sz w:val="28"/>
                <w:szCs w:val="28"/>
              </w:rPr>
            </w:pPr>
            <w:r>
              <w:rPr>
                <w:rFonts w:hint="eastAsia" w:ascii="仿宋" w:hAnsi="仿宋" w:eastAsia="仿宋" w:cs="仿宋"/>
                <w:sz w:val="28"/>
                <w:szCs w:val="28"/>
              </w:rPr>
              <w:t>13.刷新频率≥3840HZ，换帧频率：50Hz&amp;60Hz；</w:t>
            </w:r>
          </w:p>
          <w:p>
            <w:pPr>
              <w:rPr>
                <w:rFonts w:ascii="仿宋" w:hAnsi="仿宋" w:eastAsia="仿宋" w:cs="仿宋"/>
                <w:sz w:val="28"/>
                <w:szCs w:val="28"/>
              </w:rPr>
            </w:pPr>
            <w:r>
              <w:rPr>
                <w:rFonts w:hint="eastAsia" w:ascii="仿宋" w:hAnsi="仿宋" w:eastAsia="仿宋" w:cs="仿宋"/>
                <w:sz w:val="28"/>
                <w:szCs w:val="28"/>
              </w:rPr>
              <w:t>14.水平视角≥165°；垂直视角≥165°；</w:t>
            </w:r>
          </w:p>
          <w:p>
            <w:pPr>
              <w:rPr>
                <w:rFonts w:ascii="仿宋" w:hAnsi="仿宋" w:eastAsia="仿宋" w:cs="仿宋"/>
                <w:sz w:val="28"/>
                <w:szCs w:val="28"/>
              </w:rPr>
            </w:pPr>
            <w:r>
              <w:rPr>
                <w:rFonts w:hint="eastAsia" w:ascii="仿宋" w:hAnsi="仿宋" w:eastAsia="仿宋" w:cs="仿宋"/>
                <w:sz w:val="28"/>
                <w:szCs w:val="28"/>
              </w:rPr>
              <w:t>15.基色主波长误差C级 △λD≤5，亮度误差值在3%，灯芯的波长误差值在±1nm之内；</w:t>
            </w:r>
          </w:p>
          <w:p>
            <w:pPr>
              <w:rPr>
                <w:rFonts w:ascii="仿宋" w:hAnsi="仿宋" w:eastAsia="仿宋" w:cs="仿宋"/>
                <w:sz w:val="28"/>
                <w:szCs w:val="28"/>
              </w:rPr>
            </w:pPr>
            <w:r>
              <w:rPr>
                <w:rFonts w:hint="eastAsia" w:ascii="仿宋" w:hAnsi="仿宋" w:eastAsia="仿宋" w:cs="仿宋"/>
                <w:sz w:val="28"/>
                <w:szCs w:val="28"/>
              </w:rPr>
              <w:t>16.白场色坐标符合SJ/T 11141-2017 5.10.5规定范围，亮度鉴别C级 Bj≥20；</w:t>
            </w:r>
          </w:p>
          <w:p>
            <w:pPr>
              <w:rPr>
                <w:rFonts w:ascii="仿宋" w:hAnsi="仿宋" w:eastAsia="仿宋" w:cs="仿宋"/>
                <w:sz w:val="28"/>
                <w:szCs w:val="28"/>
              </w:rPr>
            </w:pPr>
            <w:r>
              <w:rPr>
                <w:rFonts w:hint="eastAsia" w:ascii="仿宋" w:hAnsi="仿宋" w:eastAsia="仿宋" w:cs="仿宋"/>
                <w:sz w:val="28"/>
                <w:szCs w:val="28"/>
              </w:rPr>
              <w:t>17.人眼视觉健康舒适度VICO指数达到1级；LED显示屏图像主观质量评价等级为优，评分为5分；支持摩尔纹抑制功能，减轻摩尔纹视觉主观效果80%；</w:t>
            </w:r>
          </w:p>
          <w:p>
            <w:pPr>
              <w:rPr>
                <w:rFonts w:ascii="仿宋" w:hAnsi="仿宋" w:eastAsia="仿宋" w:cs="仿宋"/>
                <w:sz w:val="28"/>
                <w:szCs w:val="28"/>
              </w:rPr>
            </w:pPr>
            <w:r>
              <w:rPr>
                <w:rFonts w:hint="eastAsia" w:ascii="仿宋" w:hAnsi="仿宋" w:eastAsia="仿宋" w:cs="仿宋"/>
                <w:sz w:val="28"/>
                <w:szCs w:val="28"/>
              </w:rPr>
              <w:t>18.峰值功耗≤320W/㎡，平均功耗≤107W/㎡，单箱功率≤49W，显示屏黑屏不点亮时功耗≤42W/㎡；</w:t>
            </w:r>
          </w:p>
          <w:p>
            <w:pPr>
              <w:rPr>
                <w:rFonts w:ascii="仿宋" w:hAnsi="仿宋" w:eastAsia="仿宋" w:cs="仿宋"/>
                <w:sz w:val="28"/>
                <w:szCs w:val="28"/>
              </w:rPr>
            </w:pPr>
            <w:r>
              <w:rPr>
                <w:rFonts w:hint="eastAsia" w:ascii="仿宋" w:hAnsi="仿宋" w:eastAsia="仿宋" w:cs="仿宋"/>
                <w:sz w:val="28"/>
                <w:szCs w:val="28"/>
              </w:rPr>
              <w:t>19.支持软硬件调节亮暗线功能：暗线修复、隐亮消除。支持鬼影消除、拖尾消除、低灰偏色补偿、去除坏点、毛毛虫消除、余辉消除、亮度缓慢变亮功能；支持屏体拼缝亮线、暗线校正；</w:t>
            </w:r>
          </w:p>
          <w:p>
            <w:pPr>
              <w:rPr>
                <w:rFonts w:ascii="仿宋" w:hAnsi="仿宋" w:eastAsia="仿宋" w:cs="仿宋"/>
                <w:sz w:val="28"/>
                <w:szCs w:val="28"/>
              </w:rPr>
            </w:pPr>
            <w:r>
              <w:rPr>
                <w:rFonts w:hint="eastAsia" w:ascii="仿宋" w:hAnsi="仿宋" w:eastAsia="仿宋" w:cs="仿宋"/>
                <w:sz w:val="28"/>
                <w:szCs w:val="28"/>
              </w:rPr>
              <w:t>20.支持LED显示屏系统级联板卡自适应功能；</w:t>
            </w:r>
          </w:p>
          <w:p>
            <w:pPr>
              <w:rPr>
                <w:rFonts w:ascii="仿宋" w:hAnsi="仿宋" w:eastAsia="仿宋" w:cs="仿宋"/>
                <w:sz w:val="28"/>
                <w:szCs w:val="28"/>
              </w:rPr>
            </w:pPr>
            <w:r>
              <w:rPr>
                <w:rFonts w:hint="eastAsia" w:ascii="仿宋" w:hAnsi="仿宋" w:eastAsia="仿宋" w:cs="仿宋"/>
                <w:sz w:val="28"/>
                <w:szCs w:val="28"/>
              </w:rPr>
              <w:t>21.具有单点、模块级亮度、色度校正功能，校正后亮度损失＜10%；通过调整流入每个LED的电流控制像素亮度，从而实现整屏一致的亮度；</w:t>
            </w:r>
          </w:p>
          <w:p>
            <w:pPr>
              <w:rPr>
                <w:rFonts w:ascii="仿宋" w:hAnsi="仿宋" w:eastAsia="仿宋" w:cs="仿宋"/>
                <w:sz w:val="28"/>
                <w:szCs w:val="28"/>
              </w:rPr>
            </w:pPr>
            <w:r>
              <w:rPr>
                <w:rFonts w:hint="eastAsia" w:ascii="仿宋" w:hAnsi="仿宋" w:eastAsia="仿宋" w:cs="仿宋"/>
                <w:sz w:val="28"/>
                <w:szCs w:val="28"/>
              </w:rPr>
              <w:t>22.可实时监控显示屏工作状态、温度，具有过温或故障报警功能，发生故障立即发消息到指定邮箱，及时处理；具有工作电压、接收卡、发送</w:t>
            </w:r>
            <w:r>
              <w:rPr>
                <w:rFonts w:hint="eastAsia" w:ascii="仿宋" w:hAnsi="仿宋" w:eastAsia="仿宋" w:cs="仿宋"/>
                <w:sz w:val="28"/>
                <w:szCs w:val="28"/>
                <w:lang w:eastAsia="zh-CN"/>
              </w:rPr>
              <w:t>非工作状态</w:t>
            </w:r>
            <w:r>
              <w:rPr>
                <w:rFonts w:hint="eastAsia" w:ascii="仿宋" w:hAnsi="仿宋" w:eastAsia="仿宋" w:cs="仿宋"/>
                <w:sz w:val="28"/>
                <w:szCs w:val="28"/>
              </w:rPr>
              <w:t>监控功能；</w:t>
            </w:r>
          </w:p>
          <w:p>
            <w:pPr>
              <w:rPr>
                <w:rFonts w:ascii="仿宋" w:hAnsi="仿宋" w:eastAsia="仿宋" w:cs="仿宋"/>
                <w:sz w:val="28"/>
                <w:szCs w:val="28"/>
              </w:rPr>
            </w:pPr>
            <w:r>
              <w:rPr>
                <w:rFonts w:hint="eastAsia" w:ascii="仿宋" w:hAnsi="仿宋" w:eastAsia="仿宋" w:cs="仿宋"/>
                <w:sz w:val="28"/>
                <w:szCs w:val="28"/>
              </w:rPr>
              <w:t>23.具有多点测温系统，均衡散热，防止局部温度过高造成色彩漂移，并提高显示屏寿命；</w:t>
            </w:r>
          </w:p>
          <w:p>
            <w:pPr>
              <w:rPr>
                <w:rFonts w:ascii="仿宋" w:hAnsi="仿宋" w:eastAsia="仿宋" w:cs="仿宋"/>
                <w:sz w:val="28"/>
                <w:szCs w:val="28"/>
              </w:rPr>
            </w:pPr>
            <w:r>
              <w:rPr>
                <w:rFonts w:hint="eastAsia" w:ascii="仿宋" w:hAnsi="仿宋" w:eastAsia="仿宋" w:cs="仿宋"/>
                <w:sz w:val="28"/>
                <w:szCs w:val="28"/>
              </w:rPr>
              <w:t>24.分布式供电，具有电源过压、过流、断电保护以及温度控制系统，提供电源实时温度监控，超出设定温度自动报警，防止过温失效；</w:t>
            </w:r>
          </w:p>
          <w:p>
            <w:pPr>
              <w:rPr>
                <w:rFonts w:ascii="仿宋" w:hAnsi="仿宋" w:eastAsia="仿宋" w:cs="仿宋"/>
                <w:sz w:val="28"/>
                <w:szCs w:val="28"/>
              </w:rPr>
            </w:pPr>
            <w:r>
              <w:rPr>
                <w:rFonts w:hint="eastAsia" w:ascii="仿宋" w:hAnsi="仿宋" w:eastAsia="仿宋" w:cs="仿宋"/>
                <w:sz w:val="28"/>
                <w:szCs w:val="28"/>
              </w:rPr>
              <w:t>25.具有视频降噪、运动补偿、色彩变换等图像处理功能；具有亮度、对比度、色度调节、视觉修正等图像调整功能；LED图像无失真现象；LED图像显示画面无重影和拖影现象，无几何失真和非线性失真；</w:t>
            </w:r>
          </w:p>
          <w:p>
            <w:pPr>
              <w:rPr>
                <w:rFonts w:ascii="仿宋" w:hAnsi="仿宋" w:eastAsia="仿宋" w:cs="仿宋"/>
                <w:sz w:val="28"/>
                <w:szCs w:val="28"/>
              </w:rPr>
            </w:pPr>
            <w:r>
              <w:rPr>
                <w:rFonts w:hint="eastAsia" w:ascii="仿宋" w:hAnsi="仿宋" w:eastAsia="仿宋" w:cs="仿宋"/>
                <w:sz w:val="28"/>
                <w:szCs w:val="28"/>
              </w:rPr>
              <w:t>26.支持任意非标准分辨率信号输入自适应，输出范围内进行缩放，实现最佳分辨率自动匹配，避免屏幕比例和黑边问题的复杂调试；</w:t>
            </w:r>
          </w:p>
          <w:p>
            <w:pPr>
              <w:rPr>
                <w:rFonts w:ascii="仿宋" w:hAnsi="仿宋" w:eastAsia="仿宋" w:cs="仿宋"/>
                <w:sz w:val="28"/>
                <w:szCs w:val="28"/>
              </w:rPr>
            </w:pPr>
            <w:r>
              <w:rPr>
                <w:rFonts w:hint="eastAsia" w:ascii="仿宋" w:hAnsi="仿宋" w:eastAsia="仿宋" w:cs="仿宋"/>
                <w:sz w:val="28"/>
                <w:szCs w:val="28"/>
              </w:rPr>
              <w:t>27.支持LED显示屏OSD及校正智能显示驱动软件V1.0；</w:t>
            </w:r>
          </w:p>
          <w:p>
            <w:pPr>
              <w:rPr>
                <w:rFonts w:ascii="仿宋" w:hAnsi="仿宋" w:eastAsia="仿宋" w:cs="仿宋"/>
                <w:sz w:val="28"/>
                <w:szCs w:val="28"/>
              </w:rPr>
            </w:pPr>
            <w:r>
              <w:rPr>
                <w:rFonts w:hint="eastAsia" w:ascii="仿宋" w:hAnsi="仿宋" w:eastAsia="仿宋" w:cs="仿宋"/>
                <w:sz w:val="28"/>
                <w:szCs w:val="28"/>
              </w:rPr>
              <w:t>28.支持多bin色度校正，校正数据存储在模组里，采用色彩管理系统，在LED控制系统对视频解码后，添加二次过滤显示算法，对显示屏每一个发光二极管进行逐点14位颜色校正；</w:t>
            </w:r>
          </w:p>
          <w:p>
            <w:pPr>
              <w:rPr>
                <w:rFonts w:ascii="仿宋" w:hAnsi="仿宋" w:eastAsia="仿宋" w:cs="仿宋"/>
                <w:sz w:val="28"/>
                <w:szCs w:val="28"/>
              </w:rPr>
            </w:pPr>
            <w:r>
              <w:rPr>
                <w:rFonts w:hint="eastAsia" w:ascii="仿宋" w:hAnsi="仿宋" w:eastAsia="仿宋" w:cs="仿宋"/>
                <w:sz w:val="28"/>
                <w:szCs w:val="28"/>
              </w:rPr>
              <w:t>29.支持无信号输入自动熄屏待机，有信号输入自动唤醒功能；</w:t>
            </w:r>
          </w:p>
          <w:p>
            <w:pPr>
              <w:rPr>
                <w:rFonts w:ascii="仿宋" w:hAnsi="仿宋" w:eastAsia="仿宋" w:cs="仿宋"/>
                <w:sz w:val="28"/>
                <w:szCs w:val="28"/>
              </w:rPr>
            </w:pPr>
            <w:r>
              <w:rPr>
                <w:rFonts w:hint="eastAsia" w:ascii="仿宋" w:hAnsi="仿宋" w:eastAsia="仿宋" w:cs="仿宋"/>
                <w:sz w:val="28"/>
                <w:szCs w:val="28"/>
              </w:rPr>
              <w:t>30.支持UI菜单显示，可调节屏幕参数、亮度、色温，信号、场景切换，开关机控制等，支持在屏幕上显示主要变化信息。支持掌控宝IOS/Android客户端软件控制；</w:t>
            </w:r>
          </w:p>
          <w:p>
            <w:pPr>
              <w:rPr>
                <w:rFonts w:ascii="仿宋" w:hAnsi="仿宋" w:eastAsia="仿宋" w:cs="仿宋"/>
                <w:sz w:val="28"/>
                <w:szCs w:val="28"/>
              </w:rPr>
            </w:pPr>
            <w:r>
              <w:rPr>
                <w:rFonts w:hint="eastAsia" w:ascii="仿宋" w:hAnsi="仿宋" w:eastAsia="仿宋" w:cs="仿宋"/>
                <w:sz w:val="28"/>
                <w:szCs w:val="28"/>
              </w:rPr>
              <w:t>31.带有智能（黑屏）节电功能，开启智能节电功能比没有开启节能50%以上，能源效率值≥3cd/W，睡眠模式功率密度值≤125W/m2；</w:t>
            </w:r>
          </w:p>
          <w:p>
            <w:pPr>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sz w:val="28"/>
                <w:szCs w:val="28"/>
              </w:rPr>
              <w:tab/>
            </w:r>
            <w:r>
              <w:rPr>
                <w:rFonts w:hint="eastAsia" w:ascii="仿宋" w:hAnsi="仿宋" w:eastAsia="仿宋" w:cs="仿宋"/>
                <w:sz w:val="28"/>
                <w:szCs w:val="28"/>
              </w:rPr>
              <w:t>LED显示屏确保</w:t>
            </w:r>
            <w:r>
              <w:rPr>
                <w:rFonts w:hint="eastAsia" w:ascii="仿宋" w:hAnsi="仿宋" w:eastAsia="仿宋" w:cs="仿宋"/>
                <w:sz w:val="28"/>
                <w:szCs w:val="28"/>
                <w:lang w:eastAsia="zh-CN"/>
              </w:rPr>
              <w:t>协议通信</w:t>
            </w:r>
            <w:r>
              <w:rPr>
                <w:rFonts w:hint="eastAsia" w:ascii="仿宋" w:hAnsi="仿宋" w:eastAsia="仿宋" w:cs="仿宋"/>
                <w:sz w:val="28"/>
                <w:szCs w:val="28"/>
              </w:rPr>
              <w:t>及系统运行稳定性，屏体控制器与屏体之间有信号加密传输功能；防电力远程窃密，采用信息相关方式阻止电力通信，采用电子对抗原理，防止电磁3传导辐射泄露有用信息，防止劫持相关控制设备；</w:t>
            </w:r>
          </w:p>
          <w:p>
            <w:pPr>
              <w:rPr>
                <w:rFonts w:ascii="仿宋" w:hAnsi="仿宋" w:eastAsia="仿宋" w:cs="仿宋"/>
                <w:sz w:val="28"/>
                <w:szCs w:val="28"/>
              </w:rPr>
            </w:pPr>
            <w:r>
              <w:rPr>
                <w:rFonts w:hint="eastAsia" w:ascii="仿宋" w:hAnsi="仿宋" w:eastAsia="仿宋" w:cs="仿宋"/>
                <w:sz w:val="28"/>
                <w:szCs w:val="28"/>
              </w:rPr>
              <w:t>33.具备一键除湿功能，屏体长时间没有使用，屏体自动切入除湿模式，有效防止湿气进入灯珠内部导致短路；</w:t>
            </w:r>
          </w:p>
          <w:p>
            <w:pPr>
              <w:rPr>
                <w:rFonts w:ascii="仿宋" w:hAnsi="仿宋" w:eastAsia="仿宋" w:cs="仿宋"/>
                <w:sz w:val="28"/>
                <w:szCs w:val="28"/>
              </w:rPr>
            </w:pPr>
            <w:r>
              <w:rPr>
                <w:rFonts w:hint="eastAsia" w:ascii="仿宋" w:hAnsi="仿宋" w:eastAsia="仿宋" w:cs="仿宋"/>
                <w:sz w:val="28"/>
                <w:szCs w:val="28"/>
              </w:rPr>
              <w:t>34.LED显示屏拼装结构采用环保型铝型材框架安装</w:t>
            </w:r>
            <w:r>
              <w:rPr>
                <w:rFonts w:hint="eastAsia" w:ascii="仿宋" w:hAnsi="仿宋" w:eastAsia="仿宋" w:cs="仿宋"/>
                <w:sz w:val="28"/>
                <w:szCs w:val="28"/>
                <w:lang w:eastAsia="zh-CN"/>
              </w:rPr>
              <w:t>，</w:t>
            </w:r>
            <w:r>
              <w:rPr>
                <w:rFonts w:hint="eastAsia" w:ascii="仿宋" w:hAnsi="仿宋" w:eastAsia="仿宋" w:cs="仿宋"/>
                <w:sz w:val="28"/>
                <w:szCs w:val="28"/>
              </w:rPr>
              <w:t>其框架材料经过严格环保、无毒测试</w:t>
            </w:r>
            <w:r>
              <w:rPr>
                <w:rFonts w:hint="eastAsia" w:ascii="仿宋" w:hAnsi="仿宋" w:eastAsia="仿宋" w:cs="仿宋"/>
                <w:sz w:val="28"/>
                <w:szCs w:val="28"/>
                <w:lang w:eastAsia="zh-CN"/>
              </w:rPr>
              <w:t>，</w:t>
            </w:r>
            <w:r>
              <w:rPr>
                <w:rFonts w:hint="eastAsia" w:ascii="仿宋" w:hAnsi="仿宋" w:eastAsia="仿宋" w:cs="仿宋"/>
                <w:sz w:val="28"/>
                <w:szCs w:val="28"/>
              </w:rPr>
              <w:t>符合国家《GB/T26572-2011》标准限量；</w:t>
            </w:r>
          </w:p>
          <w:p>
            <w:pPr>
              <w:rPr>
                <w:rFonts w:ascii="仿宋" w:hAnsi="仿宋" w:eastAsia="仿宋" w:cs="仿宋"/>
                <w:sz w:val="28"/>
                <w:szCs w:val="28"/>
              </w:rPr>
            </w:pPr>
            <w:r>
              <w:rPr>
                <w:rFonts w:hint="eastAsia" w:ascii="仿宋" w:hAnsi="仿宋" w:eastAsia="仿宋" w:cs="仿宋"/>
                <w:sz w:val="28"/>
                <w:szCs w:val="28"/>
              </w:rPr>
              <w:t>35.产品满足BS476-7表面燃烧测试1级标准；焊盘采用OSP工艺处理，充分保证单模块安装的稳定性和抗氧化性，板材采用玻璃化温度能达到覆铜板≥1500C，PCB满足V-0阻燃等级要求；</w:t>
            </w:r>
          </w:p>
          <w:p>
            <w:pPr>
              <w:rPr>
                <w:rFonts w:ascii="仿宋" w:hAnsi="仿宋" w:eastAsia="仿宋" w:cs="仿宋"/>
                <w:sz w:val="28"/>
                <w:szCs w:val="28"/>
              </w:rPr>
            </w:pPr>
            <w:r>
              <w:rPr>
                <w:rFonts w:hint="eastAsia" w:ascii="仿宋" w:hAnsi="仿宋" w:eastAsia="仿宋" w:cs="仿宋"/>
                <w:sz w:val="28"/>
                <w:szCs w:val="28"/>
              </w:rPr>
              <w:t>36.燃烧烟气毒性指数满足BS6853测试R值≤1；抗震等级满足8级要求；蓝光危害辐亮度≤5.7W/m2/sr；</w:t>
            </w:r>
          </w:p>
          <w:p>
            <w:pPr>
              <w:rPr>
                <w:rFonts w:ascii="仿宋" w:hAnsi="仿宋" w:eastAsia="仿宋" w:cs="仿宋"/>
                <w:sz w:val="28"/>
                <w:szCs w:val="28"/>
              </w:rPr>
            </w:pPr>
            <w:r>
              <w:rPr>
                <w:rFonts w:hint="eastAsia" w:ascii="仿宋" w:hAnsi="仿宋" w:eastAsia="仿宋" w:cs="仿宋"/>
                <w:sz w:val="28"/>
                <w:szCs w:val="28"/>
              </w:rPr>
              <w:t>37.按正常工作状态放入恒定湿热试验箱中，然后将试验箱内温度保持25℃、湿度调节至恒定90%环境中通电工作8h，每小时进行一次检查，并完成4次开关机检测，试验中、试验后样品外观结构和箱体各应用功能应正常；</w:t>
            </w:r>
          </w:p>
          <w:p>
            <w:pPr>
              <w:rPr>
                <w:rFonts w:ascii="仿宋" w:hAnsi="仿宋" w:eastAsia="仿宋" w:cs="仿宋"/>
                <w:sz w:val="28"/>
                <w:szCs w:val="28"/>
              </w:rPr>
            </w:pPr>
            <w:r>
              <w:rPr>
                <w:rFonts w:hint="eastAsia" w:ascii="仿宋" w:hAnsi="仿宋" w:eastAsia="仿宋" w:cs="仿宋"/>
                <w:sz w:val="28"/>
                <w:szCs w:val="28"/>
              </w:rPr>
              <w:t>38.产品防尘满足IP4X等级要求，防冲击满足IK10等级要求；</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LED发送盒</w:t>
            </w:r>
          </w:p>
        </w:tc>
        <w:tc>
          <w:tcPr>
            <w:tcW w:w="6061" w:type="dxa"/>
          </w:tcPr>
          <w:p>
            <w:pPr>
              <w:rPr>
                <w:rFonts w:ascii="仿宋" w:hAnsi="仿宋" w:eastAsia="仿宋" w:cs="仿宋"/>
                <w:sz w:val="28"/>
                <w:szCs w:val="28"/>
              </w:rPr>
            </w:pPr>
            <w:r>
              <w:rPr>
                <w:rFonts w:hint="eastAsia" w:ascii="仿宋" w:hAnsi="仿宋" w:eastAsia="仿宋" w:cs="仿宋"/>
                <w:sz w:val="28"/>
                <w:szCs w:val="28"/>
              </w:rPr>
              <w:t>230W像素点，大外置盒，四路千兆网口输出  输入信号HDMI/DVI</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视频处理器</w:t>
            </w:r>
          </w:p>
        </w:tc>
        <w:tc>
          <w:tcPr>
            <w:tcW w:w="6061" w:type="dxa"/>
          </w:tcPr>
          <w:p>
            <w:pPr>
              <w:rPr>
                <w:rFonts w:ascii="仿宋" w:hAnsi="仿宋" w:eastAsia="仿宋" w:cs="仿宋"/>
                <w:sz w:val="28"/>
                <w:szCs w:val="28"/>
              </w:rPr>
            </w:pPr>
            <w:r>
              <w:rPr>
                <w:rFonts w:hint="eastAsia" w:ascii="仿宋" w:hAnsi="仿宋" w:eastAsia="仿宋" w:cs="仿宋"/>
                <w:sz w:val="28"/>
                <w:szCs w:val="28"/>
              </w:rPr>
              <w:t>1.视频处理器，不含发送卡，5路信号源输入</w:t>
            </w:r>
            <w:r>
              <w:rPr>
                <w:rFonts w:hint="eastAsia" w:ascii="仿宋" w:hAnsi="仿宋" w:eastAsia="仿宋" w:cs="仿宋"/>
                <w:sz w:val="28"/>
                <w:szCs w:val="28"/>
                <w:lang w:eastAsia="zh-CN"/>
              </w:rPr>
              <w:t>(</w:t>
            </w:r>
            <w:r>
              <w:rPr>
                <w:rFonts w:hint="eastAsia" w:ascii="仿宋" w:hAnsi="仿宋" w:eastAsia="仿宋" w:cs="仿宋"/>
                <w:sz w:val="28"/>
                <w:szCs w:val="28"/>
              </w:rPr>
              <w:t>DVI HDMI CVBS VGA)；2.路DVI输出，带载260万，2画面；</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LED播放软件</w:t>
            </w:r>
          </w:p>
        </w:tc>
        <w:tc>
          <w:tcPr>
            <w:tcW w:w="6061" w:type="dxa"/>
          </w:tcPr>
          <w:p>
            <w:pPr>
              <w:rPr>
                <w:rFonts w:ascii="仿宋" w:hAnsi="仿宋" w:eastAsia="仿宋" w:cs="仿宋"/>
                <w:sz w:val="28"/>
                <w:szCs w:val="28"/>
              </w:rPr>
            </w:pPr>
            <w:r>
              <w:rPr>
                <w:rFonts w:hint="eastAsia" w:ascii="仿宋" w:hAnsi="仿宋" w:eastAsia="仿宋" w:cs="仿宋"/>
                <w:sz w:val="28"/>
                <w:szCs w:val="28"/>
              </w:rPr>
              <w:t xml:space="preserve">1.支持多种视频格式、图片、动画、Office文件、文字、时钟、走马灯、天气、计时、温湿度、流媒体、网页、采集卡、摄像头、Rss简讯； </w:t>
            </w:r>
          </w:p>
          <w:p>
            <w:pPr>
              <w:rPr>
                <w:rFonts w:ascii="仿宋" w:hAnsi="仿宋" w:eastAsia="仿宋" w:cs="仿宋"/>
                <w:sz w:val="28"/>
                <w:szCs w:val="28"/>
              </w:rPr>
            </w:pPr>
            <w:r>
              <w:rPr>
                <w:rFonts w:hint="eastAsia" w:ascii="仿宋" w:hAnsi="仿宋" w:eastAsia="仿宋" w:cs="仿宋"/>
                <w:sz w:val="28"/>
                <w:szCs w:val="28"/>
              </w:rPr>
              <w:t>2.丰富的媒体属性：包括透明、背景颜色、背景图片、透明度、音量、显示比例、出入场特效、特效速度、文字颜色、炫彩效果、字体、风格等；</w:t>
            </w:r>
          </w:p>
          <w:p>
            <w:pPr>
              <w:rPr>
                <w:rFonts w:ascii="仿宋" w:hAnsi="仿宋" w:eastAsia="仿宋" w:cs="仿宋"/>
                <w:sz w:val="28"/>
                <w:szCs w:val="28"/>
              </w:rPr>
            </w:pPr>
            <w:r>
              <w:rPr>
                <w:rFonts w:hint="eastAsia" w:ascii="仿宋" w:hAnsi="仿宋" w:eastAsia="仿宋" w:cs="仿宋"/>
                <w:sz w:val="28"/>
                <w:szCs w:val="28"/>
              </w:rPr>
              <w:t>3.页面支持一个或多个窗口；</w:t>
            </w:r>
          </w:p>
          <w:p>
            <w:pPr>
              <w:rPr>
                <w:rFonts w:ascii="仿宋" w:hAnsi="仿宋" w:eastAsia="仿宋" w:cs="仿宋"/>
                <w:sz w:val="28"/>
                <w:szCs w:val="28"/>
              </w:rPr>
            </w:pPr>
            <w:r>
              <w:rPr>
                <w:rFonts w:hint="eastAsia" w:ascii="仿宋" w:hAnsi="仿宋" w:eastAsia="仿宋" w:cs="仿宋"/>
                <w:sz w:val="28"/>
                <w:szCs w:val="28"/>
              </w:rPr>
              <w:t>4.支持多个窗口个数不同的页面按次数或播放时长切换播放，且切换过程平滑无黑帧；</w:t>
            </w:r>
          </w:p>
          <w:p>
            <w:pPr>
              <w:rPr>
                <w:rFonts w:ascii="仿宋" w:hAnsi="仿宋" w:eastAsia="仿宋" w:cs="仿宋"/>
                <w:sz w:val="28"/>
                <w:szCs w:val="28"/>
              </w:rPr>
            </w:pPr>
            <w:r>
              <w:rPr>
                <w:rFonts w:hint="eastAsia" w:ascii="仿宋" w:hAnsi="仿宋" w:eastAsia="仿宋" w:cs="仿宋"/>
                <w:sz w:val="28"/>
                <w:szCs w:val="28"/>
              </w:rPr>
              <w:t>5.可设置不同的日期和时间播放不同的节目页；</w:t>
            </w:r>
          </w:p>
          <w:p>
            <w:pPr>
              <w:rPr>
                <w:rFonts w:ascii="仿宋" w:hAnsi="仿宋" w:eastAsia="仿宋" w:cs="仿宋"/>
                <w:sz w:val="28"/>
                <w:szCs w:val="28"/>
              </w:rPr>
            </w:pPr>
            <w:r>
              <w:rPr>
                <w:rFonts w:hint="eastAsia" w:ascii="仿宋" w:hAnsi="仿宋" w:eastAsia="仿宋" w:cs="仿宋"/>
                <w:sz w:val="28"/>
                <w:szCs w:val="28"/>
              </w:rPr>
              <w:t>6.可实现多台异地显示屏同步播放；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控制电脑</w:t>
            </w:r>
          </w:p>
        </w:tc>
        <w:tc>
          <w:tcPr>
            <w:tcW w:w="6061" w:type="dxa"/>
          </w:tcPr>
          <w:p>
            <w:pPr>
              <w:rPr>
                <w:rFonts w:ascii="仿宋" w:hAnsi="仿宋" w:eastAsia="仿宋" w:cs="仿宋"/>
                <w:sz w:val="28"/>
                <w:szCs w:val="28"/>
              </w:rPr>
            </w:pPr>
            <w:r>
              <w:rPr>
                <w:rFonts w:hint="eastAsia" w:ascii="仿宋" w:hAnsi="仿宋" w:eastAsia="仿宋" w:cs="仿宋"/>
                <w:sz w:val="28"/>
                <w:szCs w:val="28"/>
              </w:rPr>
              <w:t>I5，8G，256G，21.5寸显示器</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钢结构支架</w:t>
            </w:r>
          </w:p>
        </w:tc>
        <w:tc>
          <w:tcPr>
            <w:tcW w:w="6061" w:type="dxa"/>
          </w:tcPr>
          <w:p>
            <w:pPr>
              <w:rPr>
                <w:rFonts w:ascii="仿宋" w:hAnsi="仿宋" w:eastAsia="仿宋" w:cs="仿宋"/>
                <w:sz w:val="28"/>
                <w:szCs w:val="28"/>
              </w:rPr>
            </w:pPr>
            <w:r>
              <w:rPr>
                <w:rFonts w:hint="eastAsia" w:ascii="仿宋" w:hAnsi="仿宋" w:eastAsia="仿宋" w:cs="仿宋"/>
                <w:sz w:val="28"/>
                <w:szCs w:val="28"/>
              </w:rPr>
              <w:t>大屏幕安装配套，要求抗绣，抗腐蚀，稳定牢固，不允许存在安全隐患。</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配电柜</w:t>
            </w:r>
          </w:p>
        </w:tc>
        <w:tc>
          <w:tcPr>
            <w:tcW w:w="6061" w:type="dxa"/>
          </w:tcPr>
          <w:p>
            <w:pPr>
              <w:rPr>
                <w:rFonts w:ascii="仿宋" w:hAnsi="仿宋" w:eastAsia="仿宋" w:cs="仿宋"/>
                <w:sz w:val="28"/>
                <w:szCs w:val="28"/>
              </w:rPr>
            </w:pPr>
            <w:r>
              <w:rPr>
                <w:rFonts w:hint="eastAsia" w:ascii="仿宋" w:hAnsi="仿宋" w:eastAsia="仿宋" w:cs="仿宋"/>
                <w:sz w:val="28"/>
                <w:szCs w:val="28"/>
              </w:rPr>
              <w:t>1.20KW智能配电柜，可支持远程控制</w:t>
            </w:r>
            <w:r>
              <w:rPr>
                <w:rFonts w:hint="eastAsia" w:ascii="仿宋" w:hAnsi="仿宋" w:eastAsia="仿宋" w:cs="仿宋"/>
                <w:sz w:val="28"/>
                <w:szCs w:val="28"/>
                <w:lang w:eastAsia="zh-CN"/>
              </w:rPr>
              <w:t>；</w:t>
            </w:r>
          </w:p>
          <w:p>
            <w:pPr>
              <w:rPr>
                <w:rFonts w:ascii="仿宋" w:hAnsi="仿宋" w:eastAsia="仿宋" w:cs="仿宋"/>
                <w:sz w:val="28"/>
                <w:szCs w:val="28"/>
              </w:rPr>
            </w:pPr>
            <w:r>
              <w:rPr>
                <w:rFonts w:hint="eastAsia" w:ascii="仿宋" w:hAnsi="仿宋" w:eastAsia="仿宋" w:cs="仿宋"/>
                <w:sz w:val="28"/>
                <w:szCs w:val="28"/>
              </w:rPr>
              <w:t>2.满足过流、短路、断路、过压</w:t>
            </w:r>
            <w:r>
              <w:rPr>
                <w:rFonts w:hint="eastAsia" w:ascii="仿宋" w:hAnsi="仿宋" w:eastAsia="仿宋" w:cs="仿宋"/>
                <w:sz w:val="28"/>
                <w:szCs w:val="28"/>
                <w:lang w:eastAsia="zh-CN"/>
              </w:rPr>
              <w:t>/</w:t>
            </w:r>
            <w:r>
              <w:rPr>
                <w:rFonts w:hint="eastAsia" w:ascii="仿宋" w:hAnsi="仿宋" w:eastAsia="仿宋" w:cs="仿宋"/>
                <w:sz w:val="28"/>
                <w:szCs w:val="28"/>
              </w:rPr>
              <w:t>欠压等保护措施</w:t>
            </w:r>
            <w:r>
              <w:rPr>
                <w:rFonts w:hint="eastAsia" w:ascii="仿宋" w:hAnsi="仿宋" w:eastAsia="仿宋" w:cs="仿宋"/>
                <w:sz w:val="28"/>
                <w:szCs w:val="28"/>
                <w:lang w:eastAsia="zh-CN"/>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辅材、配件</w:t>
            </w:r>
          </w:p>
        </w:tc>
        <w:tc>
          <w:tcPr>
            <w:tcW w:w="6061" w:type="dxa"/>
          </w:tcPr>
          <w:p>
            <w:pPr>
              <w:rPr>
                <w:rFonts w:ascii="仿宋" w:hAnsi="仿宋" w:eastAsia="仿宋" w:cs="仿宋"/>
                <w:sz w:val="28"/>
                <w:szCs w:val="28"/>
              </w:rPr>
            </w:pPr>
            <w:r>
              <w:rPr>
                <w:rFonts w:hint="eastAsia" w:ascii="仿宋" w:hAnsi="仿宋" w:eastAsia="仿宋" w:cs="仿宋"/>
                <w:sz w:val="28"/>
                <w:szCs w:val="28"/>
              </w:rPr>
              <w:t>1.同批次模组2张</w:t>
            </w:r>
            <w:r>
              <w:rPr>
                <w:rFonts w:hint="eastAsia" w:ascii="仿宋" w:hAnsi="仿宋" w:eastAsia="仿宋" w:cs="仿宋"/>
                <w:sz w:val="28"/>
                <w:szCs w:val="28"/>
                <w:lang w:eastAsia="zh-CN"/>
              </w:rPr>
              <w:t>，</w:t>
            </w:r>
            <w:r>
              <w:rPr>
                <w:rFonts w:hint="eastAsia" w:ascii="仿宋" w:hAnsi="仿宋" w:eastAsia="仿宋" w:cs="仿宋"/>
                <w:sz w:val="28"/>
                <w:szCs w:val="28"/>
              </w:rPr>
              <w:t>接收卡1张</w:t>
            </w:r>
            <w:r>
              <w:rPr>
                <w:rFonts w:hint="eastAsia" w:ascii="仿宋" w:hAnsi="仿宋" w:eastAsia="仿宋" w:cs="仿宋"/>
                <w:sz w:val="28"/>
                <w:szCs w:val="28"/>
                <w:lang w:eastAsia="zh-CN"/>
              </w:rPr>
              <w:t>，</w:t>
            </w:r>
            <w:r>
              <w:rPr>
                <w:rFonts w:hint="eastAsia" w:ascii="仿宋" w:hAnsi="仿宋" w:eastAsia="仿宋" w:cs="仿宋"/>
                <w:sz w:val="28"/>
                <w:szCs w:val="28"/>
              </w:rPr>
              <w:t>电源1台</w:t>
            </w:r>
          </w:p>
          <w:p>
            <w:pPr>
              <w:rPr>
                <w:rFonts w:ascii="仿宋" w:hAnsi="仿宋" w:eastAsia="仿宋" w:cs="仿宋"/>
                <w:sz w:val="28"/>
                <w:szCs w:val="28"/>
              </w:rPr>
            </w:pPr>
            <w:r>
              <w:rPr>
                <w:rFonts w:hint="eastAsia" w:ascii="仿宋" w:hAnsi="仿宋" w:eastAsia="仿宋" w:cs="仿宋"/>
                <w:sz w:val="28"/>
                <w:szCs w:val="28"/>
              </w:rPr>
              <w:t>2.标书要求中未提到的，本项目中需用到的配套线材，电缆等辅材。</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系统安装联调服务</w:t>
            </w:r>
          </w:p>
        </w:tc>
        <w:tc>
          <w:tcPr>
            <w:tcW w:w="6061" w:type="dxa"/>
          </w:tcPr>
          <w:p>
            <w:pPr>
              <w:rPr>
                <w:rFonts w:ascii="仿宋" w:hAnsi="仿宋" w:eastAsia="仿宋" w:cs="仿宋"/>
                <w:sz w:val="28"/>
                <w:szCs w:val="28"/>
              </w:rPr>
            </w:pPr>
            <w:r>
              <w:rPr>
                <w:rFonts w:hint="eastAsia" w:ascii="仿宋" w:hAnsi="仿宋" w:eastAsia="仿宋" w:cs="仿宋"/>
                <w:sz w:val="28"/>
                <w:szCs w:val="28"/>
              </w:rPr>
              <w:t>1.本次采购货物的包装、运输、装卸、安装、调试、技术指导；</w:t>
            </w:r>
          </w:p>
          <w:p>
            <w:pPr>
              <w:rPr>
                <w:rFonts w:ascii="仿宋" w:hAnsi="仿宋" w:eastAsia="仿宋" w:cs="仿宋"/>
                <w:sz w:val="28"/>
                <w:szCs w:val="28"/>
              </w:rPr>
            </w:pPr>
            <w:r>
              <w:rPr>
                <w:rFonts w:hint="eastAsia" w:ascii="仿宋" w:hAnsi="仿宋" w:eastAsia="仿宋" w:cs="仿宋"/>
                <w:sz w:val="28"/>
                <w:szCs w:val="28"/>
              </w:rPr>
              <w:t>2.培训、咨询、服务、保险、检测、验收合格交付使用之前以及技术和售后等所有服务；</w:t>
            </w:r>
          </w:p>
          <w:p>
            <w:pPr>
              <w:rPr>
                <w:rFonts w:ascii="仿宋" w:hAnsi="仿宋" w:eastAsia="仿宋" w:cs="仿宋"/>
                <w:sz w:val="28"/>
                <w:szCs w:val="28"/>
              </w:rPr>
            </w:pPr>
            <w:r>
              <w:rPr>
                <w:rFonts w:hint="eastAsia" w:ascii="仿宋" w:hAnsi="仿宋" w:eastAsia="仿宋" w:cs="仿宋"/>
                <w:sz w:val="28"/>
                <w:szCs w:val="28"/>
              </w:rPr>
              <w:t>3.中控系统、音响扩声系统的对接及调试；</w:t>
            </w:r>
          </w:p>
          <w:p>
            <w:pPr>
              <w:rPr>
                <w:rFonts w:ascii="仿宋" w:hAnsi="仿宋" w:eastAsia="仿宋" w:cs="仿宋"/>
                <w:sz w:val="28"/>
                <w:szCs w:val="28"/>
              </w:rPr>
            </w:pPr>
            <w:r>
              <w:rPr>
                <w:rFonts w:hint="eastAsia" w:ascii="仿宋" w:hAnsi="仿宋" w:eastAsia="仿宋" w:cs="仿宋"/>
                <w:sz w:val="28"/>
                <w:szCs w:val="28"/>
              </w:rPr>
              <w:t>4.电源及信号走线。</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10寸全频扬声器</w:t>
            </w:r>
          </w:p>
        </w:tc>
        <w:tc>
          <w:tcPr>
            <w:tcW w:w="6061" w:type="dxa"/>
          </w:tcPr>
          <w:p>
            <w:pPr>
              <w:rPr>
                <w:rFonts w:ascii="仿宋" w:hAnsi="仿宋" w:eastAsia="仿宋" w:cs="仿宋"/>
                <w:sz w:val="28"/>
                <w:szCs w:val="28"/>
              </w:rPr>
            </w:pPr>
            <w:r>
              <w:rPr>
                <w:rFonts w:hint="eastAsia" w:ascii="仿宋" w:hAnsi="仿宋" w:eastAsia="仿宋" w:cs="仿宋"/>
                <w:sz w:val="28"/>
                <w:szCs w:val="28"/>
              </w:rPr>
              <w:t>1.高品质15mm中纤板全频扬声器；</w:t>
            </w:r>
          </w:p>
          <w:p>
            <w:pPr>
              <w:rPr>
                <w:rFonts w:ascii="仿宋" w:hAnsi="仿宋" w:eastAsia="仿宋" w:cs="仿宋"/>
                <w:sz w:val="28"/>
                <w:szCs w:val="28"/>
              </w:rPr>
            </w:pPr>
            <w:r>
              <w:rPr>
                <w:rFonts w:hint="eastAsia" w:ascii="仿宋" w:hAnsi="仿宋" w:eastAsia="仿宋" w:cs="仿宋"/>
                <w:sz w:val="28"/>
                <w:szCs w:val="28"/>
              </w:rPr>
              <w:t>2.单元组成：LF：1*10"低音单元/HF：1*1.3"高音单元；</w:t>
            </w:r>
          </w:p>
          <w:p>
            <w:pPr>
              <w:rPr>
                <w:rFonts w:ascii="仿宋" w:hAnsi="仿宋" w:eastAsia="仿宋" w:cs="仿宋"/>
                <w:sz w:val="28"/>
                <w:szCs w:val="28"/>
              </w:rPr>
            </w:pPr>
            <w:r>
              <w:rPr>
                <w:rFonts w:hint="eastAsia" w:ascii="仿宋" w:hAnsi="仿宋" w:eastAsia="仿宋" w:cs="仿宋"/>
                <w:sz w:val="28"/>
                <w:szCs w:val="28"/>
              </w:rPr>
              <w:t>3.额定功率：200W/8Ω；</w:t>
            </w:r>
          </w:p>
          <w:p>
            <w:pPr>
              <w:rPr>
                <w:rFonts w:ascii="仿宋" w:hAnsi="仿宋" w:eastAsia="仿宋" w:cs="仿宋"/>
                <w:sz w:val="28"/>
                <w:szCs w:val="28"/>
              </w:rPr>
            </w:pPr>
            <w:r>
              <w:rPr>
                <w:rFonts w:hint="eastAsia" w:ascii="仿宋" w:hAnsi="仿宋" w:eastAsia="仿宋" w:cs="仿宋"/>
                <w:sz w:val="28"/>
                <w:szCs w:val="28"/>
              </w:rPr>
              <w:t>4.覆盖角度：90°水平*40°垂直；</w:t>
            </w:r>
          </w:p>
          <w:p>
            <w:pPr>
              <w:rPr>
                <w:rFonts w:ascii="仿宋" w:hAnsi="仿宋" w:eastAsia="仿宋" w:cs="仿宋"/>
                <w:sz w:val="28"/>
                <w:szCs w:val="28"/>
              </w:rPr>
            </w:pPr>
            <w:r>
              <w:rPr>
                <w:rFonts w:hint="eastAsia" w:ascii="仿宋" w:hAnsi="仿宋" w:eastAsia="仿宋" w:cs="仿宋"/>
                <w:sz w:val="28"/>
                <w:szCs w:val="28"/>
              </w:rPr>
              <w:t>5.频率范围：70Hz-20KHz；</w:t>
            </w:r>
          </w:p>
          <w:p>
            <w:pPr>
              <w:rPr>
                <w:rFonts w:ascii="仿宋" w:hAnsi="仿宋" w:eastAsia="仿宋" w:cs="仿宋"/>
                <w:sz w:val="28"/>
                <w:szCs w:val="28"/>
              </w:rPr>
            </w:pPr>
            <w:r>
              <w:rPr>
                <w:rFonts w:hint="eastAsia" w:ascii="仿宋" w:hAnsi="仿宋" w:eastAsia="仿宋" w:cs="仿宋"/>
                <w:sz w:val="28"/>
                <w:szCs w:val="28"/>
              </w:rPr>
              <w:t>6.灵敏度</w:t>
            </w:r>
            <w:r>
              <w:rPr>
                <w:rFonts w:hint="eastAsia" w:ascii="仿宋" w:hAnsi="仿宋" w:eastAsia="仿宋" w:cs="仿宋"/>
                <w:sz w:val="28"/>
                <w:szCs w:val="28"/>
                <w:lang w:eastAsia="zh-CN"/>
              </w:rPr>
              <w:t>（</w:t>
            </w:r>
            <w:r>
              <w:rPr>
                <w:rFonts w:hint="eastAsia" w:ascii="仿宋" w:hAnsi="仿宋" w:eastAsia="仿宋" w:cs="仿宋"/>
                <w:sz w:val="28"/>
                <w:szCs w:val="28"/>
              </w:rPr>
              <w:t>1m/1W)：91dB；</w:t>
            </w:r>
          </w:p>
          <w:p>
            <w:pPr>
              <w:rPr>
                <w:rFonts w:ascii="仿宋" w:hAnsi="仿宋" w:eastAsia="仿宋" w:cs="仿宋"/>
                <w:sz w:val="28"/>
                <w:szCs w:val="28"/>
              </w:rPr>
            </w:pPr>
            <w:r>
              <w:rPr>
                <w:rFonts w:hint="eastAsia" w:ascii="仿宋" w:hAnsi="仿宋" w:eastAsia="仿宋" w:cs="仿宋"/>
                <w:sz w:val="28"/>
                <w:szCs w:val="28"/>
              </w:rPr>
              <w:t>7.最大声压级：96dB。</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功率放大器</w:t>
            </w:r>
          </w:p>
        </w:tc>
        <w:tc>
          <w:tcPr>
            <w:tcW w:w="6061" w:type="dxa"/>
          </w:tcPr>
          <w:p>
            <w:pPr>
              <w:rPr>
                <w:rFonts w:ascii="仿宋" w:hAnsi="仿宋" w:eastAsia="仿宋" w:cs="仿宋"/>
                <w:sz w:val="28"/>
                <w:szCs w:val="28"/>
              </w:rPr>
            </w:pPr>
            <w:r>
              <w:rPr>
                <w:rFonts w:hint="eastAsia" w:ascii="仿宋" w:hAnsi="仿宋" w:eastAsia="仿宋" w:cs="仿宋"/>
                <w:sz w:val="28"/>
                <w:szCs w:val="28"/>
              </w:rPr>
              <w:t>1.输出功率：2*400W/8Ω，2*750W/4Ω，2*1100W/2Ω，桥接8Ω 800W，桥接4Ω 1100W；</w:t>
            </w:r>
          </w:p>
          <w:p>
            <w:pPr>
              <w:rPr>
                <w:rFonts w:ascii="仿宋" w:hAnsi="仿宋" w:eastAsia="仿宋" w:cs="仿宋"/>
                <w:sz w:val="28"/>
                <w:szCs w:val="28"/>
              </w:rPr>
            </w:pPr>
            <w:r>
              <w:rPr>
                <w:rFonts w:hint="eastAsia" w:ascii="仿宋" w:hAnsi="仿宋" w:eastAsia="仿宋" w:cs="仿宋"/>
                <w:sz w:val="28"/>
                <w:szCs w:val="28"/>
              </w:rPr>
              <w:t>2.信号输入：平衡插座，XLR插脚</w:t>
            </w:r>
          </w:p>
          <w:p>
            <w:pPr>
              <w:rPr>
                <w:rFonts w:ascii="仿宋" w:hAnsi="仿宋" w:eastAsia="仿宋" w:cs="仿宋"/>
                <w:sz w:val="28"/>
                <w:szCs w:val="28"/>
              </w:rPr>
            </w:pPr>
            <w:r>
              <w:rPr>
                <w:rFonts w:hint="eastAsia" w:ascii="仿宋" w:hAnsi="仿宋" w:eastAsia="仿宋" w:cs="仿宋"/>
                <w:sz w:val="28"/>
                <w:szCs w:val="28"/>
              </w:rPr>
              <w:t>3.信噪比：103dB</w:t>
            </w:r>
          </w:p>
          <w:p>
            <w:pPr>
              <w:rPr>
                <w:rFonts w:ascii="仿宋" w:hAnsi="仿宋" w:eastAsia="仿宋" w:cs="仿宋"/>
                <w:sz w:val="28"/>
                <w:szCs w:val="28"/>
              </w:rPr>
            </w:pPr>
            <w:r>
              <w:rPr>
                <w:rFonts w:hint="eastAsia" w:ascii="仿宋" w:hAnsi="仿宋" w:eastAsia="仿宋" w:cs="仿宋"/>
                <w:sz w:val="28"/>
                <w:szCs w:val="28"/>
              </w:rPr>
              <w:t>4.失真：&lt;0.03%@8Ω1KHz</w:t>
            </w:r>
          </w:p>
          <w:p>
            <w:pPr>
              <w:rPr>
                <w:rFonts w:ascii="仿宋" w:hAnsi="仿宋" w:eastAsia="仿宋" w:cs="仿宋"/>
                <w:sz w:val="28"/>
                <w:szCs w:val="28"/>
              </w:rPr>
            </w:pPr>
            <w:r>
              <w:rPr>
                <w:rFonts w:hint="eastAsia" w:ascii="仿宋" w:hAnsi="仿宋" w:eastAsia="仿宋" w:cs="仿宋"/>
                <w:sz w:val="28"/>
                <w:szCs w:val="28"/>
              </w:rPr>
              <w:t>5.输入阻抗：20KΩ</w:t>
            </w:r>
          </w:p>
          <w:p>
            <w:pPr>
              <w:rPr>
                <w:rFonts w:ascii="仿宋" w:hAnsi="仿宋" w:eastAsia="仿宋" w:cs="仿宋"/>
                <w:sz w:val="28"/>
                <w:szCs w:val="28"/>
              </w:rPr>
            </w:pPr>
            <w:r>
              <w:rPr>
                <w:rFonts w:hint="eastAsia" w:ascii="仿宋" w:hAnsi="仿宋" w:eastAsia="仿宋" w:cs="仿宋"/>
                <w:sz w:val="28"/>
                <w:szCs w:val="28"/>
              </w:rPr>
              <w:t>6.频响范围：35Hz—20KHz</w:t>
            </w:r>
          </w:p>
          <w:p>
            <w:pPr>
              <w:rPr>
                <w:rFonts w:ascii="仿宋" w:hAnsi="仿宋" w:eastAsia="仿宋" w:cs="仿宋"/>
                <w:sz w:val="28"/>
                <w:szCs w:val="28"/>
              </w:rPr>
            </w:pPr>
            <w:r>
              <w:rPr>
                <w:rFonts w:hint="eastAsia" w:ascii="仿宋" w:hAnsi="仿宋" w:eastAsia="仿宋" w:cs="仿宋"/>
                <w:sz w:val="28"/>
                <w:szCs w:val="28"/>
              </w:rPr>
              <w:t>7.阻尼系数</w:t>
            </w:r>
            <w:r>
              <w:rPr>
                <w:rFonts w:hint="eastAsia" w:ascii="仿宋" w:hAnsi="仿宋" w:eastAsia="仿宋" w:cs="仿宋"/>
                <w:sz w:val="28"/>
                <w:szCs w:val="28"/>
                <w:lang w:eastAsia="zh-CN"/>
              </w:rPr>
              <w:t>:</w:t>
            </w:r>
            <w:r>
              <w:rPr>
                <w:rFonts w:hint="eastAsia" w:ascii="仿宋" w:hAnsi="仿宋" w:eastAsia="仿宋" w:cs="仿宋"/>
                <w:sz w:val="28"/>
                <w:szCs w:val="28"/>
              </w:rPr>
              <w:t>400@8ohm</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数字音频矩阵</w:t>
            </w:r>
          </w:p>
        </w:tc>
        <w:tc>
          <w:tcPr>
            <w:tcW w:w="6061" w:type="dxa"/>
          </w:tcPr>
          <w:p>
            <w:pPr>
              <w:rPr>
                <w:rFonts w:ascii="仿宋" w:hAnsi="仿宋" w:eastAsia="仿宋" w:cs="仿宋"/>
                <w:sz w:val="28"/>
                <w:szCs w:val="28"/>
              </w:rPr>
            </w:pPr>
            <w:r>
              <w:rPr>
                <w:rFonts w:hint="eastAsia" w:ascii="仿宋" w:hAnsi="仿宋" w:eastAsia="仿宋" w:cs="仿宋"/>
                <w:sz w:val="28"/>
                <w:szCs w:val="28"/>
              </w:rPr>
              <w:t>1.4进8出的音频处理器，使用最新的第四代SHARC ADSP-21488 400Mhz浮点DSP，具有强大的DSP处理能力；</w:t>
            </w:r>
          </w:p>
          <w:p>
            <w:pPr>
              <w:rPr>
                <w:rFonts w:ascii="仿宋" w:hAnsi="仿宋" w:eastAsia="仿宋" w:cs="仿宋"/>
                <w:sz w:val="28"/>
                <w:szCs w:val="28"/>
              </w:rPr>
            </w:pPr>
            <w:r>
              <w:rPr>
                <w:rFonts w:hint="eastAsia" w:ascii="仿宋" w:hAnsi="仿宋" w:eastAsia="仿宋" w:cs="仿宋"/>
                <w:sz w:val="28"/>
                <w:szCs w:val="28"/>
              </w:rPr>
              <w:t>2.每个输入、输出有16段参数滤波器，增益控制、噪声门功能、RMS压限、内置的粉红/白噪声发生器，以及可调的延时；</w:t>
            </w:r>
          </w:p>
          <w:p>
            <w:pPr>
              <w:rPr>
                <w:rFonts w:ascii="仿宋" w:hAnsi="仿宋" w:eastAsia="仿宋" w:cs="仿宋"/>
                <w:sz w:val="28"/>
                <w:szCs w:val="28"/>
              </w:rPr>
            </w:pPr>
            <w:r>
              <w:rPr>
                <w:rFonts w:hint="eastAsia" w:ascii="仿宋" w:hAnsi="仿宋" w:eastAsia="仿宋" w:cs="仿宋"/>
                <w:sz w:val="28"/>
                <w:szCs w:val="28"/>
              </w:rPr>
              <w:t>3.分频器的斜率从6dB/Oct到48dB/Oct范围内可选，延时步进精度0.02ms，电平增益精度0.1dBu，满足现场精细调节；</w:t>
            </w:r>
          </w:p>
          <w:p>
            <w:pPr>
              <w:rPr>
                <w:rFonts w:ascii="仿宋" w:hAnsi="仿宋" w:eastAsia="仿宋" w:cs="仿宋"/>
                <w:sz w:val="28"/>
                <w:szCs w:val="28"/>
              </w:rPr>
            </w:pPr>
            <w:r>
              <w:rPr>
                <w:rFonts w:hint="eastAsia" w:ascii="仿宋" w:hAnsi="仿宋" w:eastAsia="仿宋" w:cs="仿宋"/>
                <w:sz w:val="28"/>
                <w:szCs w:val="28"/>
              </w:rPr>
              <w:t>4.可通过以太网升级DSP、ARM固件，最大输入电平：18dBu，最大输出电平：18dBu，默认输出电平：0dBu，谐波失真THD+N &lt;0.003%；1kHz@+4dBu&lt;0.0035%；1kHz@+10dBm&lt;0.0035%；</w:t>
            </w:r>
          </w:p>
          <w:p>
            <w:pPr>
              <w:rPr>
                <w:rFonts w:ascii="仿宋" w:hAnsi="仿宋" w:eastAsia="仿宋" w:cs="仿宋"/>
                <w:sz w:val="28"/>
                <w:szCs w:val="28"/>
              </w:rPr>
            </w:pPr>
            <w:r>
              <w:rPr>
                <w:rFonts w:hint="eastAsia" w:ascii="仿宋" w:hAnsi="仿宋" w:eastAsia="仿宋" w:cs="仿宋"/>
                <w:sz w:val="28"/>
                <w:szCs w:val="28"/>
              </w:rPr>
              <w:t>5.频率响应 20Hz-20kHz, +/-0.2dB，输入到输出动态范围 110dB （</w:t>
            </w:r>
            <w:r>
              <w:rPr>
                <w:rFonts w:hint="eastAsia" w:ascii="仿宋" w:hAnsi="仿宋" w:eastAsia="仿宋" w:cs="仿宋"/>
                <w:sz w:val="28"/>
                <w:szCs w:val="28"/>
                <w:lang w:eastAsia="zh-CN"/>
              </w:rPr>
              <w:t>无计</w:t>
            </w:r>
            <w:r>
              <w:rPr>
                <w:rFonts w:hint="eastAsia" w:ascii="仿宋" w:hAnsi="仿宋" w:eastAsia="仿宋" w:cs="仿宋"/>
                <w:sz w:val="28"/>
                <w:szCs w:val="28"/>
              </w:rPr>
              <w:t xml:space="preserve">权），信噪比 -110dB </w:t>
            </w:r>
            <w:r>
              <w:rPr>
                <w:rFonts w:hint="eastAsia" w:ascii="仿宋" w:hAnsi="仿宋" w:eastAsia="仿宋" w:cs="仿宋"/>
                <w:sz w:val="28"/>
                <w:szCs w:val="28"/>
                <w:lang w:eastAsia="zh-CN"/>
              </w:rPr>
              <w:t>无计</w:t>
            </w:r>
            <w:r>
              <w:rPr>
                <w:rFonts w:hint="eastAsia" w:ascii="仿宋" w:hAnsi="仿宋" w:eastAsia="仿宋" w:cs="仿宋"/>
                <w:sz w:val="28"/>
                <w:szCs w:val="28"/>
              </w:rPr>
              <w:t>权，ADC动态范围 CS5361  114dB，DAC动态范围 CS4382A  114dB；</w:t>
            </w:r>
          </w:p>
          <w:p>
            <w:pPr>
              <w:rPr>
                <w:rFonts w:ascii="仿宋" w:hAnsi="仿宋" w:eastAsia="仿宋" w:cs="仿宋"/>
                <w:sz w:val="28"/>
                <w:szCs w:val="28"/>
              </w:rPr>
            </w:pPr>
            <w:r>
              <w:rPr>
                <w:rFonts w:hint="eastAsia" w:ascii="仿宋" w:hAnsi="仿宋" w:eastAsia="仿宋" w:cs="仿宋"/>
                <w:sz w:val="28"/>
                <w:szCs w:val="28"/>
              </w:rPr>
              <w:t>6.采样频率：48K，量化：24Bit，模式存储：32，支持以太网控制，软件支持中英文。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调音台</w:t>
            </w:r>
          </w:p>
        </w:tc>
        <w:tc>
          <w:tcPr>
            <w:tcW w:w="6061" w:type="dxa"/>
          </w:tcPr>
          <w:p>
            <w:pPr>
              <w:rPr>
                <w:rFonts w:ascii="仿宋" w:hAnsi="仿宋" w:eastAsia="仿宋" w:cs="仿宋"/>
                <w:sz w:val="28"/>
                <w:szCs w:val="28"/>
              </w:rPr>
            </w:pPr>
            <w:r>
              <w:rPr>
                <w:rFonts w:hint="eastAsia" w:ascii="仿宋" w:hAnsi="仿宋" w:eastAsia="仿宋" w:cs="仿宋"/>
                <w:sz w:val="28"/>
                <w:szCs w:val="28"/>
              </w:rPr>
              <w:t>1.6路调音台，内置24—bit DSP效果器，48KHz采样频率，36种效果器模式，断电记忆，CD液晶显示；</w:t>
            </w:r>
          </w:p>
          <w:p>
            <w:pPr>
              <w:rPr>
                <w:rFonts w:ascii="仿宋" w:hAnsi="仿宋" w:eastAsia="仿宋" w:cs="仿宋"/>
                <w:sz w:val="28"/>
                <w:szCs w:val="28"/>
              </w:rPr>
            </w:pPr>
            <w:r>
              <w:rPr>
                <w:rFonts w:hint="eastAsia" w:ascii="仿宋" w:hAnsi="仿宋" w:eastAsia="仿宋" w:cs="仿宋"/>
                <w:sz w:val="28"/>
                <w:szCs w:val="28"/>
              </w:rPr>
              <w:t>2.标准双12段电平表，精确显示各种输出电平，外置大容量电源，48V幻象电源，带USB，蓝牙功能；</w:t>
            </w:r>
          </w:p>
          <w:p>
            <w:pPr>
              <w:rPr>
                <w:rFonts w:ascii="仿宋" w:hAnsi="仿宋" w:eastAsia="仿宋" w:cs="仿宋"/>
                <w:sz w:val="28"/>
                <w:szCs w:val="28"/>
              </w:rPr>
            </w:pPr>
            <w:r>
              <w:rPr>
                <w:rFonts w:hint="eastAsia" w:ascii="仿宋" w:hAnsi="仿宋" w:eastAsia="仿宋" w:cs="仿宋"/>
                <w:sz w:val="28"/>
                <w:szCs w:val="28"/>
              </w:rPr>
              <w:t>3.支持2路左右主混合输出、2路编组输出、2路辅助、2路控制监听输出及双轨录音输出、耳机监听输出。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12路电源时序器</w:t>
            </w:r>
          </w:p>
        </w:tc>
        <w:tc>
          <w:tcPr>
            <w:tcW w:w="6061" w:type="dxa"/>
          </w:tcPr>
          <w:p>
            <w:pPr>
              <w:rPr>
                <w:rFonts w:ascii="仿宋" w:hAnsi="仿宋" w:eastAsia="仿宋" w:cs="仿宋"/>
                <w:sz w:val="28"/>
                <w:szCs w:val="28"/>
              </w:rPr>
            </w:pPr>
            <w:r>
              <w:rPr>
                <w:rFonts w:hint="eastAsia" w:ascii="仿宋" w:hAnsi="仿宋" w:eastAsia="仿宋" w:cs="仿宋"/>
                <w:sz w:val="28"/>
                <w:szCs w:val="28"/>
              </w:rPr>
              <w:t>1.采用2寸彩色液晶智能显示窗，实时显示当前电压、日期时间、通道开关状态；</w:t>
            </w:r>
          </w:p>
          <w:p>
            <w:pPr>
              <w:rPr>
                <w:rFonts w:ascii="仿宋" w:hAnsi="仿宋" w:eastAsia="仿宋" w:cs="仿宋"/>
                <w:sz w:val="28"/>
                <w:szCs w:val="28"/>
              </w:rPr>
            </w:pPr>
            <w:r>
              <w:rPr>
                <w:rFonts w:hint="eastAsia" w:ascii="仿宋" w:hAnsi="仿宋" w:eastAsia="仿宋" w:cs="仿宋"/>
                <w:sz w:val="28"/>
                <w:szCs w:val="28"/>
              </w:rPr>
              <w:t>2.定时开关机功能，内置时钟芯片，可根据日期时间设定，无需人为操作；</w:t>
            </w:r>
          </w:p>
          <w:p>
            <w:pPr>
              <w:rPr>
                <w:rFonts w:ascii="仿宋" w:hAnsi="仿宋" w:eastAsia="仿宋" w:cs="仿宋"/>
                <w:sz w:val="28"/>
                <w:szCs w:val="28"/>
              </w:rPr>
            </w:pPr>
            <w:r>
              <w:rPr>
                <w:rFonts w:hint="eastAsia" w:ascii="仿宋" w:hAnsi="仿宋" w:eastAsia="仿宋" w:cs="仿宋"/>
                <w:sz w:val="28"/>
                <w:szCs w:val="28"/>
              </w:rPr>
              <w:t>3.采用8路通道输出，每路延时开启和关闭时间可自由设置；</w:t>
            </w:r>
          </w:p>
          <w:p>
            <w:pPr>
              <w:rPr>
                <w:rFonts w:ascii="仿宋" w:hAnsi="仿宋" w:eastAsia="仿宋" w:cs="仿宋"/>
                <w:sz w:val="28"/>
                <w:szCs w:val="28"/>
              </w:rPr>
            </w:pPr>
            <w:r>
              <w:rPr>
                <w:rFonts w:hint="eastAsia" w:ascii="仿宋" w:hAnsi="仿宋" w:eastAsia="仿宋" w:cs="仿宋"/>
                <w:sz w:val="28"/>
                <w:szCs w:val="28"/>
              </w:rPr>
              <w:t>4.10组设备开关场景数据保存/调用，场景管理应用简单便捷；</w:t>
            </w:r>
          </w:p>
          <w:p>
            <w:pPr>
              <w:rPr>
                <w:rFonts w:ascii="仿宋" w:hAnsi="仿宋" w:eastAsia="仿宋" w:cs="仿宋"/>
                <w:sz w:val="28"/>
                <w:szCs w:val="28"/>
              </w:rPr>
            </w:pPr>
            <w:r>
              <w:rPr>
                <w:rFonts w:hint="eastAsia" w:ascii="仿宋" w:hAnsi="仿宋" w:eastAsia="仿宋" w:cs="仿宋"/>
                <w:sz w:val="28"/>
                <w:szCs w:val="28"/>
              </w:rPr>
              <w:t>5.欠压、超压检测及报警功能，总功率7200W，单路最大功率2860W；</w:t>
            </w:r>
          </w:p>
          <w:p>
            <w:pPr>
              <w:rPr>
                <w:rFonts w:ascii="仿宋" w:hAnsi="仿宋" w:eastAsia="仿宋" w:cs="仿宋"/>
                <w:sz w:val="28"/>
                <w:szCs w:val="28"/>
              </w:rPr>
            </w:pPr>
            <w:r>
              <w:rPr>
                <w:rFonts w:hint="eastAsia" w:ascii="仿宋" w:hAnsi="仿宋" w:eastAsia="仿宋" w:cs="仿宋"/>
                <w:sz w:val="28"/>
                <w:szCs w:val="28"/>
              </w:rPr>
              <w:t>6.支持多台设备级联控制</w:t>
            </w:r>
            <w:r>
              <w:rPr>
                <w:rFonts w:hint="eastAsia" w:ascii="仿宋" w:hAnsi="仿宋" w:eastAsia="仿宋" w:cs="仿宋"/>
                <w:sz w:val="28"/>
                <w:szCs w:val="28"/>
                <w:lang w:eastAsia="zh-CN"/>
              </w:rPr>
              <w:t>，</w:t>
            </w:r>
            <w:r>
              <w:rPr>
                <w:rFonts w:hint="eastAsia" w:ascii="仿宋" w:hAnsi="仿宋" w:eastAsia="仿宋" w:cs="仿宋"/>
                <w:sz w:val="28"/>
                <w:szCs w:val="28"/>
              </w:rPr>
              <w:t>级联状态可自动检测及设置，配置RS232接口；</w:t>
            </w:r>
          </w:p>
          <w:p>
            <w:pPr>
              <w:rPr>
                <w:rFonts w:ascii="仿宋" w:hAnsi="仿宋" w:eastAsia="仿宋" w:cs="仿宋"/>
                <w:sz w:val="28"/>
                <w:szCs w:val="28"/>
              </w:rPr>
            </w:pPr>
            <w:r>
              <w:rPr>
                <w:rFonts w:hint="eastAsia" w:ascii="仿宋" w:hAnsi="仿宋" w:eastAsia="仿宋" w:cs="仿宋"/>
                <w:sz w:val="28"/>
                <w:szCs w:val="28"/>
              </w:rPr>
              <w:t>7.每台设备自带设备编码ID检测和设置，支持面板Lock锁定功能。</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一拖二无线主机</w:t>
            </w:r>
          </w:p>
        </w:tc>
        <w:tc>
          <w:tcPr>
            <w:tcW w:w="6061" w:type="dxa"/>
          </w:tcPr>
          <w:p>
            <w:pPr>
              <w:rPr>
                <w:rFonts w:ascii="仿宋" w:hAnsi="仿宋" w:eastAsia="仿宋" w:cs="仿宋"/>
                <w:sz w:val="28"/>
                <w:szCs w:val="28"/>
              </w:rPr>
            </w:pPr>
            <w:r>
              <w:rPr>
                <w:rFonts w:hint="eastAsia" w:ascii="仿宋" w:hAnsi="仿宋" w:eastAsia="仿宋" w:cs="仿宋"/>
                <w:sz w:val="28"/>
                <w:szCs w:val="28"/>
              </w:rPr>
              <w:t>1.拥有两通道接收信号</w:t>
            </w:r>
            <w:r>
              <w:rPr>
                <w:rFonts w:hint="eastAsia" w:ascii="仿宋" w:hAnsi="仿宋" w:eastAsia="仿宋" w:cs="仿宋"/>
                <w:sz w:val="28"/>
                <w:szCs w:val="28"/>
                <w:lang w:eastAsia="zh-CN"/>
              </w:rPr>
              <w:t>，</w:t>
            </w:r>
            <w:r>
              <w:rPr>
                <w:rFonts w:hint="eastAsia" w:ascii="仿宋" w:hAnsi="仿宋" w:eastAsia="仿宋" w:cs="仿宋"/>
                <w:sz w:val="28"/>
                <w:szCs w:val="28"/>
              </w:rPr>
              <w:t>每通道200个信道可选，UHF频段传输信号，频率范围：500MHz-900MHz；</w:t>
            </w:r>
          </w:p>
          <w:p>
            <w:pPr>
              <w:rPr>
                <w:rFonts w:ascii="仿宋" w:hAnsi="仿宋" w:eastAsia="仿宋" w:cs="仿宋"/>
                <w:sz w:val="28"/>
                <w:szCs w:val="28"/>
              </w:rPr>
            </w:pPr>
            <w:r>
              <w:rPr>
                <w:rFonts w:hint="eastAsia" w:ascii="仿宋" w:hAnsi="仿宋" w:eastAsia="仿宋" w:cs="仿宋"/>
                <w:sz w:val="28"/>
                <w:szCs w:val="28"/>
              </w:rPr>
              <w:t>2.实现同一发射可在两个通道400个信道中互通互用，采用红外自动对</w:t>
            </w:r>
            <w:r>
              <w:rPr>
                <w:rFonts w:hint="eastAsia" w:ascii="仿宋" w:hAnsi="仿宋" w:eastAsia="仿宋" w:cs="仿宋"/>
                <w:sz w:val="28"/>
                <w:szCs w:val="28"/>
                <w:lang w:eastAsia="zh-CN"/>
              </w:rPr>
              <w:t>射频</w:t>
            </w:r>
            <w:r>
              <w:rPr>
                <w:rFonts w:hint="eastAsia" w:ascii="仿宋" w:hAnsi="仿宋" w:eastAsia="仿宋" w:cs="仿宋"/>
                <w:sz w:val="28"/>
                <w:szCs w:val="28"/>
              </w:rPr>
              <w:t>技术，锁相环频率合成振荡方式；</w:t>
            </w:r>
          </w:p>
          <w:p>
            <w:pPr>
              <w:rPr>
                <w:rFonts w:ascii="仿宋" w:hAnsi="仿宋" w:eastAsia="仿宋" w:cs="仿宋"/>
                <w:sz w:val="28"/>
                <w:szCs w:val="28"/>
              </w:rPr>
            </w:pPr>
            <w:r>
              <w:rPr>
                <w:rFonts w:hint="eastAsia" w:ascii="仿宋" w:hAnsi="仿宋" w:eastAsia="仿宋" w:cs="仿宋"/>
                <w:sz w:val="28"/>
                <w:szCs w:val="28"/>
              </w:rPr>
              <w:t>3.设置2条橡胶接收天线，增强接收的信号，设有2个独立SQ电位器、2个平衡输出和1个混合非平衡输出；</w:t>
            </w:r>
          </w:p>
          <w:p>
            <w:pPr>
              <w:rPr>
                <w:rFonts w:ascii="仿宋" w:hAnsi="仿宋" w:eastAsia="仿宋" w:cs="仿宋"/>
                <w:sz w:val="28"/>
                <w:szCs w:val="28"/>
              </w:rPr>
            </w:pPr>
            <w:r>
              <w:rPr>
                <w:rFonts w:hint="eastAsia" w:ascii="仿宋" w:hAnsi="仿宋" w:eastAsia="仿宋" w:cs="仿宋"/>
                <w:sz w:val="28"/>
                <w:szCs w:val="28"/>
              </w:rPr>
              <w:t>4.同一场合可供40套机同时使用，即可同时使用40台接收机和80个发射器，每通道设有独立窗口；</w:t>
            </w:r>
          </w:p>
          <w:p>
            <w:pPr>
              <w:rPr>
                <w:rFonts w:ascii="仿宋" w:hAnsi="仿宋" w:eastAsia="仿宋" w:cs="仿宋"/>
                <w:sz w:val="28"/>
                <w:szCs w:val="28"/>
              </w:rPr>
            </w:pPr>
            <w:r>
              <w:rPr>
                <w:rFonts w:hint="eastAsia" w:ascii="仿宋" w:hAnsi="仿宋" w:eastAsia="仿宋" w:cs="仿宋"/>
                <w:sz w:val="28"/>
                <w:szCs w:val="28"/>
              </w:rPr>
              <w:t>5.各通道配备独立的音量调节旋钮、红外对频信号灯、一键对频按键、频率前后调节按键、通道电源开关按键；</w:t>
            </w:r>
          </w:p>
          <w:p>
            <w:pPr>
              <w:rPr>
                <w:rFonts w:ascii="仿宋" w:hAnsi="仿宋" w:eastAsia="仿宋" w:cs="仿宋"/>
                <w:sz w:val="28"/>
                <w:szCs w:val="28"/>
              </w:rPr>
            </w:pPr>
            <w:r>
              <w:rPr>
                <w:rFonts w:hint="eastAsia" w:ascii="仿宋" w:hAnsi="仿宋" w:eastAsia="仿宋" w:cs="仿宋"/>
                <w:sz w:val="28"/>
                <w:szCs w:val="28"/>
              </w:rPr>
              <w:t>6.振荡方式</w:t>
            </w:r>
            <w:r>
              <w:rPr>
                <w:rFonts w:hint="eastAsia" w:ascii="仿宋" w:hAnsi="仿宋" w:eastAsia="仿宋" w:cs="仿宋"/>
                <w:sz w:val="28"/>
                <w:szCs w:val="28"/>
                <w:lang w:eastAsia="zh-CN"/>
              </w:rPr>
              <w:t>：</w:t>
            </w:r>
            <w:r>
              <w:rPr>
                <w:rFonts w:hint="eastAsia" w:ascii="仿宋" w:hAnsi="仿宋" w:eastAsia="仿宋" w:cs="仿宋"/>
                <w:sz w:val="28"/>
                <w:szCs w:val="28"/>
              </w:rPr>
              <w:t>锁相环频率合成，频率范围：UHF500MHz～900MHz，频率稳定性：±0.001%，最大频率偏：±50KHz；</w:t>
            </w:r>
          </w:p>
          <w:p>
            <w:pPr>
              <w:rPr>
                <w:rFonts w:ascii="仿宋" w:hAnsi="仿宋" w:eastAsia="仿宋" w:cs="仿宋"/>
                <w:sz w:val="28"/>
                <w:szCs w:val="28"/>
              </w:rPr>
            </w:pPr>
            <w:r>
              <w:rPr>
                <w:rFonts w:hint="eastAsia" w:ascii="仿宋" w:hAnsi="仿宋" w:eastAsia="仿宋" w:cs="仿宋"/>
                <w:sz w:val="28"/>
                <w:szCs w:val="28"/>
              </w:rPr>
              <w:t>7.FM调制方式，信噪比</w:t>
            </w:r>
            <w:r>
              <w:rPr>
                <w:rFonts w:hint="eastAsia" w:ascii="仿宋" w:hAnsi="仿宋" w:eastAsia="仿宋" w:cs="仿宋"/>
                <w:sz w:val="28"/>
                <w:szCs w:val="28"/>
                <w:lang w:eastAsia="zh-CN"/>
              </w:rPr>
              <w:t>〉</w:t>
            </w:r>
            <w:r>
              <w:rPr>
                <w:rFonts w:hint="eastAsia" w:ascii="仿宋" w:hAnsi="仿宋" w:eastAsia="仿宋" w:cs="仿宋"/>
                <w:sz w:val="28"/>
                <w:szCs w:val="28"/>
              </w:rPr>
              <w:t>105dB，失真度</w:t>
            </w:r>
            <w:r>
              <w:rPr>
                <w:rFonts w:hint="eastAsia" w:ascii="仿宋" w:hAnsi="仿宋" w:eastAsia="仿宋" w:cs="仿宋"/>
                <w:sz w:val="28"/>
                <w:szCs w:val="28"/>
                <w:lang w:eastAsia="zh-CN"/>
              </w:rPr>
              <w:t>〈</w:t>
            </w:r>
            <w:r>
              <w:rPr>
                <w:rFonts w:hint="eastAsia" w:ascii="仿宋" w:hAnsi="仿宋" w:eastAsia="仿宋" w:cs="仿宋"/>
                <w:sz w:val="28"/>
                <w:szCs w:val="28"/>
              </w:rPr>
              <w:t>0.5%@1KHz，灵敏度1.2/UV @S/N=12dB，音频输出：独立0～400mV、混合0～300mV。</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2" w:type="dxa"/>
            <w:vMerge w:val="continue"/>
            <w:vAlign w:val="center"/>
          </w:tcPr>
          <w:p>
            <w:pPr>
              <w:jc w:val="center"/>
              <w:rPr>
                <w:rFonts w:ascii="仿宋" w:hAnsi="仿宋" w:eastAsia="仿宋" w:cs="仿宋"/>
                <w:b/>
                <w:bCs/>
                <w:sz w:val="28"/>
                <w:szCs w:val="28"/>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无线手持话筒</w:t>
            </w:r>
          </w:p>
        </w:tc>
        <w:tc>
          <w:tcPr>
            <w:tcW w:w="6061" w:type="dxa"/>
          </w:tcPr>
          <w:p>
            <w:pPr>
              <w:rPr>
                <w:rFonts w:ascii="仿宋" w:hAnsi="仿宋" w:eastAsia="仿宋" w:cs="仿宋"/>
                <w:sz w:val="28"/>
                <w:szCs w:val="28"/>
              </w:rPr>
            </w:pPr>
            <w:r>
              <w:rPr>
                <w:rFonts w:hint="eastAsia" w:ascii="仿宋" w:hAnsi="仿宋" w:eastAsia="仿宋" w:cs="仿宋"/>
                <w:sz w:val="28"/>
                <w:szCs w:val="28"/>
              </w:rPr>
              <w:t>1.载波频率：UHF 500MHz～900MHz，频率稳定度：±25KHz，信噪比</w:t>
            </w:r>
            <w:r>
              <w:rPr>
                <w:rFonts w:hint="eastAsia" w:ascii="仿宋" w:hAnsi="仿宋" w:eastAsia="仿宋" w:cs="仿宋"/>
                <w:sz w:val="28"/>
                <w:szCs w:val="28"/>
                <w:lang w:eastAsia="zh-CN"/>
              </w:rPr>
              <w:t>：</w:t>
            </w:r>
            <w:r>
              <w:rPr>
                <w:rFonts w:hint="eastAsia" w:ascii="仿宋" w:hAnsi="仿宋" w:eastAsia="仿宋" w:cs="仿宋"/>
                <w:sz w:val="28"/>
                <w:szCs w:val="28"/>
              </w:rPr>
              <w:t>105dB；</w:t>
            </w:r>
          </w:p>
          <w:p>
            <w:pPr>
              <w:rPr>
                <w:rFonts w:ascii="仿宋" w:hAnsi="仿宋" w:eastAsia="仿宋" w:cs="仿宋"/>
                <w:sz w:val="28"/>
                <w:szCs w:val="28"/>
              </w:rPr>
            </w:pPr>
            <w:r>
              <w:rPr>
                <w:rFonts w:hint="eastAsia" w:ascii="仿宋" w:hAnsi="仿宋" w:eastAsia="仿宋" w:cs="仿宋"/>
                <w:sz w:val="28"/>
                <w:szCs w:val="28"/>
              </w:rPr>
              <w:t>2.邻频干扰比</w:t>
            </w:r>
            <w:r>
              <w:rPr>
                <w:rFonts w:hint="eastAsia" w:ascii="仿宋" w:hAnsi="仿宋" w:eastAsia="仿宋" w:cs="仿宋"/>
                <w:sz w:val="28"/>
                <w:szCs w:val="28"/>
                <w:lang w:eastAsia="zh-CN"/>
              </w:rPr>
              <w:t>：</w:t>
            </w:r>
            <w:r>
              <w:rPr>
                <w:rFonts w:hint="eastAsia" w:ascii="仿宋" w:hAnsi="仿宋" w:eastAsia="仿宋" w:cs="仿宋"/>
                <w:sz w:val="28"/>
                <w:szCs w:val="28"/>
              </w:rPr>
              <w:t>80dB，动态范围：≥100dB，类型：动圈式，单一指向性；</w:t>
            </w:r>
          </w:p>
          <w:p>
            <w:pPr>
              <w:rPr>
                <w:rFonts w:ascii="仿宋" w:hAnsi="仿宋" w:eastAsia="仿宋" w:cs="仿宋"/>
                <w:sz w:val="28"/>
                <w:szCs w:val="28"/>
              </w:rPr>
            </w:pPr>
            <w:r>
              <w:rPr>
                <w:rFonts w:hint="eastAsia" w:ascii="仿宋" w:hAnsi="仿宋" w:eastAsia="仿宋" w:cs="仿宋"/>
                <w:sz w:val="28"/>
                <w:szCs w:val="28"/>
              </w:rPr>
              <w:t>3.频率响应：40Hz～20KHz，话筒灵敏度：-45±2dB@1KHz，话筒耗电量：100mA。</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2支</w:t>
            </w:r>
          </w:p>
        </w:tc>
      </w:tr>
    </w:tbl>
    <w:p>
      <w:pPr>
        <w:spacing w:line="360" w:lineRule="auto"/>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2.5 智慧朗读空间（朗读亭）</w:t>
      </w:r>
    </w:p>
    <w:tbl>
      <w:tblPr>
        <w:tblStyle w:val="3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85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pPr>
              <w:jc w:val="center"/>
              <w:rPr>
                <w:rFonts w:ascii="仿宋" w:hAnsi="仿宋" w:eastAsia="仿宋" w:cs="仿宋"/>
                <w:b/>
                <w:bCs/>
                <w:sz w:val="28"/>
                <w:szCs w:val="28"/>
              </w:rPr>
            </w:pPr>
            <w:r>
              <w:rPr>
                <w:rFonts w:hint="eastAsia" w:ascii="仿宋" w:hAnsi="仿宋" w:eastAsia="仿宋" w:cs="仿宋"/>
                <w:b/>
                <w:sz w:val="28"/>
                <w:szCs w:val="28"/>
              </w:rPr>
              <w:t>智慧朗读空间</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rPr>
                <w:rFonts w:ascii="仿宋" w:hAnsi="仿宋" w:eastAsia="仿宋" w:cs="仿宋"/>
                <w:b/>
                <w:sz w:val="28"/>
                <w:szCs w:val="28"/>
              </w:rPr>
            </w:pPr>
            <w:r>
              <w:rPr>
                <w:rFonts w:hint="eastAsia" w:ascii="仿宋" w:hAnsi="仿宋" w:eastAsia="仿宋" w:cs="仿宋"/>
                <w:b/>
                <w:sz w:val="28"/>
                <w:szCs w:val="28"/>
              </w:rPr>
              <w:t>一、系统</w:t>
            </w:r>
          </w:p>
          <w:p>
            <w:pPr>
              <w:rPr>
                <w:rFonts w:ascii="仿宋" w:hAnsi="仿宋" w:eastAsia="仿宋" w:cs="仿宋"/>
                <w:sz w:val="28"/>
                <w:szCs w:val="28"/>
              </w:rPr>
            </w:pPr>
            <w:r>
              <w:rPr>
                <w:rFonts w:hint="eastAsia" w:ascii="仿宋" w:hAnsi="仿宋" w:eastAsia="仿宋" w:cs="仿宋"/>
                <w:sz w:val="28"/>
                <w:szCs w:val="28"/>
              </w:rPr>
              <w:t>1，基于1920*1080分辨率大屏安卓触摸一体机研发，软件运行环境为Android5.1以上系统。实现终端素材朗读、自由朗读等功能。</w:t>
            </w:r>
          </w:p>
          <w:p>
            <w:pPr>
              <w:rPr>
                <w:rFonts w:ascii="仿宋" w:hAnsi="仿宋" w:eastAsia="仿宋" w:cs="仿宋"/>
                <w:sz w:val="28"/>
                <w:szCs w:val="28"/>
              </w:rPr>
            </w:pPr>
            <w:r>
              <w:rPr>
                <w:rFonts w:hint="eastAsia" w:ascii="仿宋" w:hAnsi="仿宋" w:eastAsia="仿宋" w:cs="仿宋"/>
                <w:sz w:val="28"/>
                <w:szCs w:val="28"/>
              </w:rPr>
              <w:t>2.支持远程定时更新，支持一键更新，减少管理成本。</w:t>
            </w:r>
          </w:p>
          <w:p>
            <w:pPr>
              <w:rPr>
                <w:rFonts w:ascii="仿宋" w:hAnsi="仿宋" w:eastAsia="仿宋" w:cs="仿宋"/>
                <w:b/>
                <w:sz w:val="28"/>
                <w:szCs w:val="28"/>
              </w:rPr>
            </w:pPr>
            <w:r>
              <w:rPr>
                <w:rFonts w:hint="eastAsia" w:ascii="仿宋" w:hAnsi="仿宋" w:eastAsia="仿宋" w:cs="仿宋"/>
                <w:b/>
                <w:sz w:val="28"/>
                <w:szCs w:val="28"/>
              </w:rPr>
              <w:t>二、朗读亭资源</w:t>
            </w:r>
          </w:p>
          <w:p>
            <w:pPr>
              <w:rPr>
                <w:rFonts w:ascii="仿宋" w:hAnsi="仿宋" w:eastAsia="仿宋" w:cs="仿宋"/>
                <w:sz w:val="28"/>
                <w:szCs w:val="28"/>
              </w:rPr>
            </w:pPr>
            <w:r>
              <w:rPr>
                <w:rFonts w:hint="eastAsia" w:ascii="仿宋" w:hAnsi="仿宋" w:eastAsia="仿宋" w:cs="仿宋"/>
                <w:sz w:val="28"/>
                <w:szCs w:val="28"/>
              </w:rPr>
              <w:t>1.提供优质的文章类的朗读资源，主要划分为六大类：唐诗宋词、经典文学选段、亲子儿童、段子、诗歌散文、外语名篇，共计31000篇以上。</w:t>
            </w:r>
          </w:p>
          <w:p>
            <w:pPr>
              <w:rPr>
                <w:rFonts w:ascii="仿宋" w:hAnsi="仿宋" w:eastAsia="仿宋" w:cs="仿宋"/>
                <w:sz w:val="28"/>
                <w:szCs w:val="28"/>
              </w:rPr>
            </w:pPr>
            <w:r>
              <w:rPr>
                <w:rFonts w:hint="eastAsia" w:ascii="仿宋" w:hAnsi="仿宋" w:eastAsia="仿宋" w:cs="仿宋"/>
                <w:sz w:val="28"/>
                <w:szCs w:val="28"/>
              </w:rPr>
              <w:t>2.提供专业音频范文500+，专业朗读范文，供读者学习朗读技巧，提升朗读水平；</w:t>
            </w:r>
          </w:p>
          <w:p>
            <w:pPr>
              <w:rPr>
                <w:rFonts w:ascii="仿宋" w:hAnsi="仿宋" w:eastAsia="仿宋" w:cs="仿宋"/>
                <w:sz w:val="28"/>
                <w:szCs w:val="28"/>
              </w:rPr>
            </w:pPr>
            <w:r>
              <w:rPr>
                <w:rFonts w:hint="eastAsia" w:ascii="仿宋" w:hAnsi="仿宋" w:eastAsia="仿宋" w:cs="仿宋"/>
                <w:sz w:val="28"/>
                <w:szCs w:val="28"/>
              </w:rPr>
              <w:t>3.提供100+四六级英语词汇、短句素材资源。</w:t>
            </w:r>
          </w:p>
          <w:p>
            <w:pPr>
              <w:rPr>
                <w:rFonts w:ascii="仿宋" w:hAnsi="仿宋" w:eastAsia="仿宋" w:cs="仿宋"/>
                <w:sz w:val="28"/>
                <w:szCs w:val="28"/>
              </w:rPr>
            </w:pPr>
            <w:r>
              <w:rPr>
                <w:rFonts w:hint="eastAsia" w:ascii="仿宋" w:hAnsi="仿宋" w:eastAsia="仿宋" w:cs="仿宋"/>
                <w:sz w:val="28"/>
                <w:szCs w:val="28"/>
              </w:rPr>
              <w:t>4.唐诗宋词都带有现代文译文，英文作品必须带译文。</w:t>
            </w:r>
          </w:p>
          <w:p>
            <w:pPr>
              <w:rPr>
                <w:rFonts w:ascii="仿宋" w:hAnsi="仿宋" w:eastAsia="仿宋" w:cs="仿宋"/>
                <w:b/>
                <w:sz w:val="28"/>
                <w:szCs w:val="28"/>
              </w:rPr>
            </w:pPr>
            <w:r>
              <w:rPr>
                <w:rFonts w:hint="eastAsia" w:ascii="仿宋" w:hAnsi="仿宋" w:eastAsia="仿宋" w:cs="仿宋"/>
                <w:b/>
                <w:sz w:val="28"/>
                <w:szCs w:val="28"/>
              </w:rPr>
              <w:t>三、应用功能</w:t>
            </w:r>
          </w:p>
          <w:p>
            <w:pPr>
              <w:rPr>
                <w:rFonts w:ascii="仿宋" w:hAnsi="仿宋" w:eastAsia="仿宋" w:cs="仿宋"/>
                <w:sz w:val="28"/>
                <w:szCs w:val="28"/>
              </w:rPr>
            </w:pPr>
            <w:r>
              <w:rPr>
                <w:rFonts w:hint="eastAsia" w:ascii="仿宋" w:hAnsi="仿宋" w:eastAsia="仿宋" w:cs="仿宋"/>
                <w:sz w:val="28"/>
                <w:szCs w:val="28"/>
              </w:rPr>
              <w:t>1.朗读亭首页包括用户Logo展示，热门资源分类、推荐展示等。</w:t>
            </w:r>
          </w:p>
          <w:p>
            <w:pPr>
              <w:rPr>
                <w:rFonts w:ascii="仿宋" w:hAnsi="仿宋" w:eastAsia="仿宋" w:cs="仿宋"/>
                <w:sz w:val="28"/>
                <w:szCs w:val="28"/>
              </w:rPr>
            </w:pPr>
            <w:r>
              <w:rPr>
                <w:rFonts w:hint="eastAsia" w:ascii="仿宋" w:hAnsi="仿宋" w:eastAsia="仿宋" w:cs="仿宋"/>
                <w:sz w:val="28"/>
                <w:szCs w:val="28"/>
              </w:rPr>
              <w:t>2.支持资源搜索功能。支持关键字查询（标题）、点击搜索时可列出热门搜索和最近搜索名称。</w:t>
            </w:r>
          </w:p>
          <w:p>
            <w:pPr>
              <w:rPr>
                <w:rFonts w:ascii="仿宋" w:hAnsi="仿宋" w:eastAsia="仿宋" w:cs="仿宋"/>
                <w:sz w:val="28"/>
                <w:szCs w:val="28"/>
              </w:rPr>
            </w:pPr>
            <w:r>
              <w:rPr>
                <w:rFonts w:hint="eastAsia" w:ascii="仿宋" w:hAnsi="仿宋" w:eastAsia="仿宋" w:cs="仿宋"/>
                <w:sz w:val="28"/>
                <w:szCs w:val="28"/>
              </w:rPr>
              <w:t>3.支持自由朗读功能。读者可自带作品进行朗读。</w:t>
            </w:r>
          </w:p>
          <w:p>
            <w:pPr>
              <w:rPr>
                <w:rFonts w:ascii="仿宋" w:hAnsi="仿宋" w:eastAsia="仿宋" w:cs="仿宋"/>
                <w:sz w:val="28"/>
                <w:szCs w:val="28"/>
              </w:rPr>
            </w:pPr>
            <w:r>
              <w:rPr>
                <w:rFonts w:hint="eastAsia" w:ascii="仿宋" w:hAnsi="仿宋" w:eastAsia="仿宋" w:cs="仿宋"/>
                <w:sz w:val="28"/>
                <w:szCs w:val="28"/>
              </w:rPr>
              <w:t>4.朗读作品支持背景音的乐选择，支持麦克风和耳机音量调节。5.朗读作品时，上方屏幕显示滚动字幕，支持语速调节，完成后可在终端试听、可自主选择公开朗读作品（需审核通过后才可在终端显示）或保持私有作品。</w:t>
            </w:r>
          </w:p>
          <w:p>
            <w:pPr>
              <w:rPr>
                <w:rFonts w:ascii="仿宋" w:hAnsi="仿宋" w:eastAsia="仿宋" w:cs="仿宋"/>
                <w:sz w:val="28"/>
                <w:szCs w:val="28"/>
              </w:rPr>
            </w:pPr>
            <w:r>
              <w:rPr>
                <w:rFonts w:hint="eastAsia" w:ascii="仿宋" w:hAnsi="仿宋" w:eastAsia="仿宋" w:cs="仿宋"/>
                <w:sz w:val="28"/>
                <w:szCs w:val="28"/>
              </w:rPr>
              <w:t>6.支持故障申报功能。点击故障申报，弹窗列出常见的故障类型和其他描述以供读者进行申报提交。</w:t>
            </w:r>
          </w:p>
          <w:p>
            <w:pPr>
              <w:rPr>
                <w:rFonts w:ascii="仿宋" w:hAnsi="仿宋" w:eastAsia="仿宋" w:cs="仿宋"/>
                <w:sz w:val="28"/>
                <w:szCs w:val="28"/>
              </w:rPr>
            </w:pPr>
            <w:r>
              <w:rPr>
                <w:rFonts w:hint="eastAsia" w:ascii="仿宋" w:hAnsi="仿宋" w:eastAsia="仿宋" w:cs="仿宋"/>
                <w:sz w:val="28"/>
                <w:szCs w:val="28"/>
              </w:rPr>
              <w:t>7.支持微信公众号（服务号）扫码</w:t>
            </w:r>
            <w:r>
              <w:rPr>
                <w:rFonts w:hint="eastAsia" w:ascii="仿宋" w:hAnsi="仿宋" w:eastAsia="仿宋" w:cs="仿宋"/>
                <w:sz w:val="28"/>
                <w:szCs w:val="28"/>
                <w:lang w:eastAsia="zh-CN"/>
              </w:rPr>
              <w:t>登录</w:t>
            </w:r>
            <w:r>
              <w:rPr>
                <w:rFonts w:hint="eastAsia" w:ascii="仿宋" w:hAnsi="仿宋" w:eastAsia="仿宋" w:cs="仿宋"/>
                <w:sz w:val="28"/>
                <w:szCs w:val="28"/>
              </w:rPr>
              <w:t>，同时关注公众号，用户登录后可自由选择素材进行朗读，完成作品后，可在微信公众号上进行朗读作品的查看、试听、发布等操作。作品的完成、审核、报名等状态均可发送通知至公众号提醒读者。亦可转发分享至朋友圈、进行点赞等操作。</w:t>
            </w:r>
          </w:p>
          <w:p>
            <w:pPr>
              <w:rPr>
                <w:rFonts w:ascii="仿宋" w:hAnsi="仿宋" w:eastAsia="仿宋" w:cs="仿宋"/>
                <w:sz w:val="28"/>
                <w:szCs w:val="28"/>
              </w:rPr>
            </w:pPr>
            <w:r>
              <w:rPr>
                <w:rFonts w:hint="eastAsia" w:ascii="仿宋" w:hAnsi="仿宋" w:eastAsia="仿宋" w:cs="仿宋"/>
                <w:sz w:val="28"/>
                <w:szCs w:val="28"/>
              </w:rPr>
              <w:t>8.支持个人作品中心，在朗读亭可看到自己草稿箱作品、已发布的作品和参赛作品等。可对作品进行发布、删除等操作。</w:t>
            </w:r>
          </w:p>
          <w:p>
            <w:pPr>
              <w:rPr>
                <w:rFonts w:ascii="仿宋" w:hAnsi="仿宋" w:eastAsia="仿宋" w:cs="仿宋"/>
                <w:b/>
                <w:sz w:val="28"/>
                <w:szCs w:val="28"/>
              </w:rPr>
            </w:pPr>
            <w:r>
              <w:rPr>
                <w:rFonts w:hint="eastAsia" w:ascii="仿宋" w:hAnsi="仿宋" w:eastAsia="仿宋" w:cs="仿宋"/>
                <w:b/>
                <w:sz w:val="28"/>
                <w:szCs w:val="28"/>
              </w:rPr>
              <w:t>四、个性化服务</w:t>
            </w:r>
          </w:p>
          <w:p>
            <w:pPr>
              <w:rPr>
                <w:rFonts w:ascii="仿宋" w:hAnsi="仿宋" w:eastAsia="仿宋" w:cs="仿宋"/>
                <w:sz w:val="28"/>
                <w:szCs w:val="28"/>
              </w:rPr>
            </w:pPr>
            <w:r>
              <w:rPr>
                <w:rFonts w:hint="eastAsia" w:ascii="仿宋" w:hAnsi="仿宋" w:eastAsia="仿宋" w:cs="仿宋"/>
                <w:sz w:val="28"/>
                <w:szCs w:val="28"/>
              </w:rPr>
              <w:t>1.朗读亭终端系统支持定制显示单位名称、logo、宣传视频、待机画面等，可将购买单位的名称和logo配置到程序中。通过管理后台，可任意修改待机画面以及显示屏幕上方的宣传视频，随时满足图书馆的个性化需求。</w:t>
            </w:r>
          </w:p>
          <w:p>
            <w:pPr>
              <w:rPr>
                <w:rFonts w:ascii="仿宋" w:hAnsi="仿宋" w:eastAsia="仿宋" w:cs="仿宋"/>
                <w:sz w:val="28"/>
                <w:szCs w:val="28"/>
              </w:rPr>
            </w:pPr>
            <w:r>
              <w:rPr>
                <w:rFonts w:hint="eastAsia" w:ascii="仿宋" w:hAnsi="仿宋" w:eastAsia="仿宋" w:cs="仿宋"/>
                <w:sz w:val="28"/>
                <w:szCs w:val="28"/>
              </w:rPr>
              <w:t>2.能够无缝对接馆内自有公众号（需为服务号），实现扫码登录朗读亭，进行作品查看、试听、发布等操作。</w:t>
            </w:r>
          </w:p>
          <w:p>
            <w:pPr>
              <w:rPr>
                <w:rFonts w:ascii="仿宋" w:hAnsi="仿宋" w:eastAsia="仿宋" w:cs="仿宋"/>
                <w:sz w:val="28"/>
                <w:szCs w:val="28"/>
              </w:rPr>
            </w:pPr>
            <w:r>
              <w:rPr>
                <w:rFonts w:hint="eastAsia" w:ascii="仿宋" w:hAnsi="仿宋" w:eastAsia="仿宋" w:cs="仿宋"/>
                <w:sz w:val="28"/>
                <w:szCs w:val="28"/>
              </w:rPr>
              <w:t>3.朗读亭终端支持发布朗读亭活动，用户可以创建朗读活动，在朗读亭终端进行展示，以供读者报名参加活动。可在活动中查看活动作品排行榜，全国榜和机构排行榜，支持试听、投票功能</w:t>
            </w:r>
          </w:p>
          <w:p>
            <w:pPr>
              <w:rPr>
                <w:rFonts w:ascii="仿宋" w:hAnsi="仿宋" w:eastAsia="仿宋" w:cs="仿宋"/>
                <w:sz w:val="28"/>
                <w:szCs w:val="28"/>
              </w:rPr>
            </w:pPr>
            <w:r>
              <w:rPr>
                <w:rFonts w:hint="eastAsia" w:ascii="仿宋" w:hAnsi="仿宋" w:eastAsia="仿宋" w:cs="仿宋"/>
                <w:sz w:val="28"/>
                <w:szCs w:val="28"/>
              </w:rPr>
              <w:t>4.朗读亭活动可展示至微信公众号上，用户可以进行查看活动、朗读参赛作品等。</w:t>
            </w:r>
          </w:p>
          <w:p>
            <w:pPr>
              <w:rPr>
                <w:rFonts w:ascii="仿宋" w:hAnsi="仿宋" w:eastAsia="仿宋" w:cs="仿宋"/>
                <w:sz w:val="28"/>
                <w:szCs w:val="28"/>
              </w:rPr>
            </w:pPr>
            <w:r>
              <w:rPr>
                <w:rFonts w:hint="eastAsia" w:ascii="仿宋" w:hAnsi="仿宋" w:eastAsia="仿宋" w:cs="仿宋"/>
                <w:sz w:val="28"/>
                <w:szCs w:val="28"/>
              </w:rPr>
              <w:t>5.支持借阅卡刷卡登录/账号登录朗读亭，从而进行作品朗读等相关功能。</w:t>
            </w:r>
          </w:p>
          <w:p>
            <w:pPr>
              <w:rPr>
                <w:rFonts w:ascii="仿宋" w:hAnsi="仿宋" w:eastAsia="仿宋" w:cs="仿宋"/>
                <w:sz w:val="28"/>
                <w:szCs w:val="28"/>
              </w:rPr>
            </w:pPr>
            <w:r>
              <w:rPr>
                <w:rFonts w:hint="eastAsia" w:ascii="仿宋" w:hAnsi="仿宋" w:eastAsia="仿宋" w:cs="仿宋"/>
                <w:sz w:val="28"/>
                <w:szCs w:val="28"/>
              </w:rPr>
              <w:t>6.支持用户自定义上传朗读资源进行朗读，资源包括不限于文本、音频、绘本图片等。</w:t>
            </w:r>
          </w:p>
          <w:p>
            <w:pPr>
              <w:rPr>
                <w:rFonts w:ascii="仿宋" w:hAnsi="仿宋" w:eastAsia="仿宋" w:cs="仿宋"/>
                <w:sz w:val="28"/>
                <w:szCs w:val="28"/>
              </w:rPr>
            </w:pPr>
            <w:r>
              <w:rPr>
                <w:rFonts w:hint="eastAsia" w:ascii="仿宋" w:hAnsi="仿宋" w:eastAsia="仿宋" w:cs="仿宋"/>
                <w:sz w:val="28"/>
                <w:szCs w:val="28"/>
              </w:rPr>
              <w:t>7.支持在公众号进行个人作品管理或家长绑定朗读卡，同步作品卡中的朗读数据到移动端中</w:t>
            </w:r>
          </w:p>
          <w:p>
            <w:pPr>
              <w:rPr>
                <w:rFonts w:ascii="仿宋" w:hAnsi="仿宋" w:eastAsia="仿宋" w:cs="仿宋"/>
                <w:b/>
                <w:sz w:val="28"/>
                <w:szCs w:val="28"/>
              </w:rPr>
            </w:pPr>
            <w:r>
              <w:rPr>
                <w:rFonts w:hint="eastAsia" w:ascii="仿宋" w:hAnsi="仿宋" w:eastAsia="仿宋" w:cs="仿宋"/>
                <w:b/>
                <w:sz w:val="28"/>
                <w:szCs w:val="28"/>
              </w:rPr>
              <w:t>五、后台管理</w:t>
            </w:r>
          </w:p>
          <w:p>
            <w:pPr>
              <w:rPr>
                <w:rFonts w:ascii="仿宋" w:hAnsi="仿宋" w:eastAsia="仿宋" w:cs="仿宋"/>
                <w:b/>
                <w:sz w:val="28"/>
                <w:szCs w:val="28"/>
              </w:rPr>
            </w:pPr>
            <w:r>
              <w:rPr>
                <w:rFonts w:hint="eastAsia" w:ascii="仿宋" w:hAnsi="仿宋" w:eastAsia="仿宋" w:cs="仿宋"/>
                <w:sz w:val="28"/>
                <w:szCs w:val="28"/>
              </w:rPr>
              <w:t>1.需提供用户管理后台。图书馆可以自行管理朗读亭设备，主要包括终端管理、资源管理、作品管理、数据统计等四大管理模块。</w:t>
            </w:r>
          </w:p>
          <w:p>
            <w:pPr>
              <w:rPr>
                <w:rFonts w:ascii="仿宋" w:hAnsi="仿宋" w:eastAsia="仿宋" w:cs="仿宋"/>
                <w:sz w:val="28"/>
                <w:szCs w:val="28"/>
              </w:rPr>
            </w:pPr>
            <w:r>
              <w:rPr>
                <w:rFonts w:hint="eastAsia" w:ascii="仿宋" w:hAnsi="仿宋" w:eastAsia="仿宋" w:cs="仿宋"/>
                <w:sz w:val="28"/>
                <w:szCs w:val="28"/>
              </w:rPr>
              <w:t>2.支持终端管理：主要包括设备基本信息、在线状态、自动开关机设置、故障上报、授权时间范围等，可对设备展示内容进行管理（LOGO、名称、宣传视频、待机图片）等。</w:t>
            </w:r>
          </w:p>
          <w:p>
            <w:pPr>
              <w:rPr>
                <w:rFonts w:ascii="仿宋" w:hAnsi="仿宋" w:eastAsia="仿宋" w:cs="仿宋"/>
                <w:sz w:val="28"/>
                <w:szCs w:val="28"/>
              </w:rPr>
            </w:pPr>
            <w:r>
              <w:rPr>
                <w:rFonts w:hint="eastAsia" w:ascii="仿宋" w:hAnsi="仿宋" w:eastAsia="仿宋" w:cs="仿宋"/>
                <w:sz w:val="28"/>
                <w:szCs w:val="28"/>
              </w:rPr>
              <w:t>3.支持资源管理：管理当前朗读素材资源，可自定义上传本地资源进行朗读展示，资源</w:t>
            </w:r>
            <w:r>
              <w:rPr>
                <w:rFonts w:hint="eastAsia" w:ascii="仿宋" w:hAnsi="仿宋" w:eastAsia="仿宋" w:cs="仿宋"/>
                <w:sz w:val="28"/>
                <w:szCs w:val="28"/>
                <w:lang w:eastAsia="zh-CN"/>
              </w:rPr>
              <w:t>分为</w:t>
            </w:r>
            <w:r>
              <w:rPr>
                <w:rFonts w:hint="eastAsia" w:ascii="仿宋" w:hAnsi="仿宋" w:eastAsia="仿宋" w:cs="仿宋"/>
                <w:sz w:val="28"/>
                <w:szCs w:val="28"/>
              </w:rPr>
              <w:t>公有和</w:t>
            </w:r>
            <w:r>
              <w:rPr>
                <w:rFonts w:hint="eastAsia" w:ascii="仿宋" w:hAnsi="仿宋" w:eastAsia="仿宋" w:cs="仿宋"/>
                <w:sz w:val="28"/>
                <w:szCs w:val="28"/>
                <w:lang w:eastAsia="zh-CN"/>
              </w:rPr>
              <w:t>私有</w:t>
            </w:r>
            <w:r>
              <w:rPr>
                <w:rFonts w:hint="eastAsia" w:ascii="仿宋" w:hAnsi="仿宋" w:eastAsia="仿宋" w:cs="仿宋"/>
                <w:sz w:val="28"/>
                <w:szCs w:val="28"/>
              </w:rPr>
              <w:t>两种形式。</w:t>
            </w:r>
          </w:p>
          <w:p>
            <w:pPr>
              <w:rPr>
                <w:rFonts w:ascii="仿宋" w:hAnsi="仿宋" w:eastAsia="仿宋" w:cs="仿宋"/>
                <w:sz w:val="28"/>
                <w:szCs w:val="28"/>
              </w:rPr>
            </w:pPr>
            <w:r>
              <w:rPr>
                <w:rFonts w:hint="eastAsia" w:ascii="仿宋" w:hAnsi="仿宋" w:eastAsia="仿宋" w:cs="仿宋"/>
                <w:sz w:val="28"/>
                <w:szCs w:val="28"/>
              </w:rPr>
              <w:t>4.支持作品管理：朗读作品的查看、审核等，可查看作品的用户信息。</w:t>
            </w:r>
          </w:p>
          <w:p>
            <w:pPr>
              <w:rPr>
                <w:rFonts w:ascii="仿宋" w:hAnsi="仿宋" w:eastAsia="仿宋" w:cs="仿宋"/>
                <w:sz w:val="28"/>
                <w:szCs w:val="28"/>
              </w:rPr>
            </w:pPr>
            <w:r>
              <w:rPr>
                <w:rFonts w:hint="eastAsia" w:ascii="仿宋" w:hAnsi="仿宋" w:eastAsia="仿宋" w:cs="仿宋"/>
                <w:sz w:val="28"/>
                <w:szCs w:val="28"/>
              </w:rPr>
              <w:t>5支持数据统计：统计维度包括1</w:t>
            </w:r>
            <w:r>
              <w:rPr>
                <w:rFonts w:hint="eastAsia" w:ascii="仿宋" w:hAnsi="仿宋" w:eastAsia="仿宋" w:cs="仿宋"/>
                <w:sz w:val="28"/>
                <w:szCs w:val="28"/>
                <w:lang w:eastAsia="zh-CN"/>
              </w:rPr>
              <w:t>）</w:t>
            </w:r>
            <w:r>
              <w:rPr>
                <w:rFonts w:hint="eastAsia" w:ascii="仿宋" w:hAnsi="仿宋" w:eastAsia="仿宋" w:cs="仿宋"/>
                <w:sz w:val="28"/>
                <w:szCs w:val="28"/>
              </w:rPr>
              <w:t>对设备的状态监控，设备总数、在线设备数；2</w:t>
            </w:r>
            <w:r>
              <w:rPr>
                <w:rFonts w:hint="eastAsia" w:ascii="仿宋" w:hAnsi="仿宋" w:eastAsia="仿宋" w:cs="仿宋"/>
                <w:sz w:val="28"/>
                <w:szCs w:val="28"/>
                <w:lang w:eastAsia="zh-CN"/>
              </w:rPr>
              <w:t>）</w:t>
            </w:r>
            <w:r>
              <w:rPr>
                <w:rFonts w:hint="eastAsia" w:ascii="仿宋" w:hAnsi="仿宋" w:eastAsia="仿宋" w:cs="仿宋"/>
                <w:sz w:val="28"/>
                <w:szCs w:val="28"/>
              </w:rPr>
              <w:t>总用户数、日增用户数、周增用户数、月增用户数；3</w:t>
            </w:r>
            <w:r>
              <w:rPr>
                <w:rFonts w:hint="eastAsia" w:ascii="仿宋" w:hAnsi="仿宋" w:eastAsia="仿宋" w:cs="仿宋"/>
                <w:sz w:val="28"/>
                <w:szCs w:val="28"/>
                <w:lang w:eastAsia="zh-CN"/>
              </w:rPr>
              <w:t>）</w:t>
            </w:r>
            <w:r>
              <w:rPr>
                <w:rFonts w:hint="eastAsia" w:ascii="仿宋" w:hAnsi="仿宋" w:eastAsia="仿宋" w:cs="仿宋"/>
                <w:sz w:val="28"/>
                <w:szCs w:val="28"/>
              </w:rPr>
              <w:t>最近7天用户点击次数、朗读次数、分享次数；待审核作品数、作品举报数；4</w:t>
            </w:r>
            <w:r>
              <w:rPr>
                <w:rFonts w:hint="eastAsia" w:ascii="仿宋" w:hAnsi="仿宋" w:eastAsia="仿宋" w:cs="仿宋"/>
                <w:sz w:val="28"/>
                <w:szCs w:val="28"/>
                <w:lang w:eastAsia="zh-CN"/>
              </w:rPr>
              <w:t>）</w:t>
            </w:r>
            <w:r>
              <w:rPr>
                <w:rFonts w:hint="eastAsia" w:ascii="仿宋" w:hAnsi="仿宋" w:eastAsia="仿宋" w:cs="仿宋"/>
                <w:sz w:val="28"/>
                <w:szCs w:val="28"/>
              </w:rPr>
              <w:t>热门文章top10的统计排行，作品分享top10的统计排行，作品播放top10的统计排行，作品点赞top10的排行等。</w:t>
            </w:r>
          </w:p>
          <w:p>
            <w:pPr>
              <w:rPr>
                <w:rFonts w:ascii="仿宋" w:hAnsi="仿宋" w:eastAsia="仿宋" w:cs="仿宋"/>
                <w:sz w:val="28"/>
                <w:szCs w:val="28"/>
              </w:rPr>
            </w:pPr>
            <w:r>
              <w:rPr>
                <w:rFonts w:hint="eastAsia" w:ascii="仿宋" w:hAnsi="仿宋" w:eastAsia="仿宋" w:cs="仿宋"/>
                <w:sz w:val="28"/>
                <w:szCs w:val="28"/>
              </w:rPr>
              <w:t>6.支持读者管理：为了保证朗读亭的合理使用，避免被部分读者长期占用，要求后台支持最长朗读时间设置以及使用间隔设置，设置的时间参数包含30分钟，60分钟不等，可根据用户需求进行灵活设置。</w:t>
            </w:r>
          </w:p>
          <w:p>
            <w:pPr>
              <w:rPr>
                <w:rFonts w:ascii="仿宋" w:hAnsi="仿宋" w:eastAsia="仿宋" w:cs="仿宋"/>
                <w:sz w:val="28"/>
                <w:szCs w:val="28"/>
              </w:rPr>
            </w:pPr>
            <w:r>
              <w:rPr>
                <w:rFonts w:hint="eastAsia" w:ascii="仿宋" w:hAnsi="仿宋" w:eastAsia="仿宋" w:cs="仿宋"/>
                <w:sz w:val="28"/>
                <w:szCs w:val="28"/>
              </w:rPr>
              <w:t>7.支持活动管理，支持创建朗读活动，可指定参赛用户的朗读素材分类，对活动进行上架到朗读亭或下架操作。可在后台查看参赛用户信息和参赛作品信息。</w:t>
            </w:r>
          </w:p>
          <w:p>
            <w:pPr>
              <w:rPr>
                <w:rFonts w:ascii="仿宋" w:hAnsi="仿宋" w:eastAsia="仿宋" w:cs="仿宋"/>
                <w:sz w:val="28"/>
                <w:szCs w:val="28"/>
              </w:rPr>
            </w:pPr>
          </w:p>
        </w:tc>
        <w:tc>
          <w:tcPr>
            <w:tcW w:w="85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jc w:val="center"/>
              <w:rPr>
                <w:rFonts w:ascii="仿宋" w:hAnsi="仿宋" w:eastAsia="仿宋" w:cs="仿宋"/>
                <w:b/>
                <w:sz w:val="28"/>
                <w:szCs w:val="28"/>
              </w:rPr>
            </w:pP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硬件参数</w:t>
            </w:r>
          </w:p>
        </w:tc>
        <w:tc>
          <w:tcPr>
            <w:tcW w:w="5953" w:type="dxa"/>
          </w:tcPr>
          <w:p>
            <w:pPr>
              <w:autoSpaceDE w:val="0"/>
              <w:autoSpaceDN w:val="0"/>
              <w:jc w:val="left"/>
              <w:rPr>
                <w:rFonts w:ascii="仿宋" w:hAnsi="仿宋" w:eastAsia="仿宋" w:cs="仿宋"/>
                <w:sz w:val="28"/>
                <w:szCs w:val="28"/>
              </w:rPr>
            </w:pPr>
            <w:r>
              <w:rPr>
                <w:rFonts w:hint="eastAsia" w:ascii="仿宋" w:hAnsi="仿宋" w:eastAsia="仿宋" w:cs="仿宋"/>
                <w:sz w:val="28"/>
                <w:szCs w:val="28"/>
              </w:rPr>
              <w:t>1.整机组成：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设备主体：朗读亭1 个</w:t>
            </w:r>
            <w:r>
              <w:rPr>
                <w:rFonts w:hint="eastAsia" w:ascii="仿宋" w:hAnsi="仿宋" w:eastAsia="仿宋" w:cs="仿宋"/>
                <w:sz w:val="28"/>
                <w:szCs w:val="28"/>
                <w:lang w:eastAsia="zh-CN"/>
              </w:rPr>
              <w:t>（</w:t>
            </w:r>
            <w:r>
              <w:rPr>
                <w:rFonts w:hint="eastAsia" w:ascii="仿宋" w:hAnsi="仿宋" w:eastAsia="仿宋" w:cs="仿宋"/>
                <w:sz w:val="28"/>
                <w:szCs w:val="28"/>
              </w:rPr>
              <w:t>含门禁系统、通风系统，灯光、射灯，玻璃、钣金框体，贴纸</w:t>
            </w:r>
            <w:r>
              <w:rPr>
                <w:rFonts w:hint="eastAsia" w:ascii="仿宋" w:hAnsi="仿宋" w:eastAsia="仿宋" w:cs="仿宋"/>
                <w:sz w:val="28"/>
                <w:szCs w:val="28"/>
                <w:lang w:eastAsia="zh-CN"/>
              </w:rPr>
              <w:t>）</w:t>
            </w:r>
            <w:r>
              <w:rPr>
                <w:rFonts w:hint="eastAsia" w:ascii="仿宋" w:hAnsi="仿宋" w:eastAsia="仿宋" w:cs="仿宋"/>
                <w:sz w:val="28"/>
                <w:szCs w:val="28"/>
              </w:rPr>
              <w:t>；</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功能主件：触摸点播系统（屏）1 个；影像字幕显示屏1 个；</w:t>
            </w:r>
            <w:r>
              <w:rPr>
                <w:rFonts w:hint="eastAsia" w:ascii="仿宋" w:hAnsi="仿宋" w:eastAsia="仿宋" w:cs="仿宋"/>
                <w:sz w:val="28"/>
                <w:szCs w:val="28"/>
                <w:lang w:eastAsia="zh-CN"/>
              </w:rPr>
              <w:t>主控板</w:t>
            </w:r>
            <w:r>
              <w:rPr>
                <w:rFonts w:hint="eastAsia" w:ascii="仿宋" w:hAnsi="仿宋" w:eastAsia="仿宋" w:cs="仿宋"/>
                <w:sz w:val="28"/>
                <w:szCs w:val="28"/>
              </w:rPr>
              <w:t>1 个（含安卓主板、视频音频主板等）；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 xml:space="preserve">设备附件：专业麦克风2 个；专业监听耳机2 个；遥控器1 个；复古座椅2 个；小吧台2 个。高清监控摄像头1个。 </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2.规格尺寸：</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产品尺寸</w:t>
            </w:r>
            <w:r>
              <w:rPr>
                <w:rFonts w:hint="eastAsia" w:ascii="仿宋" w:hAnsi="仿宋" w:eastAsia="仿宋" w:cs="仿宋"/>
                <w:sz w:val="28"/>
                <w:szCs w:val="28"/>
                <w:lang w:eastAsia="zh-CN"/>
              </w:rPr>
              <w:t>：</w:t>
            </w:r>
            <w:r>
              <w:rPr>
                <w:rFonts w:hint="eastAsia" w:ascii="仿宋" w:hAnsi="仿宋" w:eastAsia="仿宋" w:cs="仿宋"/>
                <w:sz w:val="28"/>
                <w:szCs w:val="28"/>
              </w:rPr>
              <w:t xml:space="preserve">长（L）1.460 X 宽（W）1.460 X 高（H）2.785[m] </w:t>
            </w:r>
            <w:r>
              <w:rPr>
                <w:rFonts w:hint="eastAsia" w:ascii="仿宋" w:hAnsi="仿宋" w:eastAsia="仿宋" w:cs="仿宋"/>
                <w:sz w:val="28"/>
                <w:szCs w:val="28"/>
                <w:lang w:eastAsia="zh-CN"/>
              </w:rPr>
              <w:t>（</w:t>
            </w:r>
            <w:r>
              <w:rPr>
                <w:rFonts w:hint="eastAsia" w:ascii="仿宋" w:hAnsi="仿宋" w:eastAsia="仿宋" w:cs="仿宋"/>
                <w:sz w:val="28"/>
                <w:szCs w:val="28"/>
              </w:rPr>
              <w:t>不低于</w:t>
            </w:r>
            <w:r>
              <w:rPr>
                <w:rFonts w:hint="eastAsia" w:ascii="仿宋" w:hAnsi="仿宋" w:eastAsia="仿宋" w:cs="仿宋"/>
                <w:sz w:val="28"/>
                <w:szCs w:val="28"/>
                <w:lang w:eastAsia="zh-CN"/>
              </w:rPr>
              <w:t>）</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额定电源：AC220V  50HZ</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ab/>
            </w:r>
            <w:r>
              <w:rPr>
                <w:rFonts w:hint="eastAsia" w:ascii="仿宋" w:hAnsi="仿宋" w:eastAsia="仿宋" w:cs="仿宋"/>
                <w:sz w:val="28"/>
                <w:szCs w:val="28"/>
              </w:rPr>
              <w:t>额定功率：整机为1200W</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ab/>
            </w:r>
            <w:r>
              <w:rPr>
                <w:rFonts w:hint="eastAsia" w:ascii="仿宋" w:hAnsi="仿宋" w:eastAsia="仿宋" w:cs="仿宋"/>
                <w:sz w:val="28"/>
                <w:szCs w:val="28"/>
              </w:rPr>
              <w:t>显示部分：主显示器不低于32寸，分辨率不低于1920*1080；触摸屏不低于21.5寸，分辨率不低于1920*1080</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ab/>
            </w:r>
            <w:r>
              <w:rPr>
                <w:rFonts w:hint="eastAsia" w:ascii="仿宋" w:hAnsi="仿宋" w:eastAsia="仿宋" w:cs="仿宋"/>
                <w:sz w:val="28"/>
                <w:szCs w:val="28"/>
              </w:rPr>
              <w:t>网络：支持无线 和有线</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3.显示屏规格参数</w:t>
            </w:r>
            <w:r>
              <w:rPr>
                <w:rFonts w:hint="eastAsia" w:ascii="仿宋" w:hAnsi="仿宋" w:eastAsia="仿宋" w:cs="仿宋"/>
                <w:sz w:val="28"/>
                <w:szCs w:val="28"/>
              </w:rPr>
              <w:tab/>
            </w:r>
          </w:p>
          <w:p>
            <w:pPr>
              <w:autoSpaceDE w:val="0"/>
              <w:autoSpaceDN w:val="0"/>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面板尺寸：不低于32英寸    </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整体尺寸：不低于723.6*420.3mm</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显示区域：不低于702*394mm</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分辨率：不低于1920×1080</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输入电压：220V</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扫描频率：60Hz</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LED寿命：不低于50000h</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液晶显示</w:t>
            </w:r>
            <w:r>
              <w:rPr>
                <w:rFonts w:hint="eastAsia" w:ascii="仿宋" w:hAnsi="仿宋" w:eastAsia="仿宋" w:cs="仿宋"/>
                <w:sz w:val="28"/>
                <w:szCs w:val="28"/>
              </w:rPr>
              <w:t>面板参数</w:t>
            </w:r>
          </w:p>
          <w:p>
            <w:pPr>
              <w:autoSpaceDE w:val="0"/>
              <w:autoSpaceDN w:val="0"/>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屏幕尺寸：不低于21.5英寸    </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分辨率：不低于1920×1080</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显示区域：不低于476.64*268.11mm</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外观尺寸：不低于526*317mm</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对比度：不低于3000:1</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lang w:eastAsia="zh-CN"/>
              </w:rPr>
              <w:t>显示</w:t>
            </w:r>
            <w:r>
              <w:rPr>
                <w:rFonts w:hint="eastAsia" w:ascii="仿宋" w:hAnsi="仿宋" w:eastAsia="仿宋" w:cs="仿宋"/>
                <w:sz w:val="28"/>
                <w:szCs w:val="28"/>
              </w:rPr>
              <w:t>颜色：不低于16.7M（8-bit）</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可视角度：不低于89/89/89/89（Typ.）</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响应时间：不高于5ms</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5.触摸屏参数</w:t>
            </w:r>
            <w:r>
              <w:rPr>
                <w:rFonts w:hint="eastAsia" w:ascii="仿宋" w:hAnsi="仿宋" w:eastAsia="仿宋" w:cs="仿宋"/>
                <w:sz w:val="28"/>
                <w:szCs w:val="28"/>
              </w:rPr>
              <w:tab/>
            </w:r>
          </w:p>
          <w:p>
            <w:pPr>
              <w:autoSpaceDE w:val="0"/>
              <w:autoSpaceDN w:val="0"/>
              <w:ind w:firstLine="560" w:firstLineChars="200"/>
              <w:jc w:val="left"/>
              <w:rPr>
                <w:rFonts w:ascii="仿宋" w:hAnsi="仿宋" w:eastAsia="仿宋" w:cs="仿宋"/>
                <w:sz w:val="28"/>
                <w:szCs w:val="28"/>
              </w:rPr>
            </w:pPr>
            <w:r>
              <w:rPr>
                <w:rFonts w:hint="eastAsia" w:ascii="仿宋" w:hAnsi="仿宋" w:eastAsia="仿宋" w:cs="仿宋"/>
                <w:sz w:val="28"/>
                <w:szCs w:val="28"/>
              </w:rPr>
              <w:t>触摸屏尺寸：不低于21.5英寸</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触控方式：电容感应式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亮度：不低于250</w:t>
            </w:r>
            <w:r>
              <w:rPr>
                <w:rFonts w:hint="eastAsia" w:ascii="仿宋" w:hAnsi="仿宋" w:eastAsia="仿宋" w:cs="仿宋"/>
                <w:sz w:val="28"/>
                <w:szCs w:val="28"/>
                <w:lang w:eastAsia="zh-CN"/>
              </w:rPr>
              <w:t>—</w:t>
            </w:r>
            <w:r>
              <w:rPr>
                <w:rFonts w:hint="eastAsia" w:ascii="仿宋" w:hAnsi="仿宋" w:eastAsia="仿宋" w:cs="仿宋"/>
                <w:sz w:val="28"/>
                <w:szCs w:val="28"/>
              </w:rPr>
              <w:t>300cd/m2</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对比度：不低于3000:1</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响应时间：不高于5ms</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显示颜色：不高于16.7M</w:t>
            </w:r>
          </w:p>
        </w:tc>
        <w:tc>
          <w:tcPr>
            <w:tcW w:w="851" w:type="dxa"/>
            <w:vMerge w:val="continue"/>
            <w:vAlign w:val="center"/>
          </w:tcPr>
          <w:p>
            <w:pPr>
              <w:jc w:val="center"/>
              <w:rPr>
                <w:rFonts w:ascii="仿宋" w:hAnsi="仿宋" w:eastAsia="仿宋" w:cs="仿宋"/>
                <w:sz w:val="28"/>
                <w:szCs w:val="28"/>
              </w:rPr>
            </w:pPr>
          </w:p>
        </w:tc>
      </w:tr>
    </w:tbl>
    <w:p>
      <w:pPr>
        <w:spacing w:line="360" w:lineRule="auto"/>
        <w:rPr>
          <w:rFonts w:ascii="仿宋" w:hAnsi="仿宋" w:eastAsia="仿宋" w:cs="仿宋"/>
          <w:sz w:val="28"/>
          <w:szCs w:val="28"/>
        </w:rPr>
      </w:pPr>
    </w:p>
    <w:p>
      <w:pPr>
        <w:widowControl/>
        <w:jc w:val="left"/>
        <w:rPr>
          <w:rFonts w:ascii="仿宋" w:hAnsi="仿宋" w:eastAsia="仿宋" w:cs="仿宋"/>
          <w:sz w:val="28"/>
          <w:szCs w:val="28"/>
        </w:rPr>
      </w:pP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2.6 智能书法体验平台</w:t>
      </w:r>
    </w:p>
    <w:tbl>
      <w:tblPr>
        <w:tblStyle w:val="3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85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智能书法体验平台</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rPr>
                <w:rFonts w:ascii="仿宋" w:hAnsi="仿宋" w:eastAsia="仿宋" w:cs="仿宋"/>
                <w:b/>
                <w:sz w:val="28"/>
                <w:szCs w:val="28"/>
              </w:rPr>
            </w:pPr>
            <w:r>
              <w:rPr>
                <w:rFonts w:hint="eastAsia" w:ascii="仿宋" w:hAnsi="仿宋" w:eastAsia="仿宋" w:cs="仿宋"/>
                <w:b/>
                <w:sz w:val="28"/>
                <w:szCs w:val="28"/>
              </w:rPr>
              <w:t>一、产品功能</w:t>
            </w:r>
          </w:p>
          <w:p>
            <w:pPr>
              <w:rPr>
                <w:rFonts w:ascii="仿宋" w:hAnsi="仿宋" w:eastAsia="仿宋" w:cs="仿宋"/>
                <w:sz w:val="28"/>
                <w:szCs w:val="28"/>
              </w:rPr>
            </w:pPr>
            <w:r>
              <w:rPr>
                <w:rFonts w:hint="eastAsia" w:ascii="仿宋" w:hAnsi="仿宋" w:eastAsia="仿宋" w:cs="仿宋"/>
                <w:sz w:val="28"/>
                <w:szCs w:val="28"/>
              </w:rPr>
              <w:t xml:space="preserve">1、自由书写 </w:t>
            </w:r>
          </w:p>
          <w:p>
            <w:pPr>
              <w:rPr>
                <w:rFonts w:ascii="仿宋" w:hAnsi="仿宋" w:eastAsia="仿宋" w:cs="仿宋"/>
                <w:sz w:val="28"/>
                <w:szCs w:val="28"/>
              </w:rPr>
            </w:pPr>
            <w:r>
              <w:rPr>
                <w:rFonts w:hint="eastAsia" w:ascii="仿宋" w:hAnsi="仿宋" w:eastAsia="仿宋" w:cs="仿宋"/>
                <w:sz w:val="28"/>
                <w:szCs w:val="28"/>
              </w:rPr>
              <w:t>1）使用毛笔在屏幕上模拟书法，书写线条流畅，延迟小于0.1s；</w:t>
            </w:r>
          </w:p>
          <w:p>
            <w:pPr>
              <w:rPr>
                <w:rFonts w:ascii="仿宋" w:hAnsi="仿宋" w:eastAsia="仿宋" w:cs="仿宋"/>
                <w:sz w:val="28"/>
                <w:szCs w:val="28"/>
              </w:rPr>
            </w:pPr>
            <w:r>
              <w:rPr>
                <w:rFonts w:hint="eastAsia" w:ascii="仿宋" w:hAnsi="仿宋" w:eastAsia="仿宋" w:cs="仿宋"/>
                <w:sz w:val="28"/>
                <w:szCs w:val="28"/>
              </w:rPr>
              <w:t>2）支持背景音乐，书写时可以打开背景音乐；</w:t>
            </w:r>
          </w:p>
          <w:p>
            <w:pPr>
              <w:rPr>
                <w:rFonts w:ascii="仿宋" w:hAnsi="仿宋" w:eastAsia="仿宋" w:cs="仿宋"/>
                <w:sz w:val="28"/>
                <w:szCs w:val="28"/>
              </w:rPr>
            </w:pPr>
            <w:r>
              <w:rPr>
                <w:rFonts w:hint="eastAsia" w:ascii="仿宋" w:hAnsi="仿宋" w:eastAsia="仿宋" w:cs="仿宋"/>
                <w:sz w:val="28"/>
                <w:szCs w:val="28"/>
              </w:rPr>
              <w:t>3）支持模拟砚台，沾墨动画等效果表现</w:t>
            </w:r>
            <w:r>
              <w:rPr>
                <w:rFonts w:hint="eastAsia" w:ascii="仿宋" w:hAnsi="仿宋" w:eastAsia="仿宋" w:cs="仿宋"/>
                <w:sz w:val="28"/>
                <w:szCs w:val="28"/>
                <w:lang w:eastAsia="zh-CN"/>
              </w:rPr>
              <w:t>；</w:t>
            </w:r>
          </w:p>
          <w:p>
            <w:pPr>
              <w:rPr>
                <w:rFonts w:ascii="仿宋" w:hAnsi="仿宋" w:eastAsia="仿宋" w:cs="仿宋"/>
                <w:sz w:val="28"/>
                <w:szCs w:val="28"/>
              </w:rPr>
            </w:pPr>
            <w:r>
              <w:rPr>
                <w:rFonts w:hint="eastAsia" w:ascii="仿宋" w:hAnsi="仿宋" w:eastAsia="仿宋" w:cs="仿宋"/>
                <w:sz w:val="28"/>
                <w:szCs w:val="28"/>
              </w:rPr>
              <w:t>4）根据需求，提供笔触线条大小选择；</w:t>
            </w:r>
          </w:p>
          <w:p>
            <w:pPr>
              <w:rPr>
                <w:rFonts w:ascii="仿宋" w:hAnsi="仿宋" w:eastAsia="仿宋" w:cs="仿宋"/>
                <w:sz w:val="28"/>
                <w:szCs w:val="28"/>
              </w:rPr>
            </w:pPr>
            <w:r>
              <w:rPr>
                <w:rFonts w:hint="eastAsia" w:ascii="仿宋" w:hAnsi="仿宋" w:eastAsia="仿宋" w:cs="仿宋"/>
                <w:sz w:val="28"/>
                <w:szCs w:val="28"/>
              </w:rPr>
              <w:t>5）不满意可擦除重新书写；</w:t>
            </w:r>
          </w:p>
          <w:p>
            <w:pPr>
              <w:rPr>
                <w:rFonts w:ascii="仿宋" w:hAnsi="仿宋" w:eastAsia="仿宋" w:cs="仿宋"/>
                <w:sz w:val="28"/>
                <w:szCs w:val="28"/>
              </w:rPr>
            </w:pPr>
            <w:r>
              <w:rPr>
                <w:rFonts w:hint="eastAsia" w:ascii="仿宋" w:hAnsi="仿宋" w:eastAsia="仿宋" w:cs="仿宋"/>
                <w:sz w:val="28"/>
                <w:szCs w:val="28"/>
              </w:rPr>
              <w:t>6）印章支持方形和圆形印章，提供4种印章图案选择，书写结束可以添加印章；</w:t>
            </w:r>
          </w:p>
          <w:p>
            <w:pPr>
              <w:rPr>
                <w:rFonts w:ascii="仿宋" w:hAnsi="仿宋" w:eastAsia="仿宋" w:cs="仿宋"/>
                <w:sz w:val="28"/>
                <w:szCs w:val="28"/>
              </w:rPr>
            </w:pPr>
            <w:r>
              <w:rPr>
                <w:rFonts w:hint="eastAsia" w:ascii="仿宋" w:hAnsi="仿宋" w:eastAsia="仿宋" w:cs="仿宋"/>
                <w:sz w:val="28"/>
                <w:szCs w:val="28"/>
              </w:rPr>
              <w:t>7）可以手写需要设计的印章内容、缩放印章大小，移动印章位置。</w:t>
            </w:r>
          </w:p>
          <w:p>
            <w:pPr>
              <w:rPr>
                <w:rFonts w:ascii="仿宋" w:hAnsi="仿宋" w:eastAsia="仿宋" w:cs="仿宋"/>
                <w:sz w:val="28"/>
                <w:szCs w:val="28"/>
              </w:rPr>
            </w:pPr>
            <w:r>
              <w:rPr>
                <w:rFonts w:hint="eastAsia" w:ascii="仿宋" w:hAnsi="仿宋" w:eastAsia="仿宋" w:cs="仿宋"/>
                <w:sz w:val="28"/>
                <w:szCs w:val="28"/>
              </w:rPr>
              <w:t>2、书法临摹 ：内置体系完善的书法知识，学习效率</w:t>
            </w:r>
            <w:r>
              <w:rPr>
                <w:rFonts w:hint="eastAsia" w:ascii="仿宋" w:hAnsi="仿宋" w:eastAsia="仿宋" w:cs="仿宋"/>
                <w:sz w:val="28"/>
                <w:szCs w:val="28"/>
                <w:lang w:eastAsia="zh-CN"/>
              </w:rPr>
              <w:t>大幅</w:t>
            </w:r>
            <w:r>
              <w:rPr>
                <w:rFonts w:hint="eastAsia" w:ascii="仿宋" w:hAnsi="仿宋" w:eastAsia="仿宋" w:cs="仿宋"/>
                <w:sz w:val="28"/>
                <w:szCs w:val="28"/>
              </w:rPr>
              <w:t>提升，包含：永字八法、国学名文练习、自由练习等。</w:t>
            </w:r>
          </w:p>
          <w:p>
            <w:pPr>
              <w:rPr>
                <w:rFonts w:ascii="仿宋" w:hAnsi="仿宋" w:eastAsia="仿宋" w:cs="仿宋"/>
                <w:sz w:val="28"/>
                <w:szCs w:val="28"/>
              </w:rPr>
            </w:pPr>
            <w:r>
              <w:rPr>
                <w:rFonts w:hint="eastAsia" w:ascii="仿宋" w:hAnsi="仿宋" w:eastAsia="仿宋" w:cs="仿宋"/>
                <w:sz w:val="28"/>
                <w:szCs w:val="28"/>
              </w:rPr>
              <w:t>3、书法知识：内置书法知识功能模块，海量专业书法知识一点即得。</w:t>
            </w:r>
          </w:p>
          <w:p>
            <w:pPr>
              <w:rPr>
                <w:rFonts w:ascii="仿宋" w:hAnsi="仿宋" w:eastAsia="仿宋" w:cs="仿宋"/>
                <w:sz w:val="28"/>
                <w:szCs w:val="28"/>
              </w:rPr>
            </w:pPr>
            <w:r>
              <w:rPr>
                <w:rFonts w:hint="eastAsia" w:ascii="仿宋" w:hAnsi="仿宋" w:eastAsia="仿宋" w:cs="仿宋"/>
                <w:sz w:val="28"/>
                <w:szCs w:val="28"/>
              </w:rPr>
              <w:t>4、历史作品 支持对以往书写保存进行管理，可以进行浏览、删除、幻灯片式播放。</w:t>
            </w:r>
          </w:p>
          <w:p>
            <w:pPr>
              <w:rPr>
                <w:rFonts w:ascii="仿宋" w:hAnsi="仿宋" w:eastAsia="仿宋" w:cs="仿宋"/>
                <w:sz w:val="28"/>
                <w:szCs w:val="28"/>
              </w:rPr>
            </w:pPr>
            <w:r>
              <w:rPr>
                <w:rFonts w:hint="eastAsia" w:ascii="仿宋" w:hAnsi="仿宋" w:eastAsia="仿宋" w:cs="仿宋"/>
                <w:sz w:val="28"/>
                <w:szCs w:val="28"/>
              </w:rPr>
              <w:t>5、名品欣赏 支持历史名家名品字帖鉴赏，支持滑动条对字帖放大缩小，全局和局部欣赏，附带字帖简介和注释方便体验者解读。</w:t>
            </w:r>
          </w:p>
          <w:p>
            <w:pPr>
              <w:rPr>
                <w:rFonts w:ascii="仿宋" w:hAnsi="仿宋" w:eastAsia="仿宋" w:cs="仿宋"/>
                <w:sz w:val="28"/>
                <w:szCs w:val="28"/>
              </w:rPr>
            </w:pPr>
            <w:r>
              <w:rPr>
                <w:rFonts w:hint="eastAsia" w:ascii="仿宋" w:hAnsi="仿宋" w:eastAsia="仿宋" w:cs="仿宋"/>
                <w:sz w:val="28"/>
                <w:szCs w:val="28"/>
              </w:rPr>
              <w:t>6、保存分享 扫描二维码可以将自己满意的作品分享到微信或将作品以图片形式保存到手机上。</w:t>
            </w:r>
          </w:p>
          <w:p>
            <w:pPr>
              <w:rPr>
                <w:rFonts w:ascii="仿宋" w:hAnsi="仿宋" w:eastAsia="仿宋" w:cs="仿宋"/>
                <w:b/>
                <w:sz w:val="28"/>
                <w:szCs w:val="28"/>
              </w:rPr>
            </w:pPr>
            <w:r>
              <w:rPr>
                <w:rFonts w:hint="eastAsia" w:ascii="仿宋" w:hAnsi="仿宋" w:eastAsia="仿宋" w:cs="仿宋"/>
                <w:b/>
                <w:sz w:val="28"/>
                <w:szCs w:val="28"/>
              </w:rPr>
              <w:t>二、硬件配置</w:t>
            </w:r>
          </w:p>
          <w:p>
            <w:pPr>
              <w:rPr>
                <w:rFonts w:ascii="仿宋" w:hAnsi="仿宋" w:eastAsia="仿宋" w:cs="仿宋"/>
                <w:sz w:val="28"/>
                <w:szCs w:val="28"/>
              </w:rPr>
            </w:pPr>
            <w:r>
              <w:rPr>
                <w:rFonts w:hint="eastAsia" w:ascii="仿宋" w:hAnsi="仿宋" w:eastAsia="仿宋" w:cs="仿宋"/>
                <w:sz w:val="28"/>
                <w:szCs w:val="28"/>
              </w:rPr>
              <w:t>1.定制书写台： 全木质，颜色暗红色，颜色可定制，包含座椅。</w:t>
            </w:r>
          </w:p>
          <w:p>
            <w:pPr>
              <w:rPr>
                <w:rFonts w:ascii="仿宋" w:hAnsi="仿宋" w:eastAsia="仿宋" w:cs="仿宋"/>
                <w:sz w:val="28"/>
                <w:szCs w:val="28"/>
              </w:rPr>
            </w:pPr>
            <w:r>
              <w:rPr>
                <w:rFonts w:hint="eastAsia" w:ascii="仿宋" w:hAnsi="仿宋" w:eastAsia="仿宋" w:cs="仿宋"/>
                <w:sz w:val="28"/>
                <w:szCs w:val="28"/>
              </w:rPr>
              <w:t>2.显示器：不低于 43寸液晶显示器，分辨率不低于1920*1080</w:t>
            </w:r>
          </w:p>
          <w:p>
            <w:pPr>
              <w:rPr>
                <w:rFonts w:ascii="仿宋" w:hAnsi="仿宋" w:eastAsia="仿宋" w:cs="仿宋"/>
                <w:sz w:val="28"/>
                <w:szCs w:val="28"/>
              </w:rPr>
            </w:pPr>
            <w:r>
              <w:rPr>
                <w:rFonts w:hint="eastAsia" w:ascii="仿宋" w:hAnsi="仿宋" w:eastAsia="仿宋" w:cs="仿宋"/>
                <w:sz w:val="28"/>
                <w:szCs w:val="28"/>
              </w:rPr>
              <w:t>3.输入设备： 红外线触摸屏控制系统，分辨率不低于4096*4096，抗灰尘、抗划、耐油污</w:t>
            </w:r>
          </w:p>
          <w:p>
            <w:pPr>
              <w:rPr>
                <w:rFonts w:ascii="仿宋" w:hAnsi="仿宋" w:eastAsia="仿宋" w:cs="仿宋"/>
                <w:sz w:val="28"/>
                <w:szCs w:val="28"/>
              </w:rPr>
            </w:pPr>
            <w:r>
              <w:rPr>
                <w:rFonts w:hint="eastAsia" w:ascii="仿宋" w:hAnsi="仿宋" w:eastAsia="仿宋" w:cs="仿宋"/>
                <w:sz w:val="28"/>
                <w:szCs w:val="28"/>
              </w:rPr>
              <w:t>5.接口： 标准RJ45网络接口，USB接口</w:t>
            </w:r>
          </w:p>
          <w:p>
            <w:pPr>
              <w:rPr>
                <w:rFonts w:ascii="仿宋" w:hAnsi="仿宋" w:eastAsia="仿宋" w:cs="仿宋"/>
                <w:sz w:val="28"/>
                <w:szCs w:val="28"/>
              </w:rPr>
            </w:pPr>
            <w:r>
              <w:rPr>
                <w:rFonts w:hint="eastAsia" w:ascii="仿宋" w:hAnsi="仿宋" w:eastAsia="仿宋" w:cs="仿宋"/>
                <w:sz w:val="28"/>
                <w:szCs w:val="28"/>
              </w:rPr>
              <w:t>6.多媒体系统： 功放系统，立体声音箱，防磁化</w:t>
            </w:r>
          </w:p>
          <w:p>
            <w:pPr>
              <w:rPr>
                <w:rFonts w:ascii="仿宋" w:hAnsi="仿宋" w:eastAsia="仿宋" w:cs="仿宋"/>
                <w:sz w:val="28"/>
                <w:szCs w:val="28"/>
              </w:rPr>
            </w:pPr>
            <w:r>
              <w:rPr>
                <w:rFonts w:hint="eastAsia" w:ascii="仿宋" w:hAnsi="仿宋" w:eastAsia="仿宋" w:cs="仿宋"/>
                <w:sz w:val="28"/>
                <w:szCs w:val="28"/>
              </w:rPr>
              <w:t>7.红外触摸： 10点红外触摸     响应速度：≤15ms</w:t>
            </w:r>
          </w:p>
          <w:p>
            <w:pPr>
              <w:rPr>
                <w:rFonts w:ascii="仿宋" w:hAnsi="仿宋" w:eastAsia="仿宋" w:cs="仿宋"/>
                <w:sz w:val="28"/>
                <w:szCs w:val="28"/>
              </w:rPr>
            </w:pPr>
            <w:r>
              <w:rPr>
                <w:rFonts w:hint="eastAsia" w:ascii="仿宋" w:hAnsi="仿宋" w:eastAsia="仿宋" w:cs="仿宋"/>
                <w:sz w:val="28"/>
                <w:szCs w:val="28"/>
              </w:rPr>
              <w:t>8.电源： AC220V±10%、50Hz，最大功耗380W，开机瞬时电流5A</w:t>
            </w:r>
          </w:p>
          <w:p>
            <w:pPr>
              <w:rPr>
                <w:rFonts w:ascii="仿宋" w:hAnsi="仿宋" w:eastAsia="仿宋" w:cs="仿宋"/>
                <w:sz w:val="28"/>
                <w:szCs w:val="28"/>
              </w:rPr>
            </w:pPr>
            <w:r>
              <w:rPr>
                <w:rFonts w:hint="eastAsia" w:ascii="仿宋" w:hAnsi="仿宋" w:eastAsia="仿宋" w:cs="仿宋"/>
                <w:sz w:val="28"/>
                <w:szCs w:val="28"/>
              </w:rPr>
              <w:t>9.工作环境： 温度-20-+60度，湿度40%</w:t>
            </w:r>
            <w:r>
              <w:rPr>
                <w:rFonts w:hint="eastAsia" w:ascii="仿宋" w:hAnsi="仿宋" w:eastAsia="仿宋" w:cs="仿宋"/>
                <w:sz w:val="28"/>
                <w:szCs w:val="28"/>
                <w:lang w:eastAsia="zh-CN"/>
              </w:rPr>
              <w:t>—</w:t>
            </w:r>
            <w:r>
              <w:rPr>
                <w:rFonts w:hint="eastAsia" w:ascii="仿宋" w:hAnsi="仿宋" w:eastAsia="仿宋" w:cs="仿宋"/>
                <w:sz w:val="28"/>
                <w:szCs w:val="28"/>
              </w:rPr>
              <w:t>80%( 相对，非压缩 )</w:t>
            </w:r>
          </w:p>
          <w:p>
            <w:pPr>
              <w:rPr>
                <w:rFonts w:ascii="仿宋" w:hAnsi="仿宋" w:eastAsia="仿宋" w:cs="仿宋"/>
                <w:sz w:val="28"/>
                <w:szCs w:val="28"/>
              </w:rPr>
            </w:pPr>
            <w:r>
              <w:rPr>
                <w:rFonts w:hint="eastAsia" w:ascii="仿宋" w:hAnsi="仿宋" w:eastAsia="仿宋" w:cs="仿宋"/>
                <w:sz w:val="28"/>
                <w:szCs w:val="28"/>
              </w:rPr>
              <w:t>10控制主机：不低于I7、内存4G 、集成显卡 、60G固态硬盘，</w:t>
            </w:r>
          </w:p>
          <w:p>
            <w:pPr>
              <w:rPr>
                <w:rFonts w:ascii="仿宋" w:hAnsi="仿宋" w:eastAsia="仿宋" w:cs="仿宋"/>
                <w:sz w:val="28"/>
                <w:szCs w:val="28"/>
              </w:rPr>
            </w:pPr>
            <w:r>
              <w:rPr>
                <w:rFonts w:hint="eastAsia" w:ascii="仿宋" w:hAnsi="仿宋" w:eastAsia="仿宋" w:cs="仿宋"/>
                <w:sz w:val="28"/>
                <w:szCs w:val="28"/>
              </w:rPr>
              <w:t>软件运行环境： 不低于Windows7。</w:t>
            </w:r>
          </w:p>
        </w:tc>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2.7 电子书借阅机</w:t>
      </w:r>
    </w:p>
    <w:tbl>
      <w:tblPr>
        <w:tblStyle w:val="3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85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pPr>
              <w:jc w:val="center"/>
              <w:rPr>
                <w:rFonts w:ascii="仿宋" w:hAnsi="仿宋" w:eastAsia="仿宋" w:cs="仿宋"/>
                <w:b/>
                <w:bCs/>
                <w:sz w:val="28"/>
                <w:szCs w:val="28"/>
              </w:rPr>
            </w:pPr>
            <w:r>
              <w:rPr>
                <w:rFonts w:hint="eastAsia" w:ascii="仿宋" w:hAnsi="仿宋" w:eastAsia="仿宋" w:cs="仿宋"/>
                <w:b/>
                <w:sz w:val="28"/>
                <w:szCs w:val="28"/>
              </w:rPr>
              <w:t>电子书借阅机</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rPr>
                <w:rFonts w:ascii="仿宋" w:hAnsi="仿宋" w:eastAsia="仿宋" w:cs="仿宋"/>
                <w:b/>
                <w:sz w:val="28"/>
                <w:szCs w:val="28"/>
              </w:rPr>
            </w:pPr>
            <w:r>
              <w:rPr>
                <w:rFonts w:hint="eastAsia" w:ascii="仿宋" w:hAnsi="仿宋" w:eastAsia="仿宋" w:cs="仿宋"/>
                <w:b/>
                <w:sz w:val="28"/>
                <w:szCs w:val="28"/>
              </w:rPr>
              <w:t>一、系统</w:t>
            </w:r>
          </w:p>
          <w:p>
            <w:pPr>
              <w:rPr>
                <w:rFonts w:ascii="仿宋" w:hAnsi="仿宋" w:eastAsia="仿宋" w:cs="仿宋"/>
                <w:sz w:val="28"/>
                <w:szCs w:val="28"/>
              </w:rPr>
            </w:pPr>
            <w:r>
              <w:rPr>
                <w:rFonts w:hint="eastAsia" w:ascii="仿宋" w:hAnsi="仿宋" w:eastAsia="仿宋" w:cs="仿宋"/>
                <w:sz w:val="28"/>
                <w:szCs w:val="28"/>
              </w:rPr>
              <w:t>1.基于1080*1920分辨率大屏安卓触摸一体机研发，软件运行环境为Android7.1及以上系统。实现终端平台展示、图书资源管理、借阅等功能模块。</w:t>
            </w:r>
          </w:p>
          <w:p>
            <w:pPr>
              <w:rPr>
                <w:rFonts w:ascii="仿宋" w:hAnsi="仿宋" w:eastAsia="仿宋" w:cs="仿宋"/>
                <w:sz w:val="28"/>
                <w:szCs w:val="28"/>
              </w:rPr>
            </w:pPr>
            <w:r>
              <w:rPr>
                <w:rFonts w:hint="eastAsia" w:ascii="仿宋" w:hAnsi="仿宋" w:eastAsia="仿宋" w:cs="仿宋"/>
                <w:sz w:val="28"/>
                <w:szCs w:val="28"/>
              </w:rPr>
              <w:t>2.通过配套的手机客户端可以直接扫描电子书借阅机上的图书二维码下载图书到手机等移动终端中阅读。手机客户端需同时支持ios、android系统。</w:t>
            </w:r>
          </w:p>
          <w:p>
            <w:pPr>
              <w:rPr>
                <w:rFonts w:ascii="仿宋" w:hAnsi="仿宋" w:eastAsia="仿宋" w:cs="仿宋"/>
                <w:sz w:val="28"/>
                <w:szCs w:val="28"/>
              </w:rPr>
            </w:pPr>
            <w:r>
              <w:rPr>
                <w:rFonts w:hint="eastAsia" w:ascii="仿宋" w:hAnsi="仿宋" w:eastAsia="仿宋" w:cs="仿宋"/>
                <w:sz w:val="28"/>
                <w:szCs w:val="28"/>
              </w:rPr>
              <w:t>3.支持远程定时更新，支持一键更新，减少管理成本。</w:t>
            </w:r>
          </w:p>
          <w:p>
            <w:pPr>
              <w:rPr>
                <w:rFonts w:ascii="仿宋" w:hAnsi="仿宋" w:eastAsia="仿宋" w:cs="仿宋"/>
                <w:sz w:val="28"/>
                <w:szCs w:val="28"/>
              </w:rPr>
            </w:pPr>
            <w:r>
              <w:rPr>
                <w:rFonts w:hint="eastAsia" w:ascii="仿宋" w:hAnsi="仿宋" w:eastAsia="仿宋" w:cs="仿宋"/>
                <w:sz w:val="28"/>
                <w:szCs w:val="28"/>
              </w:rPr>
              <w:t>4.通过微信等第三方扫描工具二维码扫描，可提供直接在线阅读原版文本全文，无需下载客户端，并能将图书分享至朋友圈等社交网络。也可根据读者喜好自行选择下载客户端阅读。</w:t>
            </w:r>
          </w:p>
          <w:p>
            <w:pPr>
              <w:rPr>
                <w:rFonts w:ascii="仿宋" w:hAnsi="仿宋" w:eastAsia="仿宋" w:cs="仿宋"/>
                <w:b/>
                <w:sz w:val="28"/>
                <w:szCs w:val="28"/>
              </w:rPr>
            </w:pPr>
            <w:r>
              <w:rPr>
                <w:rFonts w:hint="eastAsia" w:ascii="仿宋" w:hAnsi="仿宋" w:eastAsia="仿宋" w:cs="仿宋"/>
                <w:b/>
                <w:sz w:val="28"/>
                <w:szCs w:val="28"/>
              </w:rPr>
              <w:t>二、资源</w:t>
            </w:r>
          </w:p>
          <w:p>
            <w:pPr>
              <w:rPr>
                <w:rFonts w:ascii="仿宋" w:hAnsi="仿宋" w:eastAsia="仿宋" w:cs="仿宋"/>
                <w:sz w:val="28"/>
                <w:szCs w:val="28"/>
              </w:rPr>
            </w:pPr>
            <w:r>
              <w:rPr>
                <w:rFonts w:hint="eastAsia" w:ascii="仿宋" w:hAnsi="仿宋" w:eastAsia="仿宋" w:cs="仿宋"/>
                <w:sz w:val="28"/>
                <w:szCs w:val="28"/>
              </w:rPr>
              <w:t>1.电子书借阅机内置不少于3000册正版授权的epub格式电子图书且与原版图书保持原貌一致，如相关图片、目录等，每月定时更新不少于150册热门电子图书。支持新书、热门图书标记功能，供读者参考。</w:t>
            </w:r>
          </w:p>
          <w:p>
            <w:pPr>
              <w:rPr>
                <w:rFonts w:ascii="仿宋" w:hAnsi="仿宋" w:eastAsia="仿宋" w:cs="仿宋"/>
                <w:sz w:val="28"/>
                <w:szCs w:val="28"/>
              </w:rPr>
            </w:pPr>
            <w:r>
              <w:rPr>
                <w:rFonts w:hint="eastAsia" w:ascii="仿宋" w:hAnsi="仿宋" w:eastAsia="仿宋" w:cs="仿宋"/>
                <w:sz w:val="28"/>
                <w:szCs w:val="28"/>
              </w:rPr>
              <w:t>2.内置期刊资源，期刊种类不少于200种，每月定期更新。</w:t>
            </w:r>
          </w:p>
          <w:p>
            <w:pPr>
              <w:rPr>
                <w:rFonts w:ascii="仿宋" w:hAnsi="仿宋" w:eastAsia="仿宋" w:cs="仿宋"/>
                <w:sz w:val="28"/>
                <w:szCs w:val="28"/>
              </w:rPr>
            </w:pPr>
            <w:r>
              <w:rPr>
                <w:rFonts w:hint="eastAsia" w:ascii="仿宋" w:hAnsi="仿宋" w:eastAsia="仿宋" w:cs="仿宋"/>
                <w:sz w:val="28"/>
                <w:szCs w:val="28"/>
              </w:rPr>
              <w:t>期刊支持扫描下载至手机客户端中离线阅读。</w:t>
            </w:r>
          </w:p>
          <w:p>
            <w:pPr>
              <w:rPr>
                <w:rFonts w:ascii="仿宋" w:hAnsi="仿宋" w:eastAsia="仿宋" w:cs="仿宋"/>
                <w:b/>
                <w:sz w:val="28"/>
                <w:szCs w:val="28"/>
              </w:rPr>
            </w:pPr>
            <w:r>
              <w:rPr>
                <w:rFonts w:hint="eastAsia" w:ascii="仿宋" w:hAnsi="仿宋" w:eastAsia="仿宋" w:cs="仿宋"/>
                <w:sz w:val="28"/>
                <w:szCs w:val="28"/>
              </w:rPr>
              <w:t>3.配套新书推荐栏目，每周更新，每月推送不低于25本。（每周新书推送，结合</w:t>
            </w:r>
            <w:r>
              <w:rPr>
                <w:rFonts w:hint="eastAsia" w:ascii="仿宋" w:hAnsi="仿宋" w:eastAsia="仿宋" w:cs="仿宋"/>
                <w:sz w:val="28"/>
                <w:szCs w:val="28"/>
                <w:lang w:eastAsia="zh-CN"/>
              </w:rPr>
              <w:t>时事</w:t>
            </w:r>
            <w:r>
              <w:rPr>
                <w:rFonts w:hint="eastAsia" w:ascii="仿宋" w:hAnsi="仿宋" w:eastAsia="仿宋" w:cs="仿宋"/>
                <w:sz w:val="28"/>
                <w:szCs w:val="28"/>
              </w:rPr>
              <w:t>、节假日等针对不同主题，精选图书。）</w:t>
            </w:r>
            <w:r>
              <w:rPr>
                <w:rFonts w:hint="eastAsia" w:ascii="仿宋" w:hAnsi="仿宋" w:eastAsia="仿宋" w:cs="仿宋"/>
                <w:b/>
                <w:sz w:val="28"/>
                <w:szCs w:val="28"/>
              </w:rPr>
              <w:t>三、个性化服务</w:t>
            </w:r>
          </w:p>
          <w:p>
            <w:pPr>
              <w:rPr>
                <w:rFonts w:ascii="仿宋" w:hAnsi="仿宋" w:eastAsia="仿宋" w:cs="仿宋"/>
                <w:sz w:val="28"/>
                <w:szCs w:val="28"/>
              </w:rPr>
            </w:pPr>
            <w:r>
              <w:rPr>
                <w:rFonts w:hint="eastAsia" w:ascii="仿宋" w:hAnsi="仿宋" w:eastAsia="仿宋" w:cs="仿宋"/>
                <w:sz w:val="28"/>
                <w:szCs w:val="28"/>
              </w:rPr>
              <w:t>1.借阅机终端系统支持定制显示单位名称、logo、待机画面、二维码，可将购买单位的名称和logo配置到程序中。可任意修改待机画面，通过后台可进行相关待机画面修改，随时满足图书馆的通知要求。</w:t>
            </w:r>
          </w:p>
          <w:p>
            <w:pPr>
              <w:rPr>
                <w:rFonts w:ascii="仿宋" w:hAnsi="仿宋" w:eastAsia="仿宋" w:cs="仿宋"/>
                <w:sz w:val="28"/>
                <w:szCs w:val="28"/>
              </w:rPr>
            </w:pPr>
            <w:r>
              <w:rPr>
                <w:rFonts w:hint="eastAsia" w:ascii="仿宋" w:hAnsi="仿宋" w:eastAsia="仿宋" w:cs="仿宋"/>
                <w:sz w:val="28"/>
                <w:szCs w:val="28"/>
              </w:rPr>
              <w:t>2.需提供不少于5种不同风格的模版，供用户自行选择，随时</w:t>
            </w:r>
            <w:r>
              <w:rPr>
                <w:rFonts w:hint="eastAsia" w:ascii="仿宋" w:hAnsi="仿宋" w:eastAsia="仿宋" w:cs="仿宋"/>
                <w:sz w:val="28"/>
                <w:szCs w:val="28"/>
                <w:lang w:eastAsia="zh-CN"/>
              </w:rPr>
              <w:t>更换模板</w:t>
            </w:r>
            <w:r>
              <w:rPr>
                <w:rFonts w:hint="eastAsia" w:ascii="仿宋" w:hAnsi="仿宋" w:eastAsia="仿宋" w:cs="仿宋"/>
                <w:sz w:val="28"/>
                <w:szCs w:val="28"/>
              </w:rPr>
              <w:t>以适应不同场合的需求。</w:t>
            </w:r>
          </w:p>
          <w:p>
            <w:pPr>
              <w:rPr>
                <w:rFonts w:ascii="仿宋" w:hAnsi="仿宋" w:eastAsia="仿宋" w:cs="仿宋"/>
                <w:sz w:val="28"/>
                <w:szCs w:val="28"/>
              </w:rPr>
            </w:pPr>
            <w:r>
              <w:rPr>
                <w:rFonts w:hint="eastAsia" w:ascii="仿宋" w:hAnsi="仿宋" w:eastAsia="仿宋" w:cs="仿宋"/>
                <w:sz w:val="28"/>
                <w:szCs w:val="28"/>
              </w:rPr>
              <w:t>3.图书分类支持定制：可根据用户的需求定制一个图书分类，推荐相关的电子图书到借阅机中展示。定制的图书也可以通过扫描二维码的方式下载至手机客户端中离线阅读。</w:t>
            </w:r>
          </w:p>
          <w:p>
            <w:pPr>
              <w:rPr>
                <w:rFonts w:ascii="仿宋" w:hAnsi="仿宋" w:eastAsia="仿宋" w:cs="仿宋"/>
                <w:sz w:val="28"/>
                <w:szCs w:val="28"/>
              </w:rPr>
            </w:pPr>
            <w:r>
              <w:rPr>
                <w:rFonts w:hint="eastAsia" w:ascii="仿宋" w:hAnsi="仿宋" w:eastAsia="仿宋" w:cs="仿宋"/>
                <w:sz w:val="28"/>
                <w:szCs w:val="28"/>
              </w:rPr>
              <w:t>4.支持挂接单个专题，多个专题以及多个专题组。</w:t>
            </w:r>
          </w:p>
          <w:p>
            <w:pPr>
              <w:rPr>
                <w:rFonts w:ascii="仿宋" w:hAnsi="仿宋" w:eastAsia="仿宋" w:cs="仿宋"/>
                <w:b/>
                <w:sz w:val="28"/>
                <w:szCs w:val="28"/>
              </w:rPr>
            </w:pPr>
            <w:r>
              <w:rPr>
                <w:rFonts w:hint="eastAsia" w:ascii="仿宋" w:hAnsi="仿宋" w:eastAsia="仿宋" w:cs="仿宋"/>
                <w:b/>
                <w:sz w:val="28"/>
                <w:szCs w:val="28"/>
              </w:rPr>
              <w:t>四、后台管理</w:t>
            </w:r>
          </w:p>
          <w:p>
            <w:pPr>
              <w:rPr>
                <w:rFonts w:ascii="仿宋" w:hAnsi="仿宋" w:eastAsia="仿宋" w:cs="仿宋"/>
                <w:sz w:val="28"/>
                <w:szCs w:val="28"/>
              </w:rPr>
            </w:pPr>
            <w:r>
              <w:rPr>
                <w:rFonts w:hint="eastAsia" w:ascii="仿宋" w:hAnsi="仿宋" w:eastAsia="仿宋" w:cs="仿宋"/>
                <w:sz w:val="28"/>
                <w:szCs w:val="28"/>
              </w:rPr>
              <w:t>1.提供用户管理后台。图书馆可以自行配置借阅机的显示效果，挑选展示风格。</w:t>
            </w:r>
          </w:p>
          <w:p>
            <w:pPr>
              <w:rPr>
                <w:rFonts w:ascii="仿宋" w:hAnsi="仿宋" w:eastAsia="仿宋" w:cs="仿宋"/>
                <w:sz w:val="28"/>
                <w:szCs w:val="28"/>
              </w:rPr>
            </w:pPr>
            <w:r>
              <w:rPr>
                <w:rFonts w:hint="eastAsia" w:ascii="仿宋" w:hAnsi="仿宋" w:eastAsia="仿宋" w:cs="仿宋"/>
                <w:sz w:val="28"/>
                <w:szCs w:val="28"/>
              </w:rPr>
              <w:t>2.提供信息发布后台。图书馆可以自行发布文字、图片等信息，推送至指定的借阅机上显示。</w:t>
            </w:r>
          </w:p>
          <w:p>
            <w:pPr>
              <w:rPr>
                <w:rFonts w:ascii="仿宋" w:hAnsi="仿宋" w:eastAsia="仿宋" w:cs="仿宋"/>
                <w:sz w:val="28"/>
                <w:szCs w:val="28"/>
              </w:rPr>
            </w:pPr>
            <w:r>
              <w:rPr>
                <w:rFonts w:hint="eastAsia" w:ascii="仿宋" w:hAnsi="仿宋" w:eastAsia="仿宋" w:cs="仿宋"/>
                <w:sz w:val="28"/>
                <w:szCs w:val="28"/>
              </w:rPr>
              <w:t>3.提供视频上传后台。图书馆可以自定义发布视频资源，获取播放地址；支持单个、多个视频、多个视频组的不同展示。</w:t>
            </w:r>
          </w:p>
          <w:p>
            <w:pPr>
              <w:rPr>
                <w:rFonts w:ascii="仿宋" w:hAnsi="仿宋" w:eastAsia="仿宋" w:cs="仿宋"/>
                <w:sz w:val="28"/>
                <w:szCs w:val="28"/>
              </w:rPr>
            </w:pPr>
            <w:r>
              <w:rPr>
                <w:rFonts w:hint="eastAsia" w:ascii="仿宋" w:hAnsi="仿宋" w:eastAsia="仿宋" w:cs="仿宋"/>
                <w:sz w:val="28"/>
                <w:szCs w:val="28"/>
              </w:rPr>
              <w:t>4.提供人员架构信息发布后台，单位可以自行添加信息。</w:t>
            </w:r>
          </w:p>
          <w:p>
            <w:pPr>
              <w:rPr>
                <w:rFonts w:ascii="仿宋" w:hAnsi="仿宋" w:eastAsia="仿宋" w:cs="仿宋"/>
                <w:sz w:val="28"/>
                <w:szCs w:val="28"/>
              </w:rPr>
            </w:pPr>
            <w:r>
              <w:rPr>
                <w:rFonts w:hint="eastAsia" w:ascii="仿宋" w:hAnsi="仿宋" w:eastAsia="仿宋" w:cs="仿宋"/>
                <w:sz w:val="28"/>
                <w:szCs w:val="28"/>
              </w:rPr>
              <w:t>5.提供图片上传后台，用户可以自定义上传图片资源。</w:t>
            </w:r>
          </w:p>
          <w:p>
            <w:pPr>
              <w:rPr>
                <w:rFonts w:ascii="仿宋" w:hAnsi="仿宋" w:eastAsia="仿宋" w:cs="仿宋"/>
                <w:sz w:val="28"/>
                <w:szCs w:val="28"/>
              </w:rPr>
            </w:pPr>
            <w:r>
              <w:rPr>
                <w:rFonts w:hint="eastAsia" w:ascii="仿宋" w:hAnsi="仿宋" w:eastAsia="仿宋" w:cs="仿宋"/>
                <w:sz w:val="28"/>
                <w:szCs w:val="28"/>
              </w:rPr>
              <w:t>6.提供统一的微服务管理平台，支持PC端+移动端的多终端自主管理功能。</w:t>
            </w:r>
          </w:p>
          <w:p>
            <w:pPr>
              <w:rPr>
                <w:rFonts w:ascii="仿宋" w:hAnsi="仿宋" w:eastAsia="仿宋" w:cs="仿宋"/>
                <w:sz w:val="28"/>
                <w:szCs w:val="28"/>
              </w:rPr>
            </w:pPr>
            <w:r>
              <w:rPr>
                <w:rFonts w:hint="eastAsia" w:ascii="仿宋" w:hAnsi="仿宋" w:eastAsia="仿宋" w:cs="仿宋"/>
                <w:sz w:val="28"/>
                <w:szCs w:val="28"/>
              </w:rPr>
              <w:t>7.微服务管理后台支持对设备信息查看、在线/离线状态监控等。</w:t>
            </w:r>
          </w:p>
          <w:p>
            <w:pPr>
              <w:rPr>
                <w:rFonts w:ascii="仿宋" w:hAnsi="仿宋" w:eastAsia="仿宋" w:cs="仿宋"/>
                <w:sz w:val="28"/>
                <w:szCs w:val="28"/>
              </w:rPr>
            </w:pPr>
            <w:r>
              <w:rPr>
                <w:rFonts w:hint="eastAsia" w:ascii="仿宋" w:hAnsi="仿宋" w:eastAsia="仿宋" w:cs="仿宋"/>
                <w:sz w:val="28"/>
                <w:szCs w:val="28"/>
              </w:rPr>
              <w:t>8.微服务管理后台可以对设备进行远程管理，包括重启、关机、刷新等操作。</w:t>
            </w:r>
          </w:p>
          <w:p>
            <w:pPr>
              <w:rPr>
                <w:rFonts w:ascii="仿宋" w:hAnsi="仿宋" w:eastAsia="仿宋" w:cs="仿宋"/>
                <w:sz w:val="28"/>
                <w:szCs w:val="28"/>
              </w:rPr>
            </w:pPr>
            <w:r>
              <w:rPr>
                <w:rFonts w:hint="eastAsia" w:ascii="仿宋" w:hAnsi="仿宋" w:eastAsia="仿宋" w:cs="仿宋"/>
                <w:sz w:val="28"/>
                <w:szCs w:val="28"/>
              </w:rPr>
              <w:t>9.微服务管理后台可以对设备进行内容配置，切换版式、显示名称、添加导航及调整顺序等。</w:t>
            </w:r>
          </w:p>
          <w:p>
            <w:pPr>
              <w:rPr>
                <w:rFonts w:ascii="仿宋" w:hAnsi="仿宋" w:eastAsia="仿宋" w:cs="仿宋"/>
                <w:sz w:val="28"/>
                <w:szCs w:val="28"/>
              </w:rPr>
            </w:pPr>
            <w:r>
              <w:rPr>
                <w:rFonts w:hint="eastAsia" w:ascii="仿宋" w:hAnsi="仿宋" w:eastAsia="仿宋" w:cs="仿宋"/>
                <w:sz w:val="28"/>
                <w:szCs w:val="28"/>
              </w:rPr>
              <w:t>10.微服务管理后台可以对设备进行版式修改。</w:t>
            </w:r>
          </w:p>
        </w:tc>
        <w:tc>
          <w:tcPr>
            <w:tcW w:w="85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jc w:val="center"/>
              <w:rPr>
                <w:rFonts w:ascii="仿宋" w:hAnsi="仿宋" w:eastAsia="仿宋" w:cs="仿宋"/>
                <w:b/>
                <w:sz w:val="28"/>
                <w:szCs w:val="28"/>
              </w:rPr>
            </w:pP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硬件参数</w:t>
            </w:r>
          </w:p>
        </w:tc>
        <w:tc>
          <w:tcPr>
            <w:tcW w:w="5953" w:type="dxa"/>
          </w:tcPr>
          <w:p>
            <w:pPr>
              <w:rPr>
                <w:rFonts w:ascii="仿宋" w:hAnsi="仿宋" w:eastAsia="仿宋" w:cs="仿宋"/>
                <w:sz w:val="28"/>
                <w:szCs w:val="28"/>
              </w:rPr>
            </w:pPr>
            <w:r>
              <w:rPr>
                <w:rFonts w:hint="eastAsia" w:ascii="仿宋" w:hAnsi="仿宋" w:eastAsia="仿宋" w:cs="仿宋"/>
                <w:sz w:val="28"/>
                <w:szCs w:val="28"/>
              </w:rPr>
              <w:t>1.屏幕分辨率：不低于1920*1080。</w:t>
            </w:r>
          </w:p>
          <w:p>
            <w:pPr>
              <w:rPr>
                <w:rFonts w:ascii="仿宋" w:hAnsi="仿宋" w:eastAsia="仿宋" w:cs="仿宋"/>
                <w:sz w:val="28"/>
                <w:szCs w:val="28"/>
              </w:rPr>
            </w:pPr>
            <w:r>
              <w:rPr>
                <w:rFonts w:hint="eastAsia" w:ascii="仿宋" w:hAnsi="仿宋" w:eastAsia="仿宋" w:cs="仿宋"/>
                <w:sz w:val="28"/>
                <w:szCs w:val="28"/>
              </w:rPr>
              <w:t>2.可视角度：不低于89°/89°/89°/89°(L/R/U/D)。</w:t>
            </w:r>
          </w:p>
          <w:p>
            <w:pPr>
              <w:rPr>
                <w:rFonts w:ascii="仿宋" w:hAnsi="仿宋" w:eastAsia="仿宋" w:cs="仿宋"/>
                <w:sz w:val="28"/>
                <w:szCs w:val="28"/>
              </w:rPr>
            </w:pPr>
            <w:r>
              <w:rPr>
                <w:rFonts w:hint="eastAsia" w:ascii="仿宋" w:hAnsi="仿宋" w:eastAsia="仿宋" w:cs="仿宋"/>
                <w:sz w:val="28"/>
                <w:szCs w:val="28"/>
              </w:rPr>
              <w:t>3.亮度：≥400cd/m2。</w:t>
            </w:r>
          </w:p>
          <w:p>
            <w:pPr>
              <w:rPr>
                <w:rFonts w:ascii="仿宋" w:hAnsi="仿宋" w:eastAsia="仿宋" w:cs="仿宋"/>
                <w:sz w:val="28"/>
                <w:szCs w:val="28"/>
              </w:rPr>
            </w:pPr>
            <w:r>
              <w:rPr>
                <w:rFonts w:hint="eastAsia" w:ascii="仿宋" w:hAnsi="仿宋" w:eastAsia="仿宋" w:cs="仿宋"/>
                <w:sz w:val="28"/>
                <w:szCs w:val="28"/>
              </w:rPr>
              <w:t>4.对比度：≥1200:1。</w:t>
            </w:r>
          </w:p>
          <w:p>
            <w:pPr>
              <w:rPr>
                <w:rFonts w:ascii="仿宋" w:hAnsi="仿宋" w:eastAsia="仿宋" w:cs="仿宋"/>
                <w:sz w:val="28"/>
                <w:szCs w:val="28"/>
              </w:rPr>
            </w:pPr>
            <w:r>
              <w:rPr>
                <w:rFonts w:hint="eastAsia" w:ascii="仿宋" w:hAnsi="仿宋" w:eastAsia="仿宋" w:cs="仿宋"/>
                <w:sz w:val="28"/>
                <w:szCs w:val="28"/>
              </w:rPr>
              <w:t>5.显示屏颜色：16.7M。</w:t>
            </w:r>
          </w:p>
          <w:p>
            <w:pPr>
              <w:rPr>
                <w:rFonts w:ascii="仿宋" w:hAnsi="仿宋" w:eastAsia="仿宋" w:cs="仿宋"/>
                <w:sz w:val="28"/>
                <w:szCs w:val="28"/>
              </w:rPr>
            </w:pPr>
            <w:r>
              <w:rPr>
                <w:rFonts w:hint="eastAsia" w:ascii="仿宋" w:hAnsi="仿宋" w:eastAsia="仿宋" w:cs="仿宋"/>
                <w:sz w:val="28"/>
                <w:szCs w:val="28"/>
              </w:rPr>
              <w:t>6.反应时间：≤8ms。</w:t>
            </w:r>
          </w:p>
          <w:p>
            <w:pPr>
              <w:rPr>
                <w:rFonts w:ascii="仿宋" w:hAnsi="仿宋" w:eastAsia="仿宋" w:cs="仿宋"/>
                <w:sz w:val="28"/>
                <w:szCs w:val="28"/>
              </w:rPr>
            </w:pPr>
            <w:r>
              <w:rPr>
                <w:rFonts w:hint="eastAsia" w:ascii="仿宋" w:hAnsi="仿宋" w:eastAsia="仿宋" w:cs="仿宋"/>
                <w:sz w:val="28"/>
                <w:szCs w:val="28"/>
              </w:rPr>
              <w:t>7.音频：≥2个。</w:t>
            </w:r>
          </w:p>
          <w:p>
            <w:pPr>
              <w:rPr>
                <w:rFonts w:ascii="仿宋" w:hAnsi="仿宋" w:eastAsia="仿宋" w:cs="仿宋"/>
                <w:sz w:val="28"/>
                <w:szCs w:val="28"/>
              </w:rPr>
            </w:pPr>
            <w:r>
              <w:rPr>
                <w:rFonts w:hint="eastAsia" w:ascii="仿宋" w:hAnsi="仿宋" w:eastAsia="仿宋" w:cs="仿宋"/>
                <w:sz w:val="28"/>
                <w:szCs w:val="28"/>
              </w:rPr>
              <w:t>8.显示尺寸：不低于940.896(H)*529.254(V)。</w:t>
            </w:r>
          </w:p>
          <w:p>
            <w:pPr>
              <w:rPr>
                <w:rFonts w:ascii="仿宋" w:hAnsi="仿宋" w:eastAsia="仿宋" w:cs="仿宋"/>
                <w:sz w:val="28"/>
                <w:szCs w:val="28"/>
              </w:rPr>
            </w:pPr>
            <w:r>
              <w:rPr>
                <w:rFonts w:hint="eastAsia" w:ascii="仿宋" w:hAnsi="仿宋" w:eastAsia="仿宋" w:cs="仿宋"/>
                <w:sz w:val="28"/>
                <w:szCs w:val="28"/>
              </w:rPr>
              <w:t>9.触摸屏参数：</w:t>
            </w:r>
          </w:p>
          <w:p>
            <w:pPr>
              <w:rPr>
                <w:rFonts w:ascii="仿宋" w:hAnsi="仿宋" w:eastAsia="仿宋" w:cs="仿宋"/>
                <w:sz w:val="28"/>
                <w:szCs w:val="28"/>
              </w:rPr>
            </w:pPr>
            <w:r>
              <w:rPr>
                <w:rFonts w:hint="eastAsia" w:ascii="仿宋" w:hAnsi="仿宋" w:eastAsia="仿宋" w:cs="仿宋"/>
                <w:sz w:val="28"/>
                <w:szCs w:val="28"/>
              </w:rPr>
              <w:t>1）触摸嵌入方式：内置电容触摸屏；</w:t>
            </w:r>
          </w:p>
          <w:p>
            <w:pPr>
              <w:rPr>
                <w:rFonts w:ascii="仿宋" w:hAnsi="仿宋" w:eastAsia="仿宋" w:cs="仿宋"/>
                <w:sz w:val="28"/>
                <w:szCs w:val="28"/>
              </w:rPr>
            </w:pPr>
            <w:r>
              <w:rPr>
                <w:rFonts w:hint="eastAsia" w:ascii="仿宋" w:hAnsi="仿宋" w:eastAsia="仿宋" w:cs="仿宋"/>
                <w:sz w:val="28"/>
                <w:szCs w:val="28"/>
              </w:rPr>
              <w:t>2）触摸屏感应方式嵌入式：投射式电容技术；</w:t>
            </w:r>
          </w:p>
          <w:p>
            <w:pPr>
              <w:rPr>
                <w:rFonts w:ascii="仿宋" w:hAnsi="仿宋" w:eastAsia="仿宋" w:cs="仿宋"/>
                <w:sz w:val="28"/>
                <w:szCs w:val="28"/>
              </w:rPr>
            </w:pPr>
            <w:r>
              <w:rPr>
                <w:rFonts w:hint="eastAsia" w:ascii="仿宋" w:hAnsi="仿宋" w:eastAsia="仿宋" w:cs="仿宋"/>
                <w:sz w:val="28"/>
                <w:szCs w:val="28"/>
              </w:rPr>
              <w:t>3）触摸有效识别：≥1.5mm；</w:t>
            </w:r>
          </w:p>
          <w:p>
            <w:pPr>
              <w:rPr>
                <w:rFonts w:ascii="仿宋" w:hAnsi="仿宋" w:eastAsia="仿宋" w:cs="仿宋"/>
                <w:sz w:val="28"/>
                <w:szCs w:val="28"/>
              </w:rPr>
            </w:pPr>
            <w:r>
              <w:rPr>
                <w:rFonts w:hint="eastAsia" w:ascii="仿宋" w:hAnsi="仿宋" w:eastAsia="仿宋" w:cs="仿宋"/>
                <w:sz w:val="28"/>
                <w:szCs w:val="28"/>
              </w:rPr>
              <w:t>4）扫描频率：≥200Hz；</w:t>
            </w:r>
          </w:p>
          <w:p>
            <w:pPr>
              <w:rPr>
                <w:rFonts w:ascii="仿宋" w:hAnsi="仿宋" w:eastAsia="仿宋" w:cs="仿宋"/>
                <w:sz w:val="28"/>
                <w:szCs w:val="28"/>
              </w:rPr>
            </w:pPr>
            <w:r>
              <w:rPr>
                <w:rFonts w:hint="eastAsia" w:ascii="仿宋" w:hAnsi="仿宋" w:eastAsia="仿宋" w:cs="仿宋"/>
                <w:sz w:val="28"/>
                <w:szCs w:val="28"/>
              </w:rPr>
              <w:t>5）扫描精度：≥4096×4096；</w:t>
            </w:r>
          </w:p>
          <w:p>
            <w:pPr>
              <w:rPr>
                <w:rFonts w:ascii="仿宋" w:hAnsi="仿宋" w:eastAsia="仿宋" w:cs="仿宋"/>
                <w:sz w:val="28"/>
                <w:szCs w:val="28"/>
              </w:rPr>
            </w:pPr>
            <w:r>
              <w:rPr>
                <w:rFonts w:hint="eastAsia" w:ascii="仿宋" w:hAnsi="仿宋" w:eastAsia="仿宋" w:cs="仿宋"/>
                <w:sz w:val="28"/>
                <w:szCs w:val="28"/>
              </w:rPr>
              <w:t>6）校准符合HID设备要求，无需校准；</w:t>
            </w:r>
          </w:p>
          <w:p>
            <w:pPr>
              <w:rPr>
                <w:rFonts w:ascii="仿宋" w:hAnsi="仿宋" w:eastAsia="仿宋" w:cs="仿宋"/>
                <w:sz w:val="28"/>
                <w:szCs w:val="28"/>
              </w:rPr>
            </w:pPr>
            <w:r>
              <w:rPr>
                <w:rFonts w:hint="eastAsia" w:ascii="仿宋" w:hAnsi="仿宋" w:eastAsia="仿宋" w:cs="仿宋"/>
                <w:sz w:val="28"/>
                <w:szCs w:val="28"/>
              </w:rPr>
              <w:t>7）多点触摸：支持多点触摸和两人同时书写；</w:t>
            </w:r>
          </w:p>
          <w:p>
            <w:pPr>
              <w:rPr>
                <w:rFonts w:ascii="仿宋" w:hAnsi="仿宋" w:eastAsia="仿宋" w:cs="仿宋"/>
                <w:sz w:val="28"/>
                <w:szCs w:val="28"/>
              </w:rPr>
            </w:pPr>
            <w:r>
              <w:rPr>
                <w:rFonts w:hint="eastAsia" w:ascii="仿宋" w:hAnsi="仿宋" w:eastAsia="仿宋" w:cs="仿宋"/>
                <w:sz w:val="28"/>
                <w:szCs w:val="28"/>
              </w:rPr>
              <w:t>8）触摸次数：无限制；</w:t>
            </w:r>
          </w:p>
          <w:p>
            <w:pPr>
              <w:rPr>
                <w:rFonts w:ascii="仿宋" w:hAnsi="仿宋" w:eastAsia="仿宋" w:cs="仿宋"/>
                <w:sz w:val="28"/>
                <w:szCs w:val="28"/>
              </w:rPr>
            </w:pPr>
            <w:r>
              <w:rPr>
                <w:rFonts w:hint="eastAsia" w:ascii="仿宋" w:hAnsi="仿宋" w:eastAsia="仿宋" w:cs="仿宋"/>
                <w:sz w:val="28"/>
                <w:szCs w:val="28"/>
              </w:rPr>
              <w:t>9）触摸压力：无压力要求；</w:t>
            </w:r>
          </w:p>
          <w:p>
            <w:pPr>
              <w:rPr>
                <w:rFonts w:ascii="仿宋" w:hAnsi="仿宋" w:eastAsia="仿宋" w:cs="仿宋"/>
                <w:sz w:val="28"/>
                <w:szCs w:val="28"/>
              </w:rPr>
            </w:pPr>
            <w:r>
              <w:rPr>
                <w:rFonts w:hint="eastAsia" w:ascii="仿宋" w:hAnsi="仿宋" w:eastAsia="仿宋" w:cs="仿宋"/>
                <w:sz w:val="28"/>
                <w:szCs w:val="28"/>
              </w:rPr>
              <w:t>10）表面硬度：物理钢化</w:t>
            </w:r>
            <w:r>
              <w:rPr>
                <w:rFonts w:hint="eastAsia" w:ascii="仿宋" w:hAnsi="仿宋" w:eastAsia="仿宋" w:cs="仿宋"/>
                <w:sz w:val="28"/>
                <w:szCs w:val="28"/>
                <w:lang w:eastAsia="zh-CN"/>
              </w:rPr>
              <w:t>，</w:t>
            </w:r>
            <w:r>
              <w:rPr>
                <w:rFonts w:hint="eastAsia" w:ascii="仿宋" w:hAnsi="仿宋" w:eastAsia="仿宋" w:cs="仿宋"/>
                <w:sz w:val="28"/>
                <w:szCs w:val="28"/>
              </w:rPr>
              <w:t>莫氏7级防爆玻璃；</w:t>
            </w:r>
          </w:p>
          <w:p>
            <w:pPr>
              <w:rPr>
                <w:rFonts w:ascii="仿宋" w:hAnsi="仿宋" w:eastAsia="仿宋" w:cs="仿宋"/>
                <w:sz w:val="28"/>
                <w:szCs w:val="28"/>
              </w:rPr>
            </w:pPr>
            <w:r>
              <w:rPr>
                <w:rFonts w:hint="eastAsia" w:ascii="仿宋" w:hAnsi="仿宋" w:eastAsia="仿宋" w:cs="仿宋"/>
                <w:sz w:val="28"/>
                <w:szCs w:val="28"/>
              </w:rPr>
              <w:t>11）计算机响应系统：自动识别，无需安装驱动；</w:t>
            </w:r>
          </w:p>
          <w:p>
            <w:pPr>
              <w:rPr>
                <w:rFonts w:ascii="仿宋" w:hAnsi="仿宋" w:eastAsia="仿宋" w:cs="仿宋"/>
                <w:sz w:val="28"/>
                <w:szCs w:val="28"/>
              </w:rPr>
            </w:pPr>
            <w:r>
              <w:rPr>
                <w:rFonts w:hint="eastAsia" w:ascii="仿宋" w:hAnsi="仿宋" w:eastAsia="仿宋" w:cs="仿宋"/>
                <w:sz w:val="28"/>
                <w:szCs w:val="28"/>
              </w:rPr>
              <w:t>12）触摸系统供电方式：可用USB直接供电。</w:t>
            </w:r>
          </w:p>
          <w:p>
            <w:pPr>
              <w:rPr>
                <w:rFonts w:ascii="仿宋" w:hAnsi="仿宋" w:eastAsia="仿宋" w:cs="仿宋"/>
                <w:sz w:val="28"/>
                <w:szCs w:val="28"/>
              </w:rPr>
            </w:pPr>
            <w:r>
              <w:rPr>
                <w:rFonts w:hint="eastAsia" w:ascii="仿宋" w:hAnsi="仿宋" w:eastAsia="仿宋" w:cs="仿宋"/>
                <w:sz w:val="28"/>
                <w:szCs w:val="28"/>
              </w:rPr>
              <w:t>10.内置控制系统：</w:t>
            </w:r>
          </w:p>
          <w:p>
            <w:pPr>
              <w:rPr>
                <w:rFonts w:ascii="仿宋" w:hAnsi="仿宋" w:eastAsia="仿宋" w:cs="仿宋"/>
                <w:sz w:val="28"/>
                <w:szCs w:val="28"/>
              </w:rPr>
            </w:pPr>
            <w:r>
              <w:rPr>
                <w:rFonts w:hint="eastAsia" w:ascii="仿宋" w:hAnsi="仿宋" w:eastAsia="仿宋" w:cs="仿宋"/>
                <w:sz w:val="28"/>
                <w:szCs w:val="28"/>
              </w:rPr>
              <w:t>1）系统：不低于Android 7.1；</w:t>
            </w:r>
          </w:p>
          <w:p>
            <w:pPr>
              <w:rPr>
                <w:rFonts w:ascii="仿宋" w:hAnsi="仿宋" w:eastAsia="仿宋" w:cs="仿宋"/>
                <w:sz w:val="28"/>
                <w:szCs w:val="28"/>
              </w:rPr>
            </w:pPr>
            <w:r>
              <w:rPr>
                <w:rFonts w:hint="eastAsia" w:ascii="仿宋" w:hAnsi="仿宋" w:eastAsia="仿宋" w:cs="仿宋"/>
                <w:sz w:val="28"/>
                <w:szCs w:val="28"/>
              </w:rPr>
              <w:t>2）处理器：不低于RK 3399 六核 主频2.0GHz；</w:t>
            </w:r>
          </w:p>
          <w:p>
            <w:pPr>
              <w:rPr>
                <w:rFonts w:ascii="仿宋" w:hAnsi="仿宋" w:eastAsia="仿宋" w:cs="仿宋"/>
                <w:sz w:val="28"/>
                <w:szCs w:val="28"/>
              </w:rPr>
            </w:pPr>
            <w:r>
              <w:rPr>
                <w:rFonts w:hint="eastAsia" w:ascii="仿宋" w:hAnsi="仿宋" w:eastAsia="仿宋" w:cs="仿宋"/>
                <w:sz w:val="28"/>
                <w:szCs w:val="28"/>
              </w:rPr>
              <w:t>3）内存：≥4G；</w:t>
            </w:r>
          </w:p>
          <w:p>
            <w:pPr>
              <w:rPr>
                <w:rFonts w:ascii="仿宋" w:hAnsi="仿宋" w:eastAsia="仿宋" w:cs="仿宋"/>
                <w:sz w:val="28"/>
                <w:szCs w:val="28"/>
              </w:rPr>
            </w:pPr>
            <w:r>
              <w:rPr>
                <w:rFonts w:hint="eastAsia" w:ascii="仿宋" w:hAnsi="仿宋" w:eastAsia="仿宋" w:cs="仿宋"/>
                <w:sz w:val="28"/>
                <w:szCs w:val="28"/>
              </w:rPr>
              <w:t>4）存储容量：≥32G；</w:t>
            </w:r>
          </w:p>
          <w:p>
            <w:pPr>
              <w:rPr>
                <w:rFonts w:ascii="仿宋" w:hAnsi="仿宋" w:eastAsia="仿宋" w:cs="仿宋"/>
                <w:sz w:val="28"/>
                <w:szCs w:val="28"/>
              </w:rPr>
            </w:pPr>
            <w:r>
              <w:rPr>
                <w:rFonts w:hint="eastAsia" w:ascii="仿宋" w:hAnsi="仿宋" w:eastAsia="仿宋" w:cs="仿宋"/>
                <w:sz w:val="28"/>
                <w:szCs w:val="28"/>
              </w:rPr>
              <w:t>5）接口：不少于RJ45×1；USB×2；电源×1；遥控×1；耳机输出×1；</w:t>
            </w:r>
          </w:p>
          <w:p>
            <w:pPr>
              <w:rPr>
                <w:rFonts w:ascii="仿宋" w:hAnsi="仿宋" w:eastAsia="仿宋" w:cs="仿宋"/>
                <w:sz w:val="28"/>
                <w:szCs w:val="28"/>
              </w:rPr>
            </w:pPr>
            <w:r>
              <w:rPr>
                <w:rFonts w:hint="eastAsia" w:ascii="仿宋" w:hAnsi="仿宋" w:eastAsia="仿宋" w:cs="仿宋"/>
                <w:sz w:val="28"/>
                <w:szCs w:val="28"/>
              </w:rPr>
              <w:t>6）网卡：IEEE802.3和以太网1000M；</w:t>
            </w:r>
          </w:p>
          <w:p>
            <w:pPr>
              <w:rPr>
                <w:rFonts w:ascii="仿宋" w:hAnsi="仿宋" w:eastAsia="仿宋" w:cs="仿宋"/>
                <w:sz w:val="28"/>
                <w:szCs w:val="28"/>
              </w:rPr>
            </w:pPr>
            <w:r>
              <w:rPr>
                <w:rFonts w:hint="eastAsia" w:ascii="仿宋" w:hAnsi="仿宋" w:eastAsia="仿宋" w:cs="仿宋"/>
                <w:sz w:val="28"/>
                <w:szCs w:val="28"/>
              </w:rPr>
              <w:t>7）联网方式：有线、wifi。</w:t>
            </w:r>
          </w:p>
        </w:tc>
        <w:tc>
          <w:tcPr>
            <w:tcW w:w="851" w:type="dxa"/>
            <w:vMerge w:val="continue"/>
            <w:vAlign w:val="center"/>
          </w:tcPr>
          <w:p>
            <w:pPr>
              <w:jc w:val="center"/>
              <w:rPr>
                <w:rFonts w:ascii="仿宋" w:hAnsi="仿宋" w:eastAsia="仿宋" w:cs="仿宋"/>
                <w:sz w:val="28"/>
                <w:szCs w:val="28"/>
              </w:rPr>
            </w:pPr>
          </w:p>
        </w:tc>
      </w:tr>
    </w:tbl>
    <w:p>
      <w:pPr>
        <w:spacing w:line="360" w:lineRule="auto"/>
        <w:rPr>
          <w:rFonts w:ascii="仿宋" w:hAnsi="仿宋" w:eastAsia="仿宋" w:cs="仿宋"/>
          <w:sz w:val="28"/>
          <w:szCs w:val="28"/>
        </w:rPr>
      </w:pPr>
    </w:p>
    <w:p>
      <w:pPr>
        <w:pStyle w:val="2"/>
      </w:pP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2.8 移动图书馆平台</w:t>
      </w:r>
    </w:p>
    <w:tbl>
      <w:tblPr>
        <w:tblStyle w:val="3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6224"/>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622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580"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移动图书馆平台</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6224" w:type="dxa"/>
          </w:tcPr>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一、移动OPAC系统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1.要求与图书馆OPAC系统完成统一认证，无需读者重复注册账号。</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基于本馆opac系统功能，要求在手机终端具备馆图书馆公告浏览、热门图书预览、热门检索词展示、馆藏书目查询、馆藏复本情况、在架信息、在线预约、个人借阅信息查看、在线续借、预约取书提醒、催还信息告知、电子读者证等功能。</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3.要求通过手机扫描图书馆纸质图书条形码，可实时查看对应该图书所在的馆藏架位信息和可预约、可借阅情况，并且要求直接可查看本书对应的电子版，并实现手机下载，文献传递等全文获取方式。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4.界面要求自适应手机终端尺寸大小，符合手机用户使用习惯。</w:t>
            </w:r>
          </w:p>
          <w:p>
            <w:pPr>
              <w:autoSpaceDE w:val="0"/>
              <w:autoSpaceDN w:val="0"/>
              <w:jc w:val="left"/>
              <w:rPr>
                <w:rFonts w:ascii="仿宋" w:hAnsi="仿宋" w:eastAsia="仿宋" w:cs="仿宋"/>
                <w:sz w:val="28"/>
                <w:szCs w:val="28"/>
              </w:rPr>
            </w:pPr>
            <w:r>
              <w:rPr>
                <w:rFonts w:hint="eastAsia" w:ascii="仿宋" w:hAnsi="仿宋" w:eastAsia="仿宋" w:cs="仿宋"/>
                <w:b/>
                <w:sz w:val="28"/>
                <w:szCs w:val="28"/>
              </w:rPr>
              <w:t>二、数字资源服务平台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要求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2.需提供适合手机使用的且具有完全自主知识产权的视频，支持有声读物播放，为满足读者视听需求，移动图书馆视频内嵌资源量要求不少于2万集。需提供视频目录，便于查验。</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3.整合的期刊、论文等摘要页面要显示相关文献来源，且能提供适合移动设备的链接访问，并提供文献传递服务。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4.需提供图书与期刊导航，并集成在首页中显示。</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5.需实现热门图书、期刊、论文等文献的推荐。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6.提供多种全文获取方式，本馆有全文可直接阅读，无全文的可通过与已有的文献传递系统对接，将文献发送到读者的邮箱。</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7.要求通过该系统访问本馆购买的资源，将不受IP限制，而是通过认证，直接针对每一个读者进行权限控制，只要通过随身设备连接网络，就可在全球任何地点访问，无需单独分开的登录、认证等。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8.支持各类型智能手机：图书馆的文献资源全文可以通过各种类型手持设备进行统一访问。自适应安卓</w:t>
            </w:r>
            <w:r>
              <w:rPr>
                <w:rFonts w:hint="eastAsia" w:ascii="仿宋" w:hAnsi="仿宋" w:eastAsia="仿宋" w:cs="仿宋"/>
                <w:sz w:val="28"/>
                <w:szCs w:val="28"/>
                <w:lang w:eastAsia="zh-CN"/>
              </w:rPr>
              <w:t>（</w:t>
            </w:r>
            <w:r>
              <w:rPr>
                <w:rFonts w:hint="eastAsia" w:ascii="仿宋" w:hAnsi="仿宋" w:eastAsia="仿宋" w:cs="仿宋"/>
                <w:sz w:val="28"/>
                <w:szCs w:val="28"/>
              </w:rPr>
              <w:t>android)、苹果（Iphone）等各类可上网手机。在全文文字展示页面可以选择字体的大小和夜间模式。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9.用户在用手机查找文献时，可提出申请将检索结果直接发送到个人邮箱。</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10.需实现移动图书馆同一平台上统一检索，形成在移动图书馆上一站式检索图书馆的电子资源。电子期刊检索、图书检索、论文检索等均在一个搜索框和属性页里面切换，一体化操作。</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11.输入外文单词，系统根据用户输入智能判断为外文资源，同时在得到结果后还可以查看相关的中文资源；支持按不同字段进行检索，支持二次检索；检索结果支持按照不同方式排序。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12.必须支持语音搜索。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13.支持检索结果筛选，支持多种筛选模式，如按中外文，时间，标题等。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14.需支持全文检索服务，可定位到相关图书的具体页数，支持在线阅读相关页。</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15.可对相关文献进行收藏，分享等操作。</w:t>
            </w:r>
          </w:p>
          <w:p>
            <w:pPr>
              <w:autoSpaceDE w:val="0"/>
              <w:autoSpaceDN w:val="0"/>
              <w:jc w:val="left"/>
              <w:rPr>
                <w:rFonts w:ascii="仿宋" w:hAnsi="仿宋" w:eastAsia="仿宋" w:cs="仿宋"/>
                <w:sz w:val="28"/>
                <w:szCs w:val="28"/>
              </w:rPr>
            </w:pPr>
            <w:r>
              <w:rPr>
                <w:rFonts w:hint="eastAsia" w:ascii="仿宋" w:hAnsi="仿宋" w:eastAsia="仿宋" w:cs="仿宋"/>
                <w:b/>
                <w:sz w:val="28"/>
                <w:szCs w:val="28"/>
              </w:rPr>
              <w:t>三、移动阅读资源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1.需提供适合不同手机阅读的EPUB格式热门图书，不少于2万种。提供100万种以上原貌图书，所有图书支持全文下载，并保存在手机中，并提供相关搜索服务。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2.需提供300种以上适合移动阅读的报纸资源，并且实现报纸的当日更新。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3.提供文献传递服务，并且接入全国图书馆参考咨询联盟建立的云传递共享平台。中文文献传递满足率达到95%以上，外文文献传递满足率达到91%以上。传递的文献必须能够随时随地打开阅读。</w:t>
            </w:r>
          </w:p>
          <w:p>
            <w:pPr>
              <w:autoSpaceDE w:val="0"/>
              <w:autoSpaceDN w:val="0"/>
              <w:jc w:val="left"/>
              <w:rPr>
                <w:rFonts w:ascii="仿宋" w:hAnsi="仿宋" w:eastAsia="仿宋" w:cs="仿宋"/>
                <w:sz w:val="28"/>
                <w:szCs w:val="28"/>
              </w:rPr>
            </w:pPr>
            <w:r>
              <w:rPr>
                <w:rFonts w:hint="eastAsia" w:ascii="仿宋" w:hAnsi="仿宋" w:eastAsia="仿宋" w:cs="仿宋"/>
                <w:b/>
                <w:sz w:val="28"/>
                <w:szCs w:val="28"/>
              </w:rPr>
              <w:t>四、个性化服务系统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1.移动图书馆平台内所有功能APP都要求结构灵活，支持用户根据喜好，常用度，使用习惯随意调整位置。通过APP服务可自由添加，删除相关模块。</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2.支持设置app护眼模式，清空app缓存信息，支持设置app中文英文语言设置。</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3.系统需具备分享功能，必须具备微信好友，微信朋友圈等社交分享平台。</w:t>
            </w:r>
          </w:p>
        </w:tc>
        <w:tc>
          <w:tcPr>
            <w:tcW w:w="580"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2.9 微信悦读小程序</w:t>
      </w:r>
    </w:p>
    <w:tbl>
      <w:tblPr>
        <w:tblStyle w:val="35"/>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13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2" w:hRule="atLeast"/>
        </w:trPr>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微信悦读小程序</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一、图书资源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需提供不少于3.8万册epub格式畅销经典电子书，图书每日更新。图书分类包含成功励志、经典名著、小说传记、经管理财、历史军事、亲子育儿、人生哲学、人文社科、生活保健、文学艺术、政治法律、防疫保护、近代才子等大众分类。小程序可以根据图书阅读量自动推出阅读排行榜。</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二、期刊资源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需提供不少于3000种高频订阅的优质期刊，涵盖时政、财经、生活、时尚、文学、历史、艺术、军事科技、运动养生、影视旅游、女性、文化、科普、教育、法制、外文、学术等日常生活的方方面面。</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三、讲座资源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需提供适合广大市民学习的经典视频不少于10000集，包含3分钟知识胶囊、30分钟讲座、名师汇等栏目，实现每日更新。</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四、听书资源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听书资源需提供包含传奇史话、古代历史、人物传记、国学经典、中国文学、世界名著等分类，最多可提供30余种分类。以及荣获各类奖项的名篇佳作。</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五、才艺课</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需提供90分钟系列优质才艺慕课资源，课程分类应包含口琴、钢琴、恰恰、书法、绘画、唱歌、象棋、油画、化妆、街舞、篮球、茶艺等分类，每门慕课课程章节不低于10集视频，提供收藏、评论功能，播放页面提供实时播放次数，评论次数。</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六、文化慕课</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（1）提供优质的文化慕课资源，应包含实操、书法、绘画、音乐、舞蹈、戏曲戏剧、民俗非遗、国学传统、影视摄影、少儿成长、健康生活等分类的资源。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（2）每门慕课课程章节不低于10集视频，提供收藏、评论功能，播放页面提供实时播放次数，评论次数。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（3）可以切换到听书模式，提供文稿、倍速播放、切换视频、前进、后退操作、播放列表等功能操作。</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七、海量专题</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专题支持后台动态配置文字、图片、视频、文档等富文本内容，支持在线阅读查看，满足单位自主发布资源内容的需求。</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八、主题书单</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需包含防疫抗疫、春节民俗、豆瓣好书、书友荐读，六一绘本、两会专题、雨水清明、重阳端午；</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九、每日讲座</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每天30分钟的视频推送，让大众与专家学者面对面，便捷收获新鲜、丰富的专业知识。</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十、我的书房</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提供了读者自己独立的书房，展示添加书房的图书、视频、期刊、讲座、绘本等资源聚合展示，方便读者查找，方便读者下次</w:t>
            </w:r>
            <w:r>
              <w:rPr>
                <w:rFonts w:hint="eastAsia" w:ascii="仿宋" w:hAnsi="仿宋" w:eastAsia="仿宋" w:cs="仿宋"/>
                <w:sz w:val="28"/>
                <w:szCs w:val="28"/>
                <w:lang w:eastAsia="zh-CN"/>
              </w:rPr>
              <w:t>快捷地继续</w:t>
            </w:r>
            <w:r>
              <w:rPr>
                <w:rFonts w:hint="eastAsia" w:ascii="仿宋" w:hAnsi="仿宋" w:eastAsia="仿宋" w:cs="仿宋"/>
                <w:sz w:val="28"/>
                <w:szCs w:val="28"/>
              </w:rPr>
              <w:t>阅读。</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十一、每日荐读</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管理员可手动增删修改书单，也可设置定时更新。</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十二、微阅读</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微阅读必须拥有大量的经典片段，支持阅读、搜索以及单位自建分类微读书。</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十三、统一检索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小程序提供统一检索功能，要实现图书、期刊、讲座、听书、绘本资源的一站式检索。同时提供热门搜索词，实现快速查询；也可以提供读者最近搜索记录。</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十四、新闻发布管理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实现本馆及分馆资讯分类管理，资讯公告的发布、审核；提供新闻资源的动态抓取。</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十五、智慧直播管理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用户可在微信小程序端、pc端、移动端观看，可查看正在直播、往期直播、精彩预告等。管理员在后台还可查看观看人数、观看时长、观看来源等统计。符合多种直播应用场景需求，是一个实时高效便捷的直播平台。智慧直播系统可通过摄像机端，移动端，PC端发起直播，支持全平台全终端观看，支持一键分享，快捷高效进行文化宣传和推广，轻松打造直播文化圈，助力文化传播。智慧直播系统具备强大的导播系统，不但可以实现多样的视频</w:t>
            </w:r>
            <w:r>
              <w:rPr>
                <w:rFonts w:hint="eastAsia" w:ascii="仿宋" w:hAnsi="仿宋" w:eastAsia="仿宋" w:cs="仿宋"/>
                <w:sz w:val="28"/>
                <w:szCs w:val="28"/>
                <w:lang w:eastAsia="zh-CN"/>
              </w:rPr>
              <w:t>资源</w:t>
            </w:r>
            <w:r>
              <w:rPr>
                <w:rFonts w:hint="eastAsia" w:ascii="仿宋" w:hAnsi="仿宋" w:eastAsia="仿宋" w:cs="仿宋"/>
                <w:sz w:val="28"/>
                <w:szCs w:val="28"/>
              </w:rPr>
              <w:t>接入，多画面导播，而且拥有强大的图层编辑、虚拟演播、比赛计分等功能。实现强大的直播管理功能，后台可以管理直播，发起直播，可设置直播回看，智慧直播系统依托云服务部署，解决了图书馆硬件服务器和软件部署与维护的费用，提供开放平台，不限流量、不限次进行直播，功能齐全，满足不同层级的客户需求，让直播随时随地发生。直播系统的云服务具备提供强大的CDN支持，可以同时支持30000人并发的直播流服务，扩展资源利用率。为用户提供一个专业、稳定、安全、高性价比的视频解决方案。</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十七、资源整合系统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可整合第三方数据库在小程序使用，可实现H5或元数据两种对接方式。</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十八、生成海报、资源分享</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小程序作为资源学习类应用，深耕内容优势，资源丰富的同时，也在不断打磨和提升用户体验，要实现增加分享性和参与性，升级了“生成海报”和“分享功能”，可分享至微信等社交软件上，读者通过海报的二维码即可在线阅读学习。读者也可以将资源进行任意分享，分享资源链接、分享精美海报都支持，读者只需点击链接或者扫描海报二维码</w:t>
            </w:r>
            <w:r>
              <w:rPr>
                <w:rFonts w:hint="eastAsia" w:ascii="仿宋" w:hAnsi="仿宋" w:eastAsia="仿宋" w:cs="仿宋"/>
                <w:sz w:val="28"/>
                <w:szCs w:val="28"/>
                <w:lang w:eastAsia="zh-CN"/>
              </w:rPr>
              <w:t>即可</w:t>
            </w:r>
            <w:r>
              <w:rPr>
                <w:rFonts w:hint="eastAsia" w:ascii="仿宋" w:hAnsi="仿宋" w:eastAsia="仿宋" w:cs="仿宋"/>
                <w:sz w:val="28"/>
                <w:szCs w:val="28"/>
              </w:rPr>
              <w:t>进入海量资源世界。</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后台可统计到用户的分享次数等数据。</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十九、作品征集平台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活动发布运营要实现</w:t>
            </w:r>
            <w:r>
              <w:rPr>
                <w:rFonts w:hint="eastAsia" w:ascii="仿宋" w:hAnsi="仿宋" w:eastAsia="仿宋" w:cs="仿宋"/>
                <w:sz w:val="28"/>
                <w:szCs w:val="28"/>
                <w:lang w:eastAsia="zh-CN"/>
              </w:rPr>
              <w:t>以下功能</w:t>
            </w:r>
            <w:r>
              <w:rPr>
                <w:rFonts w:hint="eastAsia" w:ascii="仿宋" w:hAnsi="仿宋" w:eastAsia="仿宋" w:cs="仿宋"/>
                <w:sz w:val="28"/>
                <w:szCs w:val="28"/>
              </w:rPr>
              <w:t>：（1）提供PC</w:t>
            </w:r>
            <w:r>
              <w:rPr>
                <w:rFonts w:hint="eastAsia" w:ascii="仿宋" w:hAnsi="仿宋" w:eastAsia="仿宋" w:cs="仿宋"/>
                <w:sz w:val="28"/>
                <w:szCs w:val="28"/>
                <w:lang w:eastAsia="zh-CN"/>
              </w:rPr>
              <w:t>后台</w:t>
            </w:r>
            <w:r>
              <w:rPr>
                <w:rFonts w:hint="eastAsia" w:ascii="仿宋" w:hAnsi="仿宋" w:eastAsia="仿宋" w:cs="仿宋"/>
                <w:sz w:val="28"/>
                <w:szCs w:val="28"/>
              </w:rPr>
              <w:t>创建活动活动分类，创建活动。（2）活动创建工具提供控件化设置（提供作品控件、话题控件、图书推荐、视频推荐、报名审核、作品审核、话题审核、考试控件、报名填写、移动发布、活动评分、报名姓名、报名身份证号、报名联系方式、区域归属等控件可供勾选），管理员可通过勾选来决定指定内容是否在活动页面展示。（3）活动提供在线推荐视频、推荐图书功能。（4）活动列表展示提供“全部活动、正在进行、已结束、活动预告”4种分</w:t>
            </w:r>
            <w:r>
              <w:rPr>
                <w:rFonts w:hint="eastAsia" w:ascii="仿宋" w:hAnsi="仿宋" w:eastAsia="仿宋" w:cs="仿宋"/>
                <w:sz w:val="28"/>
                <w:szCs w:val="28"/>
                <w:lang w:eastAsia="zh-CN"/>
              </w:rPr>
              <w:t>类型</w:t>
            </w:r>
            <w:r>
              <w:rPr>
                <w:rFonts w:hint="eastAsia" w:ascii="仿宋" w:hAnsi="仿宋" w:eastAsia="仿宋" w:cs="仿宋"/>
                <w:sz w:val="28"/>
                <w:szCs w:val="28"/>
              </w:rPr>
              <w:t>式，可实时展示每个活动参与人数、访问量、累计点赞量；同时提供作品搜索功能，作品可按最新参与、点赞排行两个维度展示。可以对每个作品可以点赞、为TA拉票。（5）支持用户上传图片、视频、音频、文字等文件，也能够进行音频的录制，用户添加朗读字幕，进行朗读，朗读完成后可以试听以及重复录制，没问题上传即可。上传的文件要求为：图片PNG，JPG，JPEG大小10MB以内；视频MP4，MOV大小500MB以内；音频最多录制10分钟。（6）提供作品排行榜，后台可以批量审核作品、批量导出参数作品、作品置顶、作品加精华等常用操作。</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二十、小程序入馆预约登记系统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市民读者在</w:t>
            </w:r>
            <w:r>
              <w:rPr>
                <w:rFonts w:hint="eastAsia" w:ascii="仿宋" w:hAnsi="仿宋" w:eastAsia="仿宋" w:cs="仿宋"/>
                <w:sz w:val="28"/>
                <w:szCs w:val="28"/>
                <w:lang w:eastAsia="zh-CN"/>
              </w:rPr>
              <w:t>采访</w:t>
            </w:r>
            <w:r>
              <w:rPr>
                <w:rFonts w:hint="eastAsia" w:ascii="仿宋" w:hAnsi="仿宋" w:eastAsia="仿宋" w:cs="仿宋"/>
                <w:sz w:val="28"/>
                <w:szCs w:val="28"/>
              </w:rPr>
              <w:t>之前在家进行预约登记，以缩短服务时间，提高服务效能。</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二十一、积分系统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积分系统，小程序可设置完善的积分服务体系。（1）要提供不少</w:t>
            </w:r>
            <w:r>
              <w:rPr>
                <w:rFonts w:hint="eastAsia" w:ascii="仿宋" w:hAnsi="仿宋" w:eastAsia="仿宋" w:cs="仿宋"/>
                <w:sz w:val="28"/>
                <w:szCs w:val="28"/>
                <w:lang w:eastAsia="zh-CN"/>
              </w:rPr>
              <w:t>于</w:t>
            </w:r>
            <w:r>
              <w:rPr>
                <w:rFonts w:hint="eastAsia" w:ascii="仿宋" w:hAnsi="仿宋" w:eastAsia="仿宋" w:cs="仿宋"/>
                <w:sz w:val="28"/>
                <w:szCs w:val="28"/>
              </w:rPr>
              <w:t>10余种可供设置的积分项及对应分值，如：登录、签到、参加活动、图书添加书房、图书阅读、听书添加书房、听书、期刊添加书房、期刊阅读、绘本添加书房、绘本阅读…）都可以作为积分项，每个积分项都可设置分值。（2）积分规则和分值在后台可灵活设置；同时在后台“积分规则管理”中灵活添加、修改、删除积分项。（3）提供个人“积分记录”，可查看个人实时的积分明细</w:t>
            </w:r>
            <w:r>
              <w:rPr>
                <w:rFonts w:hint="eastAsia" w:ascii="仿宋" w:hAnsi="仿宋" w:eastAsia="仿宋" w:cs="仿宋"/>
                <w:sz w:val="28"/>
                <w:szCs w:val="28"/>
                <w:lang w:eastAsia="zh-CN"/>
              </w:rPr>
              <w:t>和</w:t>
            </w:r>
            <w:r>
              <w:rPr>
                <w:rFonts w:hint="eastAsia" w:ascii="仿宋" w:hAnsi="仿宋" w:eastAsia="仿宋" w:cs="仿宋"/>
                <w:sz w:val="28"/>
                <w:szCs w:val="28"/>
              </w:rPr>
              <w:t>小程序的积分规则（4）可与积分商城对接，实现在线消耗积分兑换商品。</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二十一、积分商城</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积分商品管理</w:t>
            </w:r>
            <w:r>
              <w:rPr>
                <w:rFonts w:hint="eastAsia" w:ascii="仿宋" w:hAnsi="仿宋" w:eastAsia="仿宋" w:cs="仿宋"/>
                <w:sz w:val="28"/>
                <w:szCs w:val="28"/>
                <w:lang w:eastAsia="zh-CN"/>
              </w:rPr>
              <w:t>包含以下</w:t>
            </w:r>
            <w:r>
              <w:rPr>
                <w:rFonts w:hint="eastAsia" w:ascii="仿宋" w:hAnsi="仿宋" w:eastAsia="仿宋" w:cs="仿宋"/>
                <w:sz w:val="28"/>
                <w:szCs w:val="28"/>
              </w:rPr>
              <w:t>四种管理：（1）商品分类管理： 提供商品分类的添加、编辑、商品上下线操作。</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商品管理：提供商品的添加、编辑，可灵活设置商品上下线时间，商品描述、商品封面设置、商品兑换所需消耗积分、商品兑换次数、商品库存、商品状态、商品类别等。（3）交易记录管理：提供根据用户名、流水号、操作时间进行复合查询；查询记录包含用户名、商品名称、流水号、领取日期、消耗积分、操作时间、处理时间、状态、操作等详细信息。（4）轮播图管理：管理员可以在后台灵活设置轮播图，提供上传、编辑、修改、置顶等操作。（5）兑换规则管理：本着公正、公透明的原则，可以图书馆根据实际情况，设置自己的兑换规则，规则设置完成后，读者可以查看浏览。</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二十二、社区互动系统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支持文字图片视频音频资源的发布，用户可参与话题，对他人动态进行点赞、转发、评论、举报等操作；社区管理员可发布话题，对用户发表的内容进行审核、评分、加精、置顶、删除等；同时社区首页支持广告运营发布。</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二十三、学习地图闯关打卡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学习地图实现单位后台配置活动、用户进行打卡功能。</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打卡可以在后台灵活配置，是线上学习打卡或者线下定位打卡。线上学习打卡：用户学习时间达到该学习点的要求则可以打卡。线下定位打卡：用户定位达到该学习点的要求则可以打卡。</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二十四、知识挑战</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知识挑战要提供文学、科学、诗词、地理、历史、算术、艺术、安全八大类题库，并提供“全能挑战”和“分类挑战”两种挑战形式。（1）知识挑战提供不同题目、不同挑战模式，激发了参与者心动、脑动、手动……既收获了知识，又享受了收获过程的快乐。（2）单位题库管理功能：题库管理，单位管理员可以对题库进行增加、删除、修改、查询、导入、导出。（3）数据管理：提供排行、总积分排名、单位题库积分排名（包含综合排名和几种答题形式的排名），均支持导出。</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二十五、视频讲座打卡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主办方可根据日常活动规划进行不同主题的视频学习打卡活动，对坚持完成视频学习并打卡的参与者派发活动奖品。</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二十六、学习打卡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学习打卡是为了提升用户活跃，增加</w:t>
            </w:r>
            <w:r>
              <w:rPr>
                <w:rFonts w:hint="eastAsia" w:ascii="仿宋" w:hAnsi="仿宋" w:eastAsia="仿宋" w:cs="仿宋"/>
                <w:sz w:val="28"/>
                <w:szCs w:val="28"/>
                <w:lang w:eastAsia="zh-CN"/>
              </w:rPr>
              <w:t>用户黏性</w:t>
            </w:r>
            <w:r>
              <w:rPr>
                <w:rFonts w:hint="eastAsia" w:ascii="仿宋" w:hAnsi="仿宋" w:eastAsia="仿宋" w:cs="仿宋"/>
                <w:sz w:val="28"/>
                <w:szCs w:val="28"/>
              </w:rPr>
              <w:t>。打卡规则周期后台灵活设置；用户通过打卡可获得相应积分；打卡页面直观展示其他积分项，用户通过点击后面按钮可跳转去学习获得积分；能够累计打卡天数，用户间断打卡，打卡天数重新累计；能够查看积分明细记录。</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二十七、共读图书打卡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共读图书模块需要满足，用户共同阅读一本书或几本书，可打卡、累计阅读时长，在活动结束后，可导出统计数据。</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二十八、诗词生活主题展</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提供诗词生活线上主题展，可以筛选从先秦到唐宋的诗词读本</w:t>
            </w:r>
            <w:r>
              <w:rPr>
                <w:rFonts w:hint="eastAsia" w:ascii="仿宋" w:hAnsi="仿宋" w:eastAsia="仿宋" w:cs="仿宋"/>
                <w:sz w:val="28"/>
                <w:szCs w:val="28"/>
                <w:lang w:eastAsia="zh-CN"/>
              </w:rPr>
              <w:t>，以及</w:t>
            </w:r>
            <w:r>
              <w:rPr>
                <w:rFonts w:hint="eastAsia" w:ascii="仿宋" w:hAnsi="仿宋" w:eastAsia="仿宋" w:cs="仿宋"/>
                <w:sz w:val="28"/>
                <w:szCs w:val="28"/>
              </w:rPr>
              <w:t>各代优秀的诗词汇编，以诗文、注释配电子书的意境海报形式进行线上展览，同时诗文意境的画面也将以时间顺序配合现实生活，以期读者线上读诗的同时视觉与心灵皆能感受到生活美好、未来可期。</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二十九、智能客服系统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智能客服系统，依赖机器人回答客户问题，人工客服角色在系统中转化为机器人训练师，其主要任务不再是回答用户问题，而是训练机器人，辅助机器人回答问题。</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三十、收件箱功能</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提供收件箱功能，用户可通过小程序端，查看我的收件箱。收取单位管理员发送通知，向通讯录中成员发送通知，管理通知信息等。</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三十一、学习之星评比系统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学习排名评比展示系统，可展示所有读者的活跃用户排名，可提供周、月、季度、年份的学习之星排行。</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三十二、附近书房</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附近书房，快速找到属于你的书房——附件书房功能需要帮助用户找到附件所有书房、场馆的距离、位置等信息，以地图标记的形式给到更加</w:t>
            </w:r>
            <w:r>
              <w:rPr>
                <w:rFonts w:hint="eastAsia" w:ascii="仿宋" w:hAnsi="仿宋" w:eastAsia="仿宋" w:cs="仿宋"/>
                <w:sz w:val="28"/>
                <w:szCs w:val="28"/>
                <w:lang w:eastAsia="zh-CN"/>
              </w:rPr>
              <w:t>直观地呈现</w:t>
            </w:r>
            <w:r>
              <w:rPr>
                <w:rFonts w:hint="eastAsia" w:ascii="仿宋" w:hAnsi="仿宋" w:eastAsia="仿宋" w:cs="仿宋"/>
                <w:sz w:val="28"/>
                <w:szCs w:val="28"/>
              </w:rPr>
              <w:t>效果，并且支持搜索书房、地图导航，给到便捷、实用的一种产品体验。</w:t>
            </w:r>
          </w:p>
          <w:p>
            <w:pPr>
              <w:rPr>
                <w:rFonts w:ascii="仿宋" w:hAnsi="仿宋" w:eastAsia="仿宋" w:cs="仿宋"/>
                <w:b/>
                <w:bCs/>
                <w:sz w:val="28"/>
                <w:szCs w:val="28"/>
              </w:rPr>
            </w:pPr>
            <w:r>
              <w:rPr>
                <w:rFonts w:hint="eastAsia" w:ascii="仿宋" w:hAnsi="仿宋" w:eastAsia="仿宋" w:cs="仿宋"/>
                <w:b/>
                <w:sz w:val="28"/>
                <w:szCs w:val="28"/>
              </w:rPr>
              <w:t>三十三、</w:t>
            </w:r>
            <w:r>
              <w:rPr>
                <w:rFonts w:hint="eastAsia" w:ascii="仿宋" w:hAnsi="仿宋" w:eastAsia="仿宋" w:cs="仿宋"/>
                <w:b/>
                <w:bCs/>
                <w:sz w:val="28"/>
                <w:szCs w:val="28"/>
              </w:rPr>
              <w:t>统一身份认证系统</w:t>
            </w:r>
          </w:p>
          <w:p>
            <w:pPr>
              <w:autoSpaceDE w:val="0"/>
              <w:autoSpaceDN w:val="0"/>
              <w:jc w:val="left"/>
              <w:rPr>
                <w:rFonts w:ascii="仿宋" w:hAnsi="仿宋" w:eastAsia="仿宋" w:cs="仿宋"/>
                <w:b/>
                <w:sz w:val="28"/>
                <w:szCs w:val="28"/>
              </w:rPr>
            </w:pPr>
            <w:r>
              <w:rPr>
                <w:rFonts w:hint="eastAsia" w:ascii="仿宋" w:hAnsi="仿宋" w:eastAsia="仿宋" w:cs="仿宋"/>
                <w:b/>
                <w:bCs/>
                <w:sz w:val="28"/>
                <w:szCs w:val="28"/>
              </w:rPr>
              <w:t>（注册登录管理）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实现与图书馆OPAC系统对接，及其他数据库厂商系统认证对接，实现读者证登录、微信授权登录</w:t>
            </w:r>
            <w:r>
              <w:rPr>
                <w:rFonts w:hint="eastAsia" w:ascii="仿宋" w:hAnsi="仿宋" w:eastAsia="仿宋" w:cs="仿宋"/>
                <w:sz w:val="28"/>
                <w:szCs w:val="28"/>
                <w:lang w:eastAsia="zh-CN"/>
              </w:rPr>
              <w:t>及</w:t>
            </w:r>
            <w:r>
              <w:rPr>
                <w:rFonts w:hint="eastAsia" w:ascii="仿宋" w:hAnsi="仿宋" w:eastAsia="仿宋" w:cs="仿宋"/>
                <w:sz w:val="28"/>
                <w:szCs w:val="28"/>
              </w:rPr>
              <w:t>手机号码登录等多种方式。</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三十四、大数据分析系统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大数据分析系统管理后台首页提供多项大数据统计分析功能，充分利用云计算、大数据、人工智能等新技术，构建全方位、全过程、全天候的数据支持体系。管理员只需进入管理后台，即可看到全部读者整体数据情况，主要</w:t>
            </w:r>
            <w:r>
              <w:rPr>
                <w:rFonts w:hint="eastAsia" w:ascii="仿宋" w:hAnsi="仿宋" w:eastAsia="仿宋" w:cs="仿宋"/>
                <w:sz w:val="28"/>
                <w:szCs w:val="28"/>
                <w:lang w:eastAsia="zh-CN"/>
              </w:rPr>
              <w:t>包括以下</w:t>
            </w:r>
            <w:r>
              <w:rPr>
                <w:rFonts w:hint="eastAsia" w:ascii="仿宋" w:hAnsi="仿宋" w:eastAsia="仿宋" w:cs="仿宋"/>
                <w:sz w:val="28"/>
                <w:szCs w:val="28"/>
              </w:rPr>
              <w:t>用户行为、平台使用量、学习时长统计共三个方面的统计要求：</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1.用户行为分析统计要求</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（1）用户概况单位新增用户数、活跃用户数。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（2）新增用户趋势、活跃用户趋势</w:t>
            </w:r>
            <w:r>
              <w:rPr>
                <w:rFonts w:hint="eastAsia" w:ascii="仿宋" w:hAnsi="仿宋" w:eastAsia="仿宋" w:cs="仿宋"/>
                <w:sz w:val="28"/>
                <w:szCs w:val="28"/>
              </w:rPr>
              <w:tab/>
            </w:r>
            <w:r>
              <w:rPr>
                <w:rFonts w:hint="eastAsia" w:ascii="仿宋" w:hAnsi="仿宋" w:eastAsia="仿宋" w:cs="仿宋"/>
                <w:sz w:val="28"/>
                <w:szCs w:val="28"/>
              </w:rPr>
              <w:t>（日、月、周）。</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2.平台使用量统计要求</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（1）对单位小程序总的统计，可以统计小程序的总访问量、学习时长、小程序中的模块应用数量。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（2）平台使用量统计是以日、周、月为维度的，并能够对单位个人阅读量进行top10的一个排行。</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（3）应用总访问量是对小程序模块（图书、期刊、讲座、绘本、积分商城、学习打卡等）被访问的次数进行统计，采用折线图，柱状图来进行展示，可直观看到模块受欢迎的程度。</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3.学习时长统计要求</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（1）学习时长统计，可以统计单位内用户每日学习的总时长。</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（2）学习时长是指用户阅读图书的总时长、看期刊的总时长、听书的总时长、看绘本的总时长、阅读专题的总时长等一系列的学习行为。</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（3）根据学习时长对用户进行排名统计。</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（4）展示单位</w:t>
            </w:r>
            <w:r>
              <w:rPr>
                <w:rFonts w:hint="eastAsia" w:ascii="仿宋" w:hAnsi="仿宋" w:eastAsia="仿宋" w:cs="仿宋"/>
                <w:sz w:val="28"/>
                <w:szCs w:val="28"/>
                <w:lang w:eastAsia="zh-CN"/>
              </w:rPr>
              <w:t>用户名</w:t>
            </w:r>
            <w:r>
              <w:rPr>
                <w:rFonts w:hint="eastAsia" w:ascii="仿宋" w:hAnsi="仿宋" w:eastAsia="仿宋" w:cs="仿宋"/>
                <w:sz w:val="28"/>
                <w:szCs w:val="28"/>
              </w:rPr>
              <w:t>模块阅读时长。</w:t>
            </w:r>
          </w:p>
          <w:p>
            <w:pPr>
              <w:autoSpaceDE w:val="0"/>
              <w:autoSpaceDN w:val="0"/>
              <w:jc w:val="left"/>
              <w:rPr>
                <w:rFonts w:ascii="仿宋" w:hAnsi="仿宋" w:eastAsia="仿宋" w:cs="仿宋"/>
                <w:b/>
                <w:sz w:val="28"/>
                <w:szCs w:val="28"/>
              </w:rPr>
            </w:pPr>
            <w:r>
              <w:rPr>
                <w:rFonts w:hint="eastAsia" w:ascii="仿宋" w:hAnsi="仿宋" w:eastAsia="仿宋" w:cs="仿宋"/>
                <w:b/>
                <w:sz w:val="28"/>
                <w:szCs w:val="28"/>
              </w:rPr>
              <w:t>三十五、PC端管理后台</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（1）小程序首页资源推荐管理：实现首页图书、期刊、视频、听书、绘本等资源的添加、修改、删除。</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（2）学习活动管理：实现学习活动的添加、修改、删除。</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（3）首页轮播图管理：实现轮播图的添加、修改、删除，审核。</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（4）知识挑战管理：题库的添加、修改、删除。</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（5）积分体系管理：实现积分规则的灵活设置。</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（6）学习之星</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（7）主题书单管理，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（8）诗词展管理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（9）征集平台管理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（10）关于我们、问题反馈等相关管理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（11）智慧直播系统管理</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（12）敏感</w:t>
            </w:r>
            <w:r>
              <w:rPr>
                <w:rFonts w:hint="eastAsia" w:ascii="仿宋" w:hAnsi="仿宋" w:eastAsia="仿宋" w:cs="仿宋"/>
                <w:sz w:val="28"/>
                <w:szCs w:val="28"/>
                <w:lang w:eastAsia="zh-CN"/>
              </w:rPr>
              <w:t>词</w:t>
            </w:r>
            <w:r>
              <w:rPr>
                <w:rFonts w:hint="eastAsia" w:ascii="仿宋" w:hAnsi="仿宋" w:eastAsia="仿宋" w:cs="仿宋"/>
                <w:sz w:val="28"/>
                <w:szCs w:val="28"/>
              </w:rPr>
              <w:t>库管理。</w:t>
            </w:r>
          </w:p>
        </w:tc>
        <w:tc>
          <w:tcPr>
            <w:tcW w:w="1354"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2.10 电子图书资源库</w:t>
      </w:r>
    </w:p>
    <w:tbl>
      <w:tblPr>
        <w:tblStyle w:val="36"/>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61"/>
        <w:gridCol w:w="666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86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6667"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63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电子图书资源库</w:t>
            </w:r>
          </w:p>
        </w:tc>
        <w:tc>
          <w:tcPr>
            <w:tcW w:w="861"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6667" w:type="dxa"/>
          </w:tcPr>
          <w:p>
            <w:pPr>
              <w:autoSpaceDE w:val="0"/>
              <w:autoSpaceDN w:val="0"/>
              <w:jc w:val="left"/>
              <w:rPr>
                <w:rFonts w:ascii="仿宋" w:hAnsi="仿宋" w:eastAsia="仿宋" w:cs="仿宋"/>
                <w:sz w:val="28"/>
                <w:szCs w:val="28"/>
              </w:rPr>
            </w:pPr>
            <w:r>
              <w:rPr>
                <w:rFonts w:hint="eastAsia" w:ascii="仿宋" w:hAnsi="仿宋" w:eastAsia="仿宋" w:cs="仿宋"/>
                <w:sz w:val="28"/>
                <w:szCs w:val="28"/>
              </w:rPr>
              <w:t>1.覆盖中图分类法22个大类。</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 xml:space="preserve">2.提供平台内图书的搜索服务（含目次检索及全文检索），高清晰全文在线阅读，具备下载借阅功能。  </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3.平台提供IP和用户名两种身份认证和权限管理方式，具有强大的查询检索，图书推荐功能。每月提供不少于15种的新书在线阅读，可支持部分页面和功能的定制。提供图书排行、访问量统计等数据导出。</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4.平台提供多种在线阅读方式，图像、文本多种阅读方式供用户选择。</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5.可提供馆外访问及第三方认证对接。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6.电子图书图像遵循图书的原版原貌，文字差错率不高于万分之一。</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7.平台电子图书馆藏量每年保持</w:t>
            </w:r>
            <w:r>
              <w:rPr>
                <w:rFonts w:hint="eastAsia" w:ascii="仿宋" w:hAnsi="仿宋" w:eastAsia="仿宋" w:cs="仿宋"/>
                <w:sz w:val="28"/>
                <w:szCs w:val="28"/>
                <w:lang w:eastAsia="zh-CN"/>
              </w:rPr>
              <w:t>5万-10万</w:t>
            </w:r>
            <w:r>
              <w:rPr>
                <w:rFonts w:hint="eastAsia" w:ascii="仿宋" w:hAnsi="仿宋" w:eastAsia="仿宋" w:cs="仿宋"/>
                <w:sz w:val="28"/>
                <w:szCs w:val="28"/>
              </w:rPr>
              <w:t>的更新。</w:t>
            </w:r>
          </w:p>
        </w:tc>
        <w:tc>
          <w:tcPr>
            <w:tcW w:w="633"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2.11 大众期刊资源库</w:t>
      </w:r>
    </w:p>
    <w:tbl>
      <w:tblPr>
        <w:tblStyle w:val="3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85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大众期刊资源库</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autoSpaceDE w:val="0"/>
              <w:autoSpaceDN w:val="0"/>
              <w:jc w:val="left"/>
              <w:rPr>
                <w:rFonts w:ascii="仿宋" w:hAnsi="仿宋" w:eastAsia="仿宋" w:cs="仿宋"/>
                <w:sz w:val="28"/>
                <w:szCs w:val="28"/>
              </w:rPr>
            </w:pPr>
            <w:r>
              <w:rPr>
                <w:rFonts w:hint="eastAsia" w:ascii="仿宋" w:hAnsi="仿宋" w:eastAsia="仿宋" w:cs="仿宋"/>
                <w:sz w:val="28"/>
                <w:szCs w:val="28"/>
              </w:rPr>
              <w:t>1.数据库访问不受限制，全文阅读和资源下载需要用户在指定IP内或使用账号密码进行</w:t>
            </w:r>
            <w:r>
              <w:rPr>
                <w:rFonts w:hint="eastAsia" w:ascii="仿宋" w:hAnsi="仿宋" w:eastAsia="仿宋" w:cs="仿宋"/>
                <w:sz w:val="28"/>
                <w:szCs w:val="28"/>
                <w:lang w:eastAsia="zh-CN"/>
              </w:rPr>
              <w:t>登录</w:t>
            </w:r>
            <w:r>
              <w:rPr>
                <w:rFonts w:hint="eastAsia" w:ascii="仿宋" w:hAnsi="仿宋" w:eastAsia="仿宋" w:cs="仿宋"/>
                <w:sz w:val="28"/>
                <w:szCs w:val="28"/>
              </w:rPr>
              <w:t>。</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2.需提供不少于18种分类、不少于2000种的大众期刊资源。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3.需提供包括读者（原创版）、</w:t>
            </w:r>
            <w:r>
              <w:rPr>
                <w:rFonts w:hint="eastAsia" w:ascii="仿宋" w:hAnsi="仿宋" w:eastAsia="仿宋" w:cs="仿宋"/>
                <w:sz w:val="28"/>
                <w:szCs w:val="28"/>
                <w:lang w:eastAsia="zh-CN"/>
              </w:rPr>
              <w:t>《意林》</w:t>
            </w:r>
            <w:r>
              <w:rPr>
                <w:rFonts w:hint="eastAsia" w:ascii="仿宋" w:hAnsi="仿宋" w:eastAsia="仿宋" w:cs="仿宋"/>
                <w:sz w:val="28"/>
                <w:szCs w:val="28"/>
              </w:rPr>
              <w:t>（少年版）、IT经理世界、视野、当代、民生周刊、视听界、文史博览、 影响力、长江文艺、中外文摘，并提供相关期刊授权协议证明材料。</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4.提供包括期刊刊名和全文的检索，并支持根据期刊更新时间查看往期期刊内容。</w:t>
            </w:r>
          </w:p>
          <w:p>
            <w:pPr>
              <w:autoSpaceDE w:val="0"/>
              <w:autoSpaceDN w:val="0"/>
              <w:jc w:val="left"/>
              <w:rPr>
                <w:rFonts w:ascii="仿宋" w:hAnsi="仿宋" w:eastAsia="仿宋" w:cs="仿宋"/>
                <w:b/>
                <w:sz w:val="28"/>
                <w:szCs w:val="28"/>
              </w:rPr>
            </w:pPr>
            <w:r>
              <w:rPr>
                <w:rFonts w:hint="eastAsia" w:ascii="仿宋" w:hAnsi="仿宋" w:eastAsia="仿宋" w:cs="仿宋"/>
                <w:sz w:val="28"/>
                <w:szCs w:val="28"/>
              </w:rPr>
              <w:t>5.期刊阅读采用流媒体和PDF结合，在线阅读为流媒体格式，下载为PDF格式。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6.每篇期刊文章全文设有标签，首页文章推荐根据当前热门话题标签进行推荐.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7.首页热门文章推荐栏目保证每周按照热点话题更新，其他期刊按期及时更新，最新更新的期刊排序优先。</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8.支持整刊订阅，订阅后显示在个人书房，且PC端书房和移动端全面打通，</w:t>
            </w:r>
            <w:r>
              <w:rPr>
                <w:rFonts w:hint="eastAsia" w:ascii="仿宋" w:hAnsi="仿宋" w:eastAsia="仿宋" w:cs="仿宋"/>
                <w:sz w:val="28"/>
                <w:szCs w:val="28"/>
                <w:lang w:eastAsia="zh-CN"/>
              </w:rPr>
              <w:t>登录后</w:t>
            </w:r>
            <w:r>
              <w:rPr>
                <w:rFonts w:hint="eastAsia" w:ascii="仿宋" w:hAnsi="仿宋" w:eastAsia="仿宋" w:cs="仿宋"/>
                <w:sz w:val="28"/>
                <w:szCs w:val="28"/>
              </w:rPr>
              <w:t>可从个人书房直接进入期刊最新一期进行阅读。</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9.支持整刊和单篇文章评论，并支持通过查看下载量、评论量、浏览量排行进行期刊选择。</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10.个人书房支持查看用户的历史浏览、评论、订阅的记录。</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11.支持根据用户的浏览情况进行相关的期刊推荐，支持用户账号相关信息的自主修改。</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12.可对平台其他用户的综合浏览进行排行显示，并且对平台所有用户的检索词进行分析，优先筛选前10个检索频度最高的词作为检索词参考。</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13.支持从后台一次性批量导入账号，支持从后台查看单位的总访问量、下载量、阅读量。</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14.平台后台所有访问、阅读、下载数据支持以excel、PDF等格式进行导出。</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15.平台系统支持全终端应用，可无缝对接单位的移动端和微信端，对接之后，所有用户账号系统、访问数据等均全部同步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16.平台支持通过后台自主设置首页推荐，包含篇目推荐和刊种推荐。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17平台移动端和PC端的收藏数据全面同步，同一账号PC端收藏的期刊可以在移动端同步显示。</w:t>
            </w:r>
          </w:p>
        </w:tc>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spacing w:line="360" w:lineRule="auto"/>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sz w:val="28"/>
          <w:szCs w:val="28"/>
        </w:rPr>
      </w:pPr>
      <w:r>
        <w:rPr>
          <w:rFonts w:hint="eastAsia" w:ascii="仿宋" w:hAnsi="仿宋" w:eastAsia="仿宋" w:cs="仿宋"/>
          <w:b/>
          <w:sz w:val="28"/>
          <w:szCs w:val="28"/>
        </w:rPr>
        <w:t>2.12 少儿绘本资源库</w:t>
      </w:r>
    </w:p>
    <w:tbl>
      <w:tblPr>
        <w:tblStyle w:val="3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5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产品名称</w:t>
            </w:r>
          </w:p>
        </w:tc>
        <w:tc>
          <w:tcPr>
            <w:tcW w:w="75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59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指标</w:t>
            </w:r>
          </w:p>
        </w:tc>
        <w:tc>
          <w:tcPr>
            <w:tcW w:w="85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少儿绘本资源库</w:t>
            </w:r>
          </w:p>
        </w:tc>
        <w:tc>
          <w:tcPr>
            <w:tcW w:w="754" w:type="dxa"/>
            <w:vAlign w:val="center"/>
          </w:tcPr>
          <w:p>
            <w:pPr>
              <w:jc w:val="center"/>
              <w:rPr>
                <w:rFonts w:ascii="仿宋" w:hAnsi="仿宋" w:eastAsia="仿宋" w:cs="仿宋"/>
                <w:b/>
                <w:sz w:val="28"/>
                <w:szCs w:val="28"/>
              </w:rPr>
            </w:pPr>
            <w:r>
              <w:rPr>
                <w:rFonts w:hint="eastAsia" w:ascii="仿宋" w:hAnsi="仿宋" w:eastAsia="仿宋" w:cs="仿宋"/>
                <w:b/>
                <w:sz w:val="28"/>
                <w:szCs w:val="28"/>
              </w:rPr>
              <w:t>技术参数</w:t>
            </w:r>
          </w:p>
        </w:tc>
        <w:tc>
          <w:tcPr>
            <w:tcW w:w="5953" w:type="dxa"/>
          </w:tcPr>
          <w:p>
            <w:pPr>
              <w:autoSpaceDE w:val="0"/>
              <w:autoSpaceDN w:val="0"/>
              <w:jc w:val="left"/>
              <w:rPr>
                <w:rFonts w:ascii="仿宋" w:hAnsi="仿宋" w:eastAsia="仿宋" w:cs="仿宋"/>
                <w:sz w:val="28"/>
                <w:szCs w:val="28"/>
              </w:rPr>
            </w:pPr>
            <w:r>
              <w:rPr>
                <w:rFonts w:hint="eastAsia" w:ascii="仿宋" w:hAnsi="仿宋" w:eastAsia="仿宋" w:cs="仿宋"/>
                <w:sz w:val="28"/>
                <w:szCs w:val="28"/>
              </w:rPr>
              <w:t>1.需提供不少于1000本有声数字绘本资源和基于移动端的不少于100种听书资源。</w:t>
            </w:r>
          </w:p>
          <w:p>
            <w:pPr>
              <w:autoSpaceDE w:val="0"/>
              <w:autoSpaceDN w:val="0"/>
              <w:jc w:val="left"/>
              <w:rPr>
                <w:rFonts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sz w:val="28"/>
                <w:szCs w:val="28"/>
              </w:rPr>
              <w:t>2.需包含《海底小纵队</w:t>
            </w:r>
            <w:r>
              <w:rPr>
                <w:rFonts w:hint="eastAsia" w:ascii="仿宋" w:hAnsi="仿宋" w:eastAsia="仿宋" w:cs="仿宋"/>
                <w:sz w:val="28"/>
                <w:szCs w:val="28"/>
                <w:lang w:eastAsia="zh-CN"/>
              </w:rPr>
              <w:t>》《</w:t>
            </w:r>
            <w:r>
              <w:rPr>
                <w:rFonts w:hint="eastAsia" w:ascii="仿宋" w:hAnsi="仿宋" w:eastAsia="仿宋" w:cs="仿宋"/>
                <w:sz w:val="28"/>
                <w:szCs w:val="28"/>
              </w:rPr>
              <w:t>熊小米</w:t>
            </w:r>
            <w:r>
              <w:rPr>
                <w:rFonts w:hint="eastAsia" w:ascii="仿宋" w:hAnsi="仿宋" w:eastAsia="仿宋" w:cs="仿宋"/>
                <w:sz w:val="28"/>
                <w:szCs w:val="28"/>
                <w:lang w:eastAsia="zh-CN"/>
              </w:rPr>
              <w:t>》《</w:t>
            </w:r>
            <w:r>
              <w:rPr>
                <w:rFonts w:hint="eastAsia" w:ascii="仿宋" w:hAnsi="仿宋" w:eastAsia="仿宋" w:cs="仿宋"/>
                <w:sz w:val="28"/>
                <w:szCs w:val="28"/>
              </w:rPr>
              <w:t>恐龙探秘</w:t>
            </w:r>
            <w:r>
              <w:rPr>
                <w:rFonts w:hint="eastAsia" w:ascii="仿宋" w:hAnsi="仿宋" w:eastAsia="仿宋" w:cs="仿宋"/>
                <w:sz w:val="28"/>
                <w:szCs w:val="28"/>
                <w:lang w:eastAsia="zh-CN"/>
              </w:rPr>
              <w:t>》《</w:t>
            </w:r>
            <w:r>
              <w:rPr>
                <w:rFonts w:hint="eastAsia" w:ascii="仿宋" w:hAnsi="仿宋" w:eastAsia="仿宋" w:cs="仿宋"/>
                <w:sz w:val="28"/>
                <w:szCs w:val="28"/>
              </w:rPr>
              <w:t>小狼巴顿</w:t>
            </w:r>
            <w:r>
              <w:rPr>
                <w:rFonts w:hint="eastAsia" w:ascii="仿宋" w:hAnsi="仿宋" w:eastAsia="仿宋" w:cs="仿宋"/>
                <w:sz w:val="28"/>
                <w:szCs w:val="28"/>
                <w:lang w:eastAsia="zh-CN"/>
              </w:rPr>
              <w:t>》《</w:t>
            </w:r>
            <w:r>
              <w:rPr>
                <w:rFonts w:hint="eastAsia" w:ascii="仿宋" w:hAnsi="仿宋" w:eastAsia="仿宋" w:cs="仿宋"/>
                <w:sz w:val="28"/>
                <w:szCs w:val="28"/>
              </w:rPr>
              <w:t>超级飞侠》等系列知名IP以及国际获奖的绘本，并提供相关授权协议证明材料。</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3.系统访问不受限制，全文阅读需要用户在指定IP内或使用账号密码进行</w:t>
            </w:r>
            <w:r>
              <w:rPr>
                <w:rFonts w:hint="eastAsia" w:ascii="仿宋" w:hAnsi="仿宋" w:eastAsia="仿宋" w:cs="仿宋"/>
                <w:sz w:val="28"/>
                <w:szCs w:val="28"/>
                <w:lang w:eastAsia="zh-CN"/>
              </w:rPr>
              <w:t>登录</w:t>
            </w:r>
            <w:r>
              <w:rPr>
                <w:rFonts w:hint="eastAsia" w:ascii="仿宋" w:hAnsi="仿宋" w:eastAsia="仿宋" w:cs="仿宋"/>
                <w:sz w:val="28"/>
                <w:szCs w:val="28"/>
              </w:rPr>
              <w:t>。</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4.系统提供检索及推荐功能，能支持通过绘本名称关键字的检索，查询绘本以及根据全库用户综合使用数据和用户以往使用数据为用户进行绘本的推荐。</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5.系统平台支持多终端应用，PC端和移动端无缝对接，数据同步，并且移动端在播放绘本时更支持进行横屏/竖屏的切换</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6.系统支持对绘本进行收藏，并且同一账号在不同终端收藏的数据能够全面同步。</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7.平台支持能够对用户的使用进行多维度的数据记录和分析，如阅读时长、阅读高低峰时段、阅读内容集中分类、集中区域等。</w:t>
            </w:r>
          </w:p>
          <w:p>
            <w:pPr>
              <w:autoSpaceDE w:val="0"/>
              <w:autoSpaceDN w:val="0"/>
              <w:jc w:val="left"/>
              <w:rPr>
                <w:rFonts w:ascii="仿宋" w:hAnsi="仿宋" w:eastAsia="仿宋" w:cs="仿宋"/>
                <w:sz w:val="28"/>
                <w:szCs w:val="28"/>
              </w:rPr>
            </w:pPr>
            <w:r>
              <w:rPr>
                <w:rFonts w:hint="eastAsia" w:ascii="仿宋" w:hAnsi="仿宋" w:eastAsia="仿宋" w:cs="仿宋"/>
                <w:sz w:val="28"/>
                <w:szCs w:val="28"/>
              </w:rPr>
              <w:t>8.平台后台支持开放单位的独立管理权限，单位可通过后台进行相关访问和阅读数据的查看，并支持以excel、pdf等格式进行导出。</w:t>
            </w:r>
          </w:p>
        </w:tc>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1套</w:t>
            </w:r>
          </w:p>
        </w:tc>
      </w:tr>
    </w:tbl>
    <w:p>
      <w:pPr>
        <w:pStyle w:val="10"/>
        <w:ind w:left="0" w:leftChars="0" w:firstLine="0" w:firstLineChars="0"/>
        <w:rPr>
          <w:lang w:val="zh-CN"/>
        </w:rPr>
      </w:pPr>
    </w:p>
    <w:p>
      <w:pPr>
        <w:pStyle w:val="10"/>
        <w:ind w:left="0" w:leftChars="0" w:firstLine="0" w:firstLineChars="0"/>
        <w:rPr>
          <w:color w:val="auto"/>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p>
      <w:pPr>
        <w:pStyle w:val="10"/>
        <w:ind w:left="640"/>
        <w:rPr>
          <w:color w:val="FF0000"/>
          <w:lang w:val="zh-CN"/>
        </w:rPr>
      </w:pPr>
    </w:p>
    <w:bookmarkEnd w:id="98"/>
    <w:p>
      <w:pPr>
        <w:pStyle w:val="3"/>
        <w:numPr>
          <w:ilvl w:val="0"/>
          <w:numId w:val="1"/>
        </w:numPr>
        <w:snapToGrid w:val="0"/>
        <w:spacing w:line="360" w:lineRule="atLeast"/>
        <w:jc w:val="center"/>
        <w:rPr>
          <w:rFonts w:ascii="宋体" w:hAnsi="宋体"/>
          <w:color w:val="000000"/>
          <w:kern w:val="0"/>
          <w:sz w:val="28"/>
          <w:szCs w:val="28"/>
        </w:rPr>
      </w:pPr>
      <w:bookmarkStart w:id="105" w:name="_Toc2284"/>
      <w:r>
        <w:rPr>
          <w:rFonts w:hint="eastAsia" w:ascii="宋体" w:hAnsi="宋体"/>
          <w:color w:val="000000"/>
          <w:kern w:val="0"/>
          <w:sz w:val="28"/>
          <w:szCs w:val="28"/>
        </w:rPr>
        <w:t xml:space="preserve"> </w:t>
      </w:r>
      <w:bookmarkStart w:id="106" w:name="_Toc10164"/>
      <w:r>
        <w:rPr>
          <w:rFonts w:hint="eastAsia" w:ascii="宋体" w:hAnsi="宋体"/>
          <w:color w:val="000000"/>
          <w:kern w:val="0"/>
          <w:sz w:val="28"/>
          <w:szCs w:val="28"/>
        </w:rPr>
        <w:t>磋商办法</w:t>
      </w:r>
      <w:bookmarkEnd w:id="105"/>
      <w:bookmarkEnd w:id="106"/>
    </w:p>
    <w:p>
      <w:pPr>
        <w:pStyle w:val="3"/>
        <w:snapToGrid w:val="0"/>
        <w:spacing w:line="360" w:lineRule="atLeast"/>
        <w:ind w:firstLine="3855" w:firstLineChars="1600"/>
        <w:rPr>
          <w:rFonts w:ascii="仿宋_GB2312" w:eastAsia="仿宋_GB2312"/>
          <w:kern w:val="0"/>
          <w:sz w:val="24"/>
          <w:szCs w:val="24"/>
          <w:lang w:val="zh-CN"/>
        </w:rPr>
      </w:pPr>
      <w:bookmarkStart w:id="107" w:name="_Toc29218"/>
      <w:r>
        <w:rPr>
          <w:rFonts w:hint="eastAsia" w:ascii="仿宋_GB2312" w:eastAsia="仿宋_GB2312"/>
          <w:kern w:val="0"/>
          <w:sz w:val="24"/>
          <w:szCs w:val="24"/>
          <w:lang w:val="zh-CN"/>
        </w:rPr>
        <w:t>磋商办法前附表</w:t>
      </w:r>
      <w:bookmarkEnd w:id="107"/>
    </w:p>
    <w:p>
      <w:pPr>
        <w:rPr>
          <w:b/>
          <w:bCs/>
          <w:sz w:val="28"/>
          <w:szCs w:val="28"/>
          <w:lang w:val="zh-CN"/>
        </w:rPr>
      </w:pPr>
      <w:r>
        <w:rPr>
          <w:rFonts w:hint="eastAsia" w:ascii="宋体" w:hAnsi="宋体" w:cs="宋体"/>
          <w:b/>
          <w:bCs/>
          <w:color w:val="000000"/>
          <w:sz w:val="28"/>
          <w:szCs w:val="28"/>
          <w:lang w:val="zh-CN"/>
        </w:rPr>
        <w:t>一包：</w:t>
      </w:r>
    </w:p>
    <w:p>
      <w:pPr>
        <w:pStyle w:val="2"/>
        <w:spacing w:line="240" w:lineRule="auto"/>
        <w:ind w:left="0" w:firstLine="0"/>
        <w:rPr>
          <w:sz w:val="24"/>
          <w:szCs w:val="24"/>
          <w:lang w:val="zh-CN"/>
        </w:rPr>
      </w:pPr>
      <w:r>
        <w:rPr>
          <w:rFonts w:hint="eastAsia"/>
          <w:sz w:val="24"/>
          <w:szCs w:val="24"/>
        </w:rPr>
        <w:t>1、</w:t>
      </w:r>
      <w:r>
        <w:rPr>
          <w:rFonts w:hint="eastAsia"/>
          <w:sz w:val="24"/>
          <w:szCs w:val="24"/>
          <w:lang w:val="zh-CN"/>
        </w:rPr>
        <w:t>初步评审</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709"/>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6"/>
              <w:spacing w:before="0" w:beforeAutospacing="0" w:after="0" w:afterAutospacing="0"/>
              <w:jc w:val="center"/>
              <w:rPr>
                <w:lang w:bidi="ar"/>
              </w:rPr>
            </w:pPr>
            <w:r>
              <w:rPr>
                <w:rFonts w:hint="eastAsia"/>
                <w:b/>
                <w:bCs/>
                <w:lang w:bidi="ar"/>
              </w:rPr>
              <w:t>条款</w:t>
            </w: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6"/>
              <w:spacing w:before="0" w:beforeAutospacing="0" w:after="0" w:afterAutospacing="0"/>
              <w:jc w:val="center"/>
              <w:rPr>
                <w:b/>
                <w:bCs/>
                <w:lang w:bidi="ar"/>
              </w:rPr>
            </w:pPr>
            <w:r>
              <w:rPr>
                <w:rFonts w:hint="eastAsia"/>
                <w:b/>
                <w:bCs/>
                <w:lang w:bidi="ar"/>
              </w:rPr>
              <w:t>评审因素</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6"/>
              <w:spacing w:before="0" w:beforeAutospacing="0" w:after="0" w:afterAutospacing="0"/>
              <w:jc w:val="center"/>
              <w:rPr>
                <w:b/>
                <w:bCs/>
                <w:lang w:bidi="ar"/>
              </w:rPr>
            </w:pPr>
            <w:r>
              <w:rPr>
                <w:rFonts w:hint="eastAsia"/>
                <w:b/>
                <w:bCs/>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03" w:type="pct"/>
            <w:vMerge w:val="restart"/>
            <w:tcBorders>
              <w:top w:val="single" w:color="auto" w:sz="4" w:space="0"/>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资格评审标准</w:t>
            </w: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满足《中华人民共和国政府采购法》第二十二条规定</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1、具有独立承担民事责任的能力；</w:t>
            </w:r>
          </w:p>
          <w:p>
            <w:pPr>
              <w:rPr>
                <w:rFonts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具有良好的商业信誉和健全的财务会计制度；</w:t>
            </w:r>
          </w:p>
          <w:p>
            <w:pPr>
              <w:rPr>
                <w:rFonts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具有履行合同所必需的设备和专业技术能力；</w:t>
            </w:r>
          </w:p>
          <w:p>
            <w:pPr>
              <w:rPr>
                <w:rFonts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有依法缴纳税收和社会保障资金的良好记录；</w:t>
            </w:r>
          </w:p>
          <w:p>
            <w:pPr>
              <w:rPr>
                <w:rFonts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参加政府采购活动前三年内，在经营活动中没有重大违法记录；</w:t>
            </w:r>
          </w:p>
          <w:p>
            <w:pPr>
              <w:rPr>
                <w:rFonts w:ascii="宋体" w:hAnsi="宋体" w:eastAsia="宋体" w:cs="宋体"/>
                <w:sz w:val="21"/>
                <w:szCs w:val="21"/>
                <w:lang w:val="zh-CN"/>
              </w:rPr>
            </w:pPr>
            <w:r>
              <w:rPr>
                <w:rFonts w:hint="eastAsia" w:ascii="宋体" w:hAnsi="宋体" w:eastAsia="宋体" w:cs="宋体"/>
                <w:sz w:val="21"/>
                <w:szCs w:val="21"/>
              </w:rPr>
              <w:t>6、</w:t>
            </w:r>
            <w:r>
              <w:rPr>
                <w:rFonts w:hint="eastAsia" w:ascii="宋体" w:hAnsi="宋体" w:eastAsia="宋体" w:cs="宋体"/>
                <w:sz w:val="21"/>
                <w:szCs w:val="21"/>
                <w:lang w:val="zh-CN"/>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lang w:val="zh-CN"/>
              </w:rPr>
            </w:pPr>
            <w:r>
              <w:rPr>
                <w:rFonts w:hint="eastAsia" w:ascii="宋体" w:hAnsi="宋体" w:eastAsia="宋体" w:cs="宋体"/>
                <w:sz w:val="21"/>
                <w:szCs w:val="21"/>
                <w:lang w:val="zh-CN"/>
              </w:rPr>
              <w:t>单位负责人</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7.提交“未与单位负责人为同一人或者存在直接控股、管理关系</w:t>
            </w:r>
            <w:r>
              <w:rPr>
                <w:rFonts w:hint="eastAsia" w:ascii="宋体" w:hAnsi="宋体" w:eastAsia="宋体" w:cs="宋体"/>
                <w:sz w:val="21"/>
                <w:szCs w:val="21"/>
                <w:lang w:eastAsia="zh-CN"/>
              </w:rPr>
              <w:t>的其他</w:t>
            </w:r>
            <w:r>
              <w:rPr>
                <w:rFonts w:hint="eastAsia" w:ascii="宋体" w:hAnsi="宋体" w:eastAsia="宋体" w:cs="宋体"/>
                <w:sz w:val="21"/>
                <w:szCs w:val="21"/>
              </w:rPr>
              <w:t>投标人，参加同一合同项下的政府采购活动声明函”。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提供服务</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8.提交“未为本采购项目提供整体设计、规范编制或者项目管理、监理、检测等服务的声明函”。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信誉</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zh-CN"/>
              </w:rPr>
              <w:t>未被列入失信被执行人、重大税收违法案件当事人名单，未被列入政府采购严重违法失信行为记录名单。</w:t>
            </w:r>
            <w:r>
              <w:rPr>
                <w:rFonts w:hint="eastAsia" w:ascii="宋体" w:hAnsi="宋体" w:eastAsia="宋体" w:cs="宋体"/>
                <w:sz w:val="21"/>
                <w:szCs w:val="21"/>
              </w:rPr>
              <w:t>（提供网络截图）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落实政府采购政策需满足的资格要求</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10.本项目专门面向中小微企业采购。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本项目特定资格要求</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0"/>
              <w:ind w:left="0" w:leftChars="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11.须具有中华人民共和国颁发的《中华人民共和国出版物经营许可证》</w:t>
            </w:r>
          </w:p>
          <w:p>
            <w:pPr>
              <w:widowControl/>
              <w:adjustRightInd w:val="0"/>
              <w:snapToGrid w:val="0"/>
              <w:spacing w:line="360" w:lineRule="auto"/>
              <w:jc w:val="left"/>
              <w:rPr>
                <w:rFonts w:eastAsia="宋体"/>
              </w:rPr>
            </w:pPr>
            <w:r>
              <w:rPr>
                <w:rFonts w:hint="eastAsia" w:ascii="宋体" w:hAnsi="宋体" w:eastAsia="宋体" w:cs="宋体"/>
                <w:sz w:val="21"/>
                <w:szCs w:val="21"/>
                <w:lang w:val="en-US" w:eastAsia="zh-CN" w:bidi="ar-SA"/>
              </w:rPr>
              <w:t>12.未被列入“信用中国”网站（www.creditchina.gov.cn）信用服务栏查询失信被执行人查询、重大税收违法案件和“中国政府采购”网（www.ccgp.gov.cn）政府采购严重违法失信行为记录名单，并提供网页截图以证明；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授权书</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法定代表人身份证明或法定代表人授权委托书</w:t>
            </w:r>
            <w:r>
              <w:rPr>
                <w:rFonts w:hint="eastAsia" w:ascii="宋体" w:hAnsi="宋体" w:eastAsia="宋体" w:cs="宋体"/>
                <w:color w:val="auto"/>
                <w:sz w:val="21"/>
                <w:szCs w:val="21"/>
                <w:highlight w:val="none"/>
              </w:rPr>
              <w:t>。（委托代理人需提供劳动合同和社保证明）。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03" w:type="pct"/>
            <w:vMerge w:val="restart"/>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符合评审标准</w:t>
            </w: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递交的响应文件</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符合竞争性磋商文件第一部分竞争性磋商公告“六、其他补充事宜”第1条要求。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文件签章</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CN"/>
              </w:rPr>
              <w:t>响应性文件签字和盖章齐全。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磋商有效期</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zh-CN"/>
              </w:rPr>
              <w:t>满足磋商有效期。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磋商报价</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供应商所提交的报价表未出现两个或两个以上不同报价。</w:t>
            </w:r>
          </w:p>
        </w:tc>
      </w:tr>
    </w:tbl>
    <w:p>
      <w:pPr>
        <w:pStyle w:val="2"/>
        <w:numPr>
          <w:ilvl w:val="0"/>
          <w:numId w:val="6"/>
        </w:numPr>
        <w:spacing w:line="360" w:lineRule="atLeast"/>
        <w:ind w:left="0" w:firstLine="0"/>
        <w:rPr>
          <w:sz w:val="24"/>
          <w:szCs w:val="24"/>
        </w:rPr>
      </w:pPr>
      <w:r>
        <w:rPr>
          <w:rFonts w:hint="eastAsia"/>
          <w:sz w:val="24"/>
          <w:szCs w:val="24"/>
        </w:rPr>
        <w:t>详细评审</w:t>
      </w:r>
    </w:p>
    <w:tbl>
      <w:tblPr>
        <w:tblStyle w:val="18"/>
        <w:tblW w:w="9889" w:type="dxa"/>
        <w:tblInd w:w="0" w:type="dxa"/>
        <w:tblLayout w:type="fixed"/>
        <w:tblCellMar>
          <w:top w:w="0" w:type="dxa"/>
          <w:left w:w="108" w:type="dxa"/>
          <w:bottom w:w="0" w:type="dxa"/>
          <w:right w:w="108" w:type="dxa"/>
        </w:tblCellMar>
      </w:tblPr>
      <w:tblGrid>
        <w:gridCol w:w="738"/>
        <w:gridCol w:w="1260"/>
        <w:gridCol w:w="945"/>
        <w:gridCol w:w="6946"/>
      </w:tblGrid>
      <w:tr>
        <w:tblPrEx>
          <w:tblCellMar>
            <w:top w:w="0" w:type="dxa"/>
            <w:left w:w="108" w:type="dxa"/>
            <w:bottom w:w="0" w:type="dxa"/>
            <w:right w:w="108" w:type="dxa"/>
          </w:tblCellMar>
        </w:tblPrEx>
        <w:trPr>
          <w:trHeight w:val="545" w:hRule="atLeast"/>
        </w:trPr>
        <w:tc>
          <w:tcPr>
            <w:tcW w:w="7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项目</w:t>
            </w:r>
          </w:p>
        </w:tc>
        <w:tc>
          <w:tcPr>
            <w:tcW w:w="1260"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评审分项</w:t>
            </w:r>
          </w:p>
        </w:tc>
        <w:tc>
          <w:tcPr>
            <w:tcW w:w="945"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满分</w:t>
            </w:r>
          </w:p>
        </w:tc>
        <w:tc>
          <w:tcPr>
            <w:tcW w:w="6946"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评审内容及分值</w:t>
            </w:r>
          </w:p>
        </w:tc>
      </w:tr>
      <w:tr>
        <w:tblPrEx>
          <w:tblCellMar>
            <w:top w:w="0" w:type="dxa"/>
            <w:left w:w="108" w:type="dxa"/>
            <w:bottom w:w="0" w:type="dxa"/>
            <w:right w:w="108" w:type="dxa"/>
          </w:tblCellMar>
        </w:tblPrEx>
        <w:trPr>
          <w:trHeight w:val="1278" w:hRule="atLeast"/>
        </w:trPr>
        <w:tc>
          <w:tcPr>
            <w:tcW w:w="738" w:type="dxa"/>
            <w:tcBorders>
              <w:top w:val="nil"/>
              <w:left w:val="single" w:color="auto" w:sz="4" w:space="0"/>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价格</w:t>
            </w:r>
          </w:p>
          <w:p>
            <w:pPr>
              <w:rPr>
                <w:rFonts w:ascii="宋体" w:hAnsi="宋体" w:eastAsia="宋体" w:cs="宋体"/>
                <w:sz w:val="21"/>
                <w:szCs w:val="21"/>
                <w:lang w:val="zh-CN"/>
              </w:rPr>
            </w:pPr>
          </w:p>
          <w:p>
            <w:pPr>
              <w:rPr>
                <w:rFonts w:ascii="宋体" w:hAnsi="宋体" w:eastAsia="宋体" w:cs="宋体"/>
                <w:sz w:val="21"/>
                <w:szCs w:val="21"/>
                <w:lang w:val="zh-CN"/>
              </w:rPr>
            </w:pPr>
            <w:r>
              <w:rPr>
                <w:rFonts w:hint="eastAsia" w:ascii="宋体" w:hAnsi="宋体" w:eastAsia="宋体" w:cs="宋体"/>
                <w:sz w:val="21"/>
                <w:szCs w:val="21"/>
                <w:lang w:val="zh-CN"/>
              </w:rPr>
              <w:t>30分</w:t>
            </w:r>
          </w:p>
        </w:tc>
        <w:tc>
          <w:tcPr>
            <w:tcW w:w="1260"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rPr>
              <w:t>投标</w:t>
            </w:r>
            <w:r>
              <w:rPr>
                <w:rFonts w:hint="eastAsia" w:ascii="宋体" w:hAnsi="宋体" w:eastAsia="宋体" w:cs="宋体"/>
                <w:sz w:val="21"/>
                <w:szCs w:val="21"/>
                <w:lang w:val="zh-CN"/>
              </w:rPr>
              <w:t>总</w:t>
            </w:r>
          </w:p>
          <w:p>
            <w:pPr>
              <w:rPr>
                <w:rFonts w:ascii="宋体" w:hAnsi="宋体" w:eastAsia="宋体" w:cs="宋体"/>
                <w:sz w:val="21"/>
                <w:szCs w:val="21"/>
                <w:lang w:val="zh-CN"/>
              </w:rPr>
            </w:pPr>
            <w:r>
              <w:rPr>
                <w:rFonts w:hint="eastAsia" w:ascii="宋体" w:hAnsi="宋体" w:eastAsia="宋体" w:cs="宋体"/>
                <w:sz w:val="21"/>
                <w:szCs w:val="21"/>
                <w:lang w:val="zh-CN"/>
              </w:rPr>
              <w:t>报价</w:t>
            </w:r>
          </w:p>
        </w:tc>
        <w:tc>
          <w:tcPr>
            <w:tcW w:w="945"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30分</w:t>
            </w:r>
          </w:p>
        </w:tc>
        <w:tc>
          <w:tcPr>
            <w:tcW w:w="6946"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1、满足采购文件要求且投标价格最低的投标报价为评标基准价（</w:t>
            </w:r>
            <w:r>
              <w:rPr>
                <w:rFonts w:hint="eastAsia" w:ascii="宋体" w:hAnsi="宋体" w:eastAsia="宋体" w:cs="宋体"/>
                <w:sz w:val="21"/>
                <w:szCs w:val="21"/>
                <w:lang w:val="en-US" w:eastAsia="zh-CN"/>
              </w:rPr>
              <w:t>Q</w:t>
            </w:r>
            <w:r>
              <w:rPr>
                <w:rFonts w:hint="eastAsia" w:ascii="宋体" w:hAnsi="宋体" w:eastAsia="宋体" w:cs="宋体"/>
                <w:sz w:val="21"/>
                <w:szCs w:val="21"/>
                <w:lang w:val="zh-CN"/>
              </w:rPr>
              <w:t>)，其价格分为满分（30分）</w:t>
            </w:r>
          </w:p>
          <w:p>
            <w:pPr>
              <w:rPr>
                <w:rFonts w:ascii="宋体" w:hAnsi="宋体" w:eastAsia="宋体" w:cs="宋体"/>
                <w:sz w:val="21"/>
                <w:szCs w:val="21"/>
                <w:lang w:val="zh-CN"/>
              </w:rPr>
            </w:pPr>
            <w:r>
              <w:rPr>
                <w:rFonts w:hint="eastAsia" w:ascii="宋体" w:hAnsi="宋体" w:eastAsia="宋体" w:cs="宋体"/>
                <w:sz w:val="21"/>
                <w:szCs w:val="21"/>
                <w:lang w:val="zh-CN"/>
              </w:rPr>
              <w:t>2、其他合格投标人的投标报价得分按如下公式计算：</w:t>
            </w:r>
          </w:p>
          <w:p>
            <w:pPr>
              <w:rPr>
                <w:rFonts w:hint="default" w:ascii="宋体" w:hAnsi="宋体" w:eastAsia="宋体" w:cs="宋体"/>
                <w:sz w:val="21"/>
                <w:szCs w:val="21"/>
                <w:lang w:val="en-US" w:eastAsia="zh-CN"/>
              </w:rPr>
            </w:pPr>
            <w:r>
              <w:rPr>
                <w:rFonts w:hint="eastAsia" w:ascii="宋体" w:hAnsi="宋体" w:eastAsia="宋体" w:cs="宋体"/>
                <w:sz w:val="21"/>
                <w:szCs w:val="21"/>
                <w:lang w:val="zh-CN"/>
              </w:rPr>
              <w:t>投标报价得分=（评标基准价</w:t>
            </w:r>
            <w:r>
              <w:rPr>
                <w:rFonts w:hint="eastAsia" w:ascii="宋体" w:hAnsi="宋体" w:eastAsia="宋体" w:cs="宋体"/>
                <w:sz w:val="21"/>
                <w:szCs w:val="21"/>
                <w:lang w:val="en-US" w:eastAsia="zh-CN"/>
              </w:rPr>
              <w:t>Q</w:t>
            </w:r>
            <w:r>
              <w:rPr>
                <w:rFonts w:hint="eastAsia" w:ascii="宋体" w:hAnsi="宋体" w:eastAsia="宋体" w:cs="宋体"/>
                <w:sz w:val="21"/>
                <w:szCs w:val="21"/>
                <w:lang w:val="zh-CN"/>
              </w:rPr>
              <w:t>/投标报价</w:t>
            </w:r>
            <w:r>
              <w:rPr>
                <w:rFonts w:hint="eastAsia" w:ascii="宋体" w:hAnsi="宋体" w:eastAsia="宋体" w:cs="宋体"/>
                <w:sz w:val="21"/>
                <w:szCs w:val="21"/>
                <w:lang w:val="en-US" w:eastAsia="zh-CN"/>
              </w:rPr>
              <w:t>q</w:t>
            </w:r>
            <w:r>
              <w:rPr>
                <w:rFonts w:hint="eastAsia" w:ascii="宋体" w:hAnsi="宋体" w:eastAsia="宋体" w:cs="宋体"/>
                <w:sz w:val="21"/>
                <w:szCs w:val="21"/>
                <w:lang w:val="zh-CN"/>
              </w:rPr>
              <w:t>）×30</w:t>
            </w:r>
            <w:r>
              <w:rPr>
                <w:rFonts w:hint="eastAsia" w:ascii="宋体" w:hAnsi="宋体" w:eastAsia="宋体" w:cs="宋体"/>
                <w:sz w:val="21"/>
                <w:szCs w:val="21"/>
                <w:lang w:val="en-US" w:eastAsia="zh-CN"/>
              </w:rPr>
              <w:t xml:space="preserve">  （投标报价为综合折扣率）</w:t>
            </w:r>
          </w:p>
        </w:tc>
      </w:tr>
      <w:tr>
        <w:tblPrEx>
          <w:tblCellMar>
            <w:top w:w="0" w:type="dxa"/>
            <w:left w:w="108" w:type="dxa"/>
            <w:bottom w:w="0" w:type="dxa"/>
            <w:right w:w="108" w:type="dxa"/>
          </w:tblCellMar>
        </w:tblPrEx>
        <w:trPr>
          <w:trHeight w:val="725" w:hRule="atLeast"/>
        </w:trPr>
        <w:tc>
          <w:tcPr>
            <w:tcW w:w="738" w:type="dxa"/>
            <w:vMerge w:val="restart"/>
            <w:tcBorders>
              <w:top w:val="nil"/>
              <w:left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商务</w:t>
            </w:r>
          </w:p>
          <w:p>
            <w:pPr>
              <w:rPr>
                <w:rFonts w:ascii="宋体" w:hAnsi="宋体" w:eastAsia="宋体" w:cs="宋体"/>
                <w:sz w:val="21"/>
                <w:szCs w:val="21"/>
                <w:lang w:val="zh-CN"/>
              </w:rPr>
            </w:pPr>
          </w:p>
          <w:p>
            <w:pPr>
              <w:rPr>
                <w:rFonts w:ascii="宋体" w:hAnsi="宋体" w:eastAsia="宋体" w:cs="宋体"/>
                <w:sz w:val="21"/>
                <w:szCs w:val="21"/>
                <w:lang w:val="zh-CN"/>
              </w:rPr>
            </w:pPr>
            <w:r>
              <w:rPr>
                <w:rFonts w:hint="eastAsia" w:ascii="宋体" w:hAnsi="宋体" w:eastAsia="宋体" w:cs="宋体"/>
                <w:sz w:val="21"/>
                <w:szCs w:val="21"/>
                <w:lang w:val="zh-CN"/>
              </w:rPr>
              <w:t>15分</w:t>
            </w:r>
          </w:p>
        </w:tc>
        <w:tc>
          <w:tcPr>
            <w:tcW w:w="1260"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类似业绩</w:t>
            </w:r>
          </w:p>
        </w:tc>
        <w:tc>
          <w:tcPr>
            <w:tcW w:w="945"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10分</w:t>
            </w:r>
          </w:p>
        </w:tc>
        <w:tc>
          <w:tcPr>
            <w:tcW w:w="6946"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投标人提供在近三年内类似项目业绩进行评分，每提供1个业绩得 2 分，满分 10 分。（须提供合同和中标通知书）</w:t>
            </w:r>
          </w:p>
        </w:tc>
      </w:tr>
      <w:tr>
        <w:tblPrEx>
          <w:tblCellMar>
            <w:top w:w="0" w:type="dxa"/>
            <w:left w:w="108" w:type="dxa"/>
            <w:bottom w:w="0" w:type="dxa"/>
            <w:right w:w="108" w:type="dxa"/>
          </w:tblCellMar>
        </w:tblPrEx>
        <w:trPr>
          <w:trHeight w:val="680" w:hRule="atLeast"/>
        </w:trPr>
        <w:tc>
          <w:tcPr>
            <w:tcW w:w="738" w:type="dxa"/>
            <w:vMerge w:val="continue"/>
            <w:tcBorders>
              <w:top w:val="nil"/>
              <w:left w:val="single" w:color="auto" w:sz="4" w:space="0"/>
              <w:right w:val="single" w:color="auto" w:sz="4" w:space="0"/>
            </w:tcBorders>
            <w:vAlign w:val="center"/>
          </w:tcPr>
          <w:p>
            <w:pPr>
              <w:rPr>
                <w:rFonts w:ascii="宋体" w:hAnsi="宋体" w:eastAsia="宋体" w:cs="宋体"/>
                <w:sz w:val="21"/>
                <w:szCs w:val="21"/>
                <w:lang w:val="zh-CN"/>
              </w:rPr>
            </w:pPr>
          </w:p>
        </w:tc>
        <w:tc>
          <w:tcPr>
            <w:tcW w:w="1260"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信息反馈</w:t>
            </w:r>
          </w:p>
        </w:tc>
        <w:tc>
          <w:tcPr>
            <w:tcW w:w="945"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5分</w:t>
            </w:r>
          </w:p>
        </w:tc>
        <w:tc>
          <w:tcPr>
            <w:tcW w:w="6946"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投标人承诺接到采购人采购订单后能在7天内反馈所订图书全率，且能反馈采购方错订的图书的得5分；仅能反馈所订图书全率的得2分；无承诺不得分。（需提供承诺函）</w:t>
            </w:r>
          </w:p>
        </w:tc>
      </w:tr>
      <w:tr>
        <w:tblPrEx>
          <w:tblCellMar>
            <w:top w:w="0" w:type="dxa"/>
            <w:left w:w="108" w:type="dxa"/>
            <w:bottom w:w="0" w:type="dxa"/>
            <w:right w:w="108" w:type="dxa"/>
          </w:tblCellMar>
        </w:tblPrEx>
        <w:trPr>
          <w:trHeight w:val="645" w:hRule="atLeast"/>
        </w:trPr>
        <w:tc>
          <w:tcPr>
            <w:tcW w:w="738" w:type="dxa"/>
            <w:vMerge w:val="restart"/>
            <w:tcBorders>
              <w:top w:val="single" w:color="auto" w:sz="4" w:space="0"/>
              <w:left w:val="single" w:color="auto" w:sz="4"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技术</w:t>
            </w:r>
          </w:p>
          <w:p>
            <w:pPr>
              <w:rPr>
                <w:rFonts w:ascii="宋体" w:hAnsi="宋体" w:eastAsia="宋体" w:cs="宋体"/>
                <w:sz w:val="21"/>
                <w:szCs w:val="21"/>
                <w:lang w:val="zh-CN"/>
              </w:rPr>
            </w:pPr>
          </w:p>
          <w:p>
            <w:pPr>
              <w:rPr>
                <w:rFonts w:ascii="宋体" w:hAnsi="宋体" w:eastAsia="宋体" w:cs="宋体"/>
                <w:sz w:val="21"/>
                <w:szCs w:val="21"/>
                <w:lang w:val="zh-CN"/>
              </w:rPr>
            </w:pPr>
            <w:r>
              <w:rPr>
                <w:rFonts w:hint="eastAsia" w:ascii="宋体" w:hAnsi="宋体" w:eastAsia="宋体" w:cs="宋体"/>
                <w:sz w:val="21"/>
                <w:szCs w:val="21"/>
                <w:lang w:val="zh-CN"/>
              </w:rPr>
              <w:t>55分</w:t>
            </w:r>
          </w:p>
        </w:tc>
        <w:tc>
          <w:tcPr>
            <w:tcW w:w="1260" w:type="dxa"/>
            <w:tcBorders>
              <w:top w:val="single" w:color="auto" w:sz="4" w:space="0"/>
              <w:left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lang w:val="zh-CN"/>
              </w:rPr>
              <w:t>项目实施保障措施</w:t>
            </w:r>
          </w:p>
        </w:tc>
        <w:tc>
          <w:tcPr>
            <w:tcW w:w="945" w:type="dxa"/>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3分</w:t>
            </w:r>
          </w:p>
        </w:tc>
        <w:tc>
          <w:tcPr>
            <w:tcW w:w="6946" w:type="dxa"/>
            <w:tcBorders>
              <w:top w:val="single" w:color="auto" w:sz="4" w:space="0"/>
              <w:left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有投标人制定的质量保障措施方案，根据各投标人质量保障措施方案的合理、可行性好的得</w:t>
            </w:r>
            <w:r>
              <w:rPr>
                <w:rFonts w:hint="eastAsia" w:ascii="宋体" w:hAnsi="宋体" w:eastAsia="宋体" w:cs="宋体"/>
                <w:sz w:val="21"/>
                <w:szCs w:val="21"/>
              </w:rPr>
              <w:t>3</w:t>
            </w:r>
            <w:r>
              <w:rPr>
                <w:rFonts w:hint="eastAsia" w:ascii="宋体" w:hAnsi="宋体" w:eastAsia="宋体" w:cs="宋体"/>
                <w:sz w:val="21"/>
                <w:szCs w:val="21"/>
                <w:lang w:val="zh-CN"/>
              </w:rPr>
              <w:t>分，一般的得</w:t>
            </w:r>
            <w:r>
              <w:rPr>
                <w:rFonts w:hint="eastAsia" w:ascii="宋体" w:hAnsi="宋体" w:eastAsia="宋体" w:cs="宋体"/>
                <w:sz w:val="21"/>
                <w:szCs w:val="21"/>
              </w:rPr>
              <w:t>2</w:t>
            </w:r>
            <w:r>
              <w:rPr>
                <w:rFonts w:hint="eastAsia" w:ascii="宋体" w:hAnsi="宋体" w:eastAsia="宋体" w:cs="宋体"/>
                <w:sz w:val="21"/>
                <w:szCs w:val="21"/>
                <w:lang w:val="zh-CN"/>
              </w:rPr>
              <w:t>分、欠合理的得1分，没有不得分。</w:t>
            </w:r>
          </w:p>
        </w:tc>
      </w:tr>
      <w:tr>
        <w:tblPrEx>
          <w:tblCellMar>
            <w:top w:w="0" w:type="dxa"/>
            <w:left w:w="108" w:type="dxa"/>
            <w:bottom w:w="0" w:type="dxa"/>
            <w:right w:w="108" w:type="dxa"/>
          </w:tblCellMar>
        </w:tblPrEx>
        <w:trPr>
          <w:trHeight w:val="645"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tcBorders>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运输、包装保障措施</w:t>
            </w:r>
          </w:p>
        </w:tc>
        <w:tc>
          <w:tcPr>
            <w:tcW w:w="945" w:type="dxa"/>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3分</w:t>
            </w:r>
          </w:p>
        </w:tc>
        <w:tc>
          <w:tcPr>
            <w:tcW w:w="6946" w:type="dxa"/>
            <w:tcBorders>
              <w:left w:val="single" w:color="auto" w:sz="6" w:space="0"/>
              <w:bottom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有投标人制定的运输、包装保障措施方案，根据各投标人运输、包装保障措施方案的合理、可行性好的得</w:t>
            </w:r>
            <w:r>
              <w:rPr>
                <w:rFonts w:hint="eastAsia" w:ascii="宋体" w:hAnsi="宋体" w:eastAsia="宋体" w:cs="宋体"/>
                <w:sz w:val="21"/>
                <w:szCs w:val="21"/>
              </w:rPr>
              <w:t>3</w:t>
            </w:r>
            <w:r>
              <w:rPr>
                <w:rFonts w:hint="eastAsia" w:ascii="宋体" w:hAnsi="宋体" w:eastAsia="宋体" w:cs="宋体"/>
                <w:sz w:val="21"/>
                <w:szCs w:val="21"/>
                <w:lang w:val="zh-CN"/>
              </w:rPr>
              <w:t>分，一般的得</w:t>
            </w:r>
            <w:r>
              <w:rPr>
                <w:rFonts w:hint="eastAsia" w:ascii="宋体" w:hAnsi="宋体" w:eastAsia="宋体" w:cs="宋体"/>
                <w:sz w:val="21"/>
                <w:szCs w:val="21"/>
              </w:rPr>
              <w:t>2</w:t>
            </w:r>
            <w:r>
              <w:rPr>
                <w:rFonts w:hint="eastAsia" w:ascii="宋体" w:hAnsi="宋体" w:eastAsia="宋体" w:cs="宋体"/>
                <w:sz w:val="21"/>
                <w:szCs w:val="21"/>
                <w:lang w:val="zh-CN"/>
              </w:rPr>
              <w:t>分、欠合理的得1分，没有不得分。</w:t>
            </w:r>
          </w:p>
        </w:tc>
      </w:tr>
      <w:tr>
        <w:tblPrEx>
          <w:tblCellMar>
            <w:top w:w="0" w:type="dxa"/>
            <w:left w:w="108" w:type="dxa"/>
            <w:bottom w:w="0" w:type="dxa"/>
            <w:right w:w="108" w:type="dxa"/>
          </w:tblCellMar>
        </w:tblPrEx>
        <w:trPr>
          <w:trHeight w:val="821"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技术保障</w:t>
            </w:r>
          </w:p>
        </w:tc>
        <w:tc>
          <w:tcPr>
            <w:tcW w:w="945" w:type="dxa"/>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6分</w:t>
            </w:r>
          </w:p>
        </w:tc>
        <w:tc>
          <w:tcPr>
            <w:tcW w:w="6946" w:type="dxa"/>
            <w:tcBorders>
              <w:top w:val="single" w:color="auto" w:sz="4" w:space="0"/>
              <w:left w:val="single" w:color="auto" w:sz="6" w:space="0"/>
              <w:bottom w:val="single" w:color="auto" w:sz="6" w:space="0"/>
              <w:right w:val="single" w:color="auto" w:sz="4" w:space="0"/>
            </w:tcBorders>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投标人具有图书管理服务或人工智能服务平台服务能力的，得6分，没有得0分。（须提供含二维码相关证明材料，网上可查询）</w:t>
            </w:r>
          </w:p>
        </w:tc>
      </w:tr>
      <w:tr>
        <w:tblPrEx>
          <w:tblCellMar>
            <w:top w:w="0" w:type="dxa"/>
            <w:left w:w="108" w:type="dxa"/>
            <w:bottom w:w="0" w:type="dxa"/>
            <w:right w:w="108" w:type="dxa"/>
          </w:tblCellMar>
        </w:tblPrEx>
        <w:trPr>
          <w:trHeight w:val="626"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vMerge w:val="restart"/>
            <w:tcBorders>
              <w:left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到书率及到书周期</w:t>
            </w:r>
          </w:p>
        </w:tc>
        <w:tc>
          <w:tcPr>
            <w:tcW w:w="945" w:type="dxa"/>
            <w:tcBorders>
              <w:left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4分</w:t>
            </w:r>
          </w:p>
        </w:tc>
        <w:tc>
          <w:tcPr>
            <w:tcW w:w="6946" w:type="dxa"/>
            <w:tcBorders>
              <w:top w:val="single" w:color="auto" w:sz="4" w:space="0"/>
              <w:left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投标人到书率95%及以上得4分，90%及以上得2分，85%及以上得 1分，其余不得分。</w:t>
            </w:r>
          </w:p>
        </w:tc>
      </w:tr>
      <w:tr>
        <w:tblPrEx>
          <w:tblCellMar>
            <w:top w:w="0" w:type="dxa"/>
            <w:left w:w="108" w:type="dxa"/>
            <w:bottom w:w="0" w:type="dxa"/>
            <w:right w:w="108" w:type="dxa"/>
          </w:tblCellMar>
        </w:tblPrEx>
        <w:trPr>
          <w:trHeight w:val="758"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vMerge w:val="continue"/>
            <w:tcBorders>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p>
        </w:tc>
        <w:tc>
          <w:tcPr>
            <w:tcW w:w="94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3分</w:t>
            </w:r>
          </w:p>
        </w:tc>
        <w:tc>
          <w:tcPr>
            <w:tcW w:w="6946" w:type="dxa"/>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投标人接到采购人报订目录后，承诺30个日历天内100%到货的并上架完毕的</w:t>
            </w:r>
            <w:r>
              <w:rPr>
                <w:rFonts w:hint="eastAsia" w:ascii="宋体" w:hAnsi="宋体" w:eastAsia="宋体" w:cs="宋体"/>
                <w:sz w:val="21"/>
                <w:szCs w:val="21"/>
                <w:lang w:val="en-US" w:eastAsia="zh-CN"/>
              </w:rPr>
              <w:t>得</w:t>
            </w:r>
            <w:bookmarkStart w:id="343" w:name="_GoBack"/>
            <w:bookmarkEnd w:id="343"/>
            <w:r>
              <w:rPr>
                <w:rFonts w:hint="eastAsia" w:ascii="宋体" w:hAnsi="宋体" w:eastAsia="宋体" w:cs="宋体"/>
                <w:sz w:val="21"/>
                <w:szCs w:val="21"/>
                <w:lang w:val="zh-CN"/>
              </w:rPr>
              <w:t>1分，每提前6天的加1分， 满分3分。</w:t>
            </w:r>
          </w:p>
        </w:tc>
      </w:tr>
      <w:tr>
        <w:tblPrEx>
          <w:tblCellMar>
            <w:top w:w="0" w:type="dxa"/>
            <w:left w:w="108" w:type="dxa"/>
            <w:bottom w:w="0" w:type="dxa"/>
            <w:right w:w="108" w:type="dxa"/>
          </w:tblCellMar>
        </w:tblPrEx>
        <w:trPr>
          <w:trHeight w:val="498"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tcBorders>
              <w:top w:val="single" w:color="auto" w:sz="6" w:space="0"/>
              <w:left w:val="single" w:color="auto" w:sz="6" w:space="0"/>
              <w:right w:val="single" w:color="auto" w:sz="6" w:space="0"/>
            </w:tcBorders>
            <w:vAlign w:val="center"/>
          </w:tcPr>
          <w:p>
            <w:pPr>
              <w:rPr>
                <w:rFonts w:ascii="宋体" w:hAnsi="宋体" w:eastAsia="宋体" w:cs="宋体"/>
                <w:color w:val="auto"/>
                <w:sz w:val="21"/>
                <w:szCs w:val="21"/>
                <w:lang w:val="zh-CN"/>
              </w:rPr>
            </w:pPr>
            <w:r>
              <w:rPr>
                <w:rFonts w:hint="eastAsia" w:ascii="宋体" w:hAnsi="宋体" w:eastAsia="宋体" w:cs="宋体"/>
                <w:color w:val="auto"/>
                <w:sz w:val="21"/>
                <w:szCs w:val="21"/>
                <w:lang w:val="zh-CN"/>
              </w:rPr>
              <w:t>样书情况</w:t>
            </w:r>
          </w:p>
        </w:tc>
        <w:tc>
          <w:tcPr>
            <w:tcW w:w="94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0分</w:t>
            </w:r>
          </w:p>
        </w:tc>
        <w:tc>
          <w:tcPr>
            <w:tcW w:w="6946" w:type="dxa"/>
            <w:tcBorders>
              <w:top w:val="single" w:color="auto" w:sz="6" w:space="0"/>
              <w:left w:val="single" w:color="auto" w:sz="6" w:space="0"/>
              <w:right w:val="single" w:color="auto" w:sz="4" w:space="0"/>
            </w:tcBorders>
            <w:vAlign w:val="center"/>
          </w:tcPr>
          <w:p>
            <w:pPr>
              <w:rPr>
                <w:rFonts w:ascii="宋体" w:hAnsi="宋体" w:eastAsia="宋体" w:cs="宋体"/>
                <w:color w:val="auto"/>
                <w:sz w:val="21"/>
                <w:szCs w:val="21"/>
                <w:lang w:val="zh-CN"/>
              </w:rPr>
            </w:pPr>
            <w:r>
              <w:rPr>
                <w:rFonts w:hint="eastAsia" w:ascii="宋体" w:hAnsi="宋体" w:eastAsia="宋体" w:cs="宋体"/>
                <w:color w:val="auto"/>
                <w:sz w:val="21"/>
                <w:szCs w:val="21"/>
                <w:lang w:val="zh-CN"/>
              </w:rPr>
              <w:t>根据投标人提供样书的数量情况打分，10类样书全部提供的得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0 分，提供8-9类得</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 xml:space="preserve">分，提供 </w:t>
            </w:r>
            <w:r>
              <w:rPr>
                <w:rFonts w:hint="eastAsia" w:ascii="宋体" w:hAnsi="宋体" w:eastAsia="宋体" w:cs="宋体"/>
                <w:color w:val="auto"/>
                <w:sz w:val="21"/>
                <w:szCs w:val="21"/>
              </w:rPr>
              <w:t>7</w:t>
            </w:r>
            <w:r>
              <w:rPr>
                <w:rFonts w:hint="eastAsia" w:ascii="宋体" w:hAnsi="宋体" w:eastAsia="宋体" w:cs="宋体"/>
                <w:color w:val="auto"/>
                <w:sz w:val="21"/>
                <w:szCs w:val="21"/>
                <w:lang w:val="zh-CN"/>
              </w:rPr>
              <w:t>类及以下得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分。（样书类别详见本招标文件第五部分采购要求）不提供不得分。</w:t>
            </w:r>
          </w:p>
        </w:tc>
      </w:tr>
      <w:tr>
        <w:tblPrEx>
          <w:tblCellMar>
            <w:top w:w="0" w:type="dxa"/>
            <w:left w:w="108" w:type="dxa"/>
            <w:bottom w:w="0" w:type="dxa"/>
            <w:right w:w="108" w:type="dxa"/>
          </w:tblCellMar>
        </w:tblPrEx>
        <w:trPr>
          <w:trHeight w:val="498"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tcBorders>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样书品质</w:t>
            </w:r>
          </w:p>
        </w:tc>
        <w:tc>
          <w:tcPr>
            <w:tcW w:w="94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rPr>
            </w:pPr>
            <w:r>
              <w:rPr>
                <w:rFonts w:hint="eastAsia" w:ascii="宋体" w:hAnsi="宋体" w:eastAsia="宋体" w:cs="宋体"/>
                <w:sz w:val="21"/>
                <w:szCs w:val="21"/>
              </w:rPr>
              <w:t>15分</w:t>
            </w:r>
          </w:p>
        </w:tc>
        <w:tc>
          <w:tcPr>
            <w:tcW w:w="6946" w:type="dxa"/>
            <w:tcBorders>
              <w:left w:val="single" w:color="auto" w:sz="6" w:space="0"/>
              <w:bottom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1）印刷质量符合国家标准，符合要求得3分，不符合不得分；</w:t>
            </w:r>
          </w:p>
          <w:p>
            <w:pPr>
              <w:rPr>
                <w:rFonts w:ascii="宋体" w:hAnsi="宋体" w:eastAsia="宋体" w:cs="宋体"/>
                <w:sz w:val="21"/>
                <w:szCs w:val="21"/>
                <w:lang w:val="zh-CN"/>
              </w:rPr>
            </w:pPr>
            <w:r>
              <w:rPr>
                <w:rFonts w:hint="eastAsia" w:ascii="宋体" w:hAnsi="宋体" w:eastAsia="宋体" w:cs="宋体"/>
                <w:sz w:val="21"/>
                <w:szCs w:val="21"/>
                <w:lang w:val="zh-CN"/>
              </w:rPr>
              <w:t>2）封面印刷（套印精准，字、图、点、线印迹清楚，不花、不毛、不糊，实地版墨色均匀，无回胶印，背面不脏）全部符合要求得6分，一项内容不符合要求扣0.5分，扣完为止。</w:t>
            </w:r>
          </w:p>
          <w:p>
            <w:pPr>
              <w:rPr>
                <w:rFonts w:ascii="宋体" w:hAnsi="宋体" w:eastAsia="宋体" w:cs="宋体"/>
                <w:sz w:val="21"/>
                <w:szCs w:val="21"/>
              </w:rPr>
            </w:pPr>
            <w:r>
              <w:rPr>
                <w:rFonts w:hint="eastAsia" w:ascii="宋体" w:hAnsi="宋体" w:eastAsia="宋体" w:cs="宋体"/>
                <w:sz w:val="21"/>
                <w:szCs w:val="21"/>
                <w:lang w:val="zh-CN"/>
              </w:rPr>
              <w:t>3）插图印刷（1、插印准确，层次分明，轮廓实，电分制版无浮雕印；2</w:t>
            </w:r>
            <w:r>
              <w:rPr>
                <w:rFonts w:hint="eastAsia" w:ascii="宋体" w:hAnsi="宋体" w:eastAsia="宋体" w:cs="宋体"/>
                <w:sz w:val="21"/>
                <w:szCs w:val="21"/>
                <w:lang w:val="zh-CN"/>
              </w:rPr>
              <w:tab/>
            </w:r>
            <w:r>
              <w:rPr>
                <w:rFonts w:hint="eastAsia" w:ascii="宋体" w:hAnsi="宋体" w:eastAsia="宋体" w:cs="宋体"/>
                <w:sz w:val="21"/>
                <w:szCs w:val="21"/>
                <w:lang w:val="zh-CN"/>
              </w:rPr>
              <w:t>、清晰饱满，小点不秃，大点光洁不糊，质感好；3、色均匀厚实，色彩鲜艳有光泽，肤色正，接版准确，色调深浅一致）全部符合要求得6分，一项内容不符合要求扣0.5分，扣完为止。</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1306"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应急措施及</w:t>
            </w:r>
          </w:p>
          <w:p>
            <w:pPr>
              <w:rPr>
                <w:rFonts w:ascii="宋体" w:hAnsi="宋体" w:eastAsia="宋体" w:cs="宋体"/>
                <w:sz w:val="21"/>
                <w:szCs w:val="21"/>
                <w:lang w:val="zh-CN"/>
              </w:rPr>
            </w:pPr>
            <w:r>
              <w:rPr>
                <w:rFonts w:hint="eastAsia" w:ascii="宋体" w:hAnsi="宋体" w:eastAsia="宋体" w:cs="宋体"/>
                <w:sz w:val="21"/>
                <w:szCs w:val="21"/>
                <w:lang w:val="zh-CN"/>
              </w:rPr>
              <w:t>其他应考虑因素</w:t>
            </w:r>
          </w:p>
        </w:tc>
        <w:tc>
          <w:tcPr>
            <w:tcW w:w="94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5分</w:t>
            </w:r>
          </w:p>
        </w:tc>
        <w:tc>
          <w:tcPr>
            <w:tcW w:w="6946" w:type="dxa"/>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投标人有应急措施预案，能及时并且有能力协助采购方短时间（1个月内）内大量采购并加工图书的需求的得 5 分；未提供不得分。（需提供承诺函）</w:t>
            </w:r>
          </w:p>
        </w:tc>
      </w:tr>
      <w:tr>
        <w:tblPrEx>
          <w:tblCellMar>
            <w:top w:w="0" w:type="dxa"/>
            <w:left w:w="108" w:type="dxa"/>
            <w:bottom w:w="0" w:type="dxa"/>
            <w:right w:w="108" w:type="dxa"/>
          </w:tblCellMar>
        </w:tblPrEx>
        <w:trPr>
          <w:trHeight w:val="1306" w:hRule="atLeast"/>
        </w:trPr>
        <w:tc>
          <w:tcPr>
            <w:tcW w:w="738" w:type="dxa"/>
            <w:vMerge w:val="continue"/>
            <w:tcBorders>
              <w:left w:val="single" w:color="auto" w:sz="4" w:space="0"/>
              <w:right w:val="single" w:color="auto" w:sz="6" w:space="0"/>
            </w:tcBorders>
            <w:vAlign w:val="center"/>
          </w:tcPr>
          <w:p>
            <w:pPr>
              <w:rPr>
                <w:rFonts w:ascii="宋体" w:hAnsi="宋体" w:eastAsia="宋体" w:cs="宋体"/>
                <w:sz w:val="21"/>
                <w:szCs w:val="21"/>
                <w:lang w:val="zh-CN"/>
              </w:rPr>
            </w:pPr>
          </w:p>
        </w:tc>
        <w:tc>
          <w:tcPr>
            <w:tcW w:w="1260" w:type="dxa"/>
            <w:vMerge w:val="restart"/>
            <w:tcBorders>
              <w:top w:val="single" w:color="auto" w:sz="6" w:space="0"/>
              <w:left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售后服务</w:t>
            </w:r>
          </w:p>
        </w:tc>
        <w:tc>
          <w:tcPr>
            <w:tcW w:w="94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3分</w:t>
            </w:r>
          </w:p>
        </w:tc>
        <w:tc>
          <w:tcPr>
            <w:tcW w:w="6946" w:type="dxa"/>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投标人能提供图书标准的 MARC 采访数据，数据必须包括题名、责任者、ISBN、装帧、价格、出版社及出版年、卷册（页码）、读者对象、图书内容介绍、中图法分类号等必备字段的 3 分。（需提供承诺函）</w:t>
            </w:r>
          </w:p>
        </w:tc>
      </w:tr>
      <w:tr>
        <w:tblPrEx>
          <w:tblCellMar>
            <w:top w:w="0" w:type="dxa"/>
            <w:left w:w="108" w:type="dxa"/>
            <w:bottom w:w="0" w:type="dxa"/>
            <w:right w:w="108" w:type="dxa"/>
          </w:tblCellMar>
        </w:tblPrEx>
        <w:trPr>
          <w:trHeight w:val="698" w:hRule="atLeast"/>
        </w:trPr>
        <w:tc>
          <w:tcPr>
            <w:tcW w:w="738" w:type="dxa"/>
            <w:vMerge w:val="continue"/>
            <w:tcBorders>
              <w:left w:val="single" w:color="auto" w:sz="4" w:space="0"/>
              <w:bottom w:val="single" w:color="auto" w:sz="6" w:space="0"/>
              <w:right w:val="single" w:color="auto" w:sz="6" w:space="0"/>
            </w:tcBorders>
            <w:vAlign w:val="center"/>
          </w:tcPr>
          <w:p>
            <w:pPr>
              <w:rPr>
                <w:rFonts w:ascii="宋体" w:hAnsi="宋体" w:eastAsia="宋体" w:cs="宋体"/>
                <w:sz w:val="21"/>
                <w:szCs w:val="21"/>
                <w:lang w:val="zh-CN"/>
              </w:rPr>
            </w:pPr>
          </w:p>
        </w:tc>
        <w:tc>
          <w:tcPr>
            <w:tcW w:w="1260" w:type="dxa"/>
            <w:vMerge w:val="continue"/>
            <w:tcBorders>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p>
        </w:tc>
        <w:tc>
          <w:tcPr>
            <w:tcW w:w="945"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3分</w:t>
            </w:r>
          </w:p>
        </w:tc>
        <w:tc>
          <w:tcPr>
            <w:tcW w:w="6946" w:type="dxa"/>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根据问题书退换货周期，24 小时之内响应并提供解决方案的得 3 分。（需提供承诺函）</w:t>
            </w:r>
          </w:p>
        </w:tc>
      </w:tr>
      <w:tr>
        <w:tblPrEx>
          <w:tblCellMar>
            <w:top w:w="0" w:type="dxa"/>
            <w:left w:w="108" w:type="dxa"/>
            <w:bottom w:w="0" w:type="dxa"/>
            <w:right w:w="108" w:type="dxa"/>
          </w:tblCellMar>
        </w:tblPrEx>
        <w:trPr>
          <w:trHeight w:val="407" w:hRule="atLeast"/>
        </w:trPr>
        <w:tc>
          <w:tcPr>
            <w:tcW w:w="1998" w:type="dxa"/>
            <w:gridSpan w:val="2"/>
            <w:tcBorders>
              <w:top w:val="single" w:color="auto" w:sz="4" w:space="0"/>
              <w:left w:val="single" w:color="auto" w:sz="4" w:space="0"/>
              <w:bottom w:val="single" w:color="auto" w:sz="4" w:space="0"/>
              <w:right w:val="single" w:color="000000"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总分</w:t>
            </w:r>
          </w:p>
        </w:tc>
        <w:tc>
          <w:tcPr>
            <w:tcW w:w="945"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lang w:val="zh-CN"/>
              </w:rPr>
            </w:pPr>
            <w:r>
              <w:rPr>
                <w:rFonts w:hint="eastAsia" w:ascii="宋体" w:hAnsi="宋体" w:eastAsia="宋体" w:cs="宋体"/>
                <w:sz w:val="21"/>
                <w:szCs w:val="21"/>
                <w:lang w:val="zh-CN"/>
              </w:rPr>
              <w:t>100分</w:t>
            </w:r>
          </w:p>
        </w:tc>
        <w:tc>
          <w:tcPr>
            <w:tcW w:w="6946" w:type="dxa"/>
            <w:tcBorders>
              <w:top w:val="nil"/>
              <w:left w:val="nil"/>
              <w:bottom w:val="single" w:color="auto" w:sz="4" w:space="0"/>
              <w:right w:val="single" w:color="auto" w:sz="4" w:space="0"/>
            </w:tcBorders>
            <w:vAlign w:val="center"/>
          </w:tcPr>
          <w:p>
            <w:pPr>
              <w:rPr>
                <w:rFonts w:ascii="宋体" w:hAnsi="宋体" w:eastAsia="宋体" w:cs="宋体"/>
                <w:sz w:val="21"/>
                <w:szCs w:val="21"/>
                <w:lang w:val="zh-CN"/>
              </w:rPr>
            </w:pPr>
          </w:p>
        </w:tc>
      </w:tr>
    </w:tbl>
    <w:p>
      <w:pPr>
        <w:pStyle w:val="2"/>
        <w:spacing w:line="360" w:lineRule="atLeast"/>
        <w:ind w:left="0" w:firstLine="0"/>
        <w:rPr>
          <w:sz w:val="24"/>
          <w:szCs w:val="24"/>
        </w:rPr>
      </w:pPr>
    </w:p>
    <w:p>
      <w:pPr>
        <w:rPr>
          <w:sz w:val="24"/>
          <w:szCs w:val="24"/>
        </w:rPr>
      </w:pPr>
    </w:p>
    <w:p>
      <w:pPr>
        <w:rPr>
          <w:b/>
          <w:bCs/>
          <w:sz w:val="28"/>
          <w:szCs w:val="28"/>
          <w:lang w:val="zh-CN"/>
        </w:rPr>
      </w:pPr>
      <w:r>
        <w:rPr>
          <w:rFonts w:hint="eastAsia" w:ascii="宋体" w:hAnsi="宋体" w:cs="宋体"/>
          <w:b/>
          <w:bCs/>
          <w:color w:val="000000"/>
          <w:sz w:val="28"/>
          <w:szCs w:val="28"/>
          <w:lang w:val="zh-CN"/>
        </w:rPr>
        <w:t>二包：</w:t>
      </w:r>
    </w:p>
    <w:p>
      <w:pPr>
        <w:pStyle w:val="2"/>
        <w:spacing w:line="240" w:lineRule="auto"/>
        <w:ind w:left="0" w:firstLine="0"/>
        <w:rPr>
          <w:sz w:val="24"/>
          <w:szCs w:val="24"/>
          <w:lang w:val="zh-CN"/>
        </w:rPr>
      </w:pPr>
      <w:r>
        <w:rPr>
          <w:rFonts w:hint="eastAsia"/>
          <w:sz w:val="24"/>
          <w:szCs w:val="24"/>
        </w:rPr>
        <w:t>1、</w:t>
      </w:r>
      <w:r>
        <w:rPr>
          <w:rFonts w:hint="eastAsia"/>
          <w:sz w:val="24"/>
          <w:szCs w:val="24"/>
          <w:lang w:val="zh-CN"/>
        </w:rPr>
        <w:t>初步评审</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709"/>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6"/>
              <w:spacing w:before="0" w:beforeAutospacing="0" w:after="0" w:afterAutospacing="0"/>
              <w:jc w:val="center"/>
              <w:rPr>
                <w:lang w:bidi="ar"/>
              </w:rPr>
            </w:pPr>
            <w:bookmarkStart w:id="108" w:name="_Toc29511"/>
            <w:bookmarkStart w:id="109" w:name="_Toc31896"/>
            <w:bookmarkStart w:id="110" w:name="_Toc28589"/>
            <w:r>
              <w:rPr>
                <w:rFonts w:hint="eastAsia"/>
                <w:b/>
                <w:bCs/>
                <w:lang w:bidi="ar"/>
              </w:rPr>
              <w:t>条款</w:t>
            </w: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6"/>
              <w:spacing w:before="0" w:beforeAutospacing="0" w:after="0" w:afterAutospacing="0"/>
              <w:jc w:val="center"/>
              <w:rPr>
                <w:b/>
                <w:bCs/>
                <w:lang w:bidi="ar"/>
              </w:rPr>
            </w:pPr>
            <w:r>
              <w:rPr>
                <w:rFonts w:hint="eastAsia"/>
                <w:b/>
                <w:bCs/>
                <w:lang w:bidi="ar"/>
              </w:rPr>
              <w:t>评审因素</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pStyle w:val="16"/>
              <w:spacing w:before="0" w:beforeAutospacing="0" w:after="0" w:afterAutospacing="0"/>
              <w:jc w:val="center"/>
              <w:rPr>
                <w:b/>
                <w:bCs/>
                <w:lang w:bidi="ar"/>
              </w:rPr>
            </w:pPr>
            <w:r>
              <w:rPr>
                <w:rFonts w:hint="eastAsia"/>
                <w:b/>
                <w:bCs/>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03" w:type="pct"/>
            <w:vMerge w:val="restart"/>
            <w:tcBorders>
              <w:top w:val="single" w:color="auto" w:sz="4" w:space="0"/>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资格评审标准</w:t>
            </w: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满足《中华人民共和国政府采购法》第二十二条规定</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1、具有独立承担民事责任的能力；</w:t>
            </w:r>
          </w:p>
          <w:p>
            <w:pPr>
              <w:rPr>
                <w:rFonts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具有良好的商业信誉和健全的财务会计制度；</w:t>
            </w:r>
          </w:p>
          <w:p>
            <w:pPr>
              <w:rPr>
                <w:rFonts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具有履行合同所必需的设备和专业技术能力；</w:t>
            </w:r>
          </w:p>
          <w:p>
            <w:pPr>
              <w:rPr>
                <w:rFonts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有依法缴纳税收和社会保障资金的良好记录；</w:t>
            </w:r>
          </w:p>
          <w:p>
            <w:pPr>
              <w:rPr>
                <w:rFonts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参加政府采购活动前三年内，在经营活动中没有重大违法记录；</w:t>
            </w:r>
          </w:p>
          <w:p>
            <w:pPr>
              <w:rPr>
                <w:rFonts w:ascii="宋体" w:hAnsi="宋体" w:eastAsia="宋体" w:cs="宋体"/>
                <w:sz w:val="21"/>
                <w:szCs w:val="21"/>
                <w:lang w:val="zh-CN"/>
              </w:rPr>
            </w:pPr>
            <w:r>
              <w:rPr>
                <w:rFonts w:hint="eastAsia" w:ascii="宋体" w:hAnsi="宋体" w:eastAsia="宋体" w:cs="宋体"/>
                <w:sz w:val="21"/>
                <w:szCs w:val="21"/>
              </w:rPr>
              <w:t>6、</w:t>
            </w:r>
            <w:r>
              <w:rPr>
                <w:rFonts w:hint="eastAsia" w:ascii="宋体" w:hAnsi="宋体" w:eastAsia="宋体" w:cs="宋体"/>
                <w:sz w:val="21"/>
                <w:szCs w:val="21"/>
                <w:lang w:val="zh-CN"/>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lang w:val="zh-CN"/>
              </w:rPr>
            </w:pPr>
            <w:r>
              <w:rPr>
                <w:rFonts w:hint="eastAsia" w:ascii="宋体" w:hAnsi="宋体" w:eastAsia="宋体" w:cs="宋体"/>
                <w:sz w:val="21"/>
                <w:szCs w:val="21"/>
                <w:lang w:val="zh-CN"/>
              </w:rPr>
              <w:t>单位负责人</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7.提交“未与单位负责人为同一人或者存在直接控股、管理关系</w:t>
            </w:r>
            <w:r>
              <w:rPr>
                <w:rFonts w:hint="eastAsia" w:ascii="宋体" w:hAnsi="宋体" w:eastAsia="宋体" w:cs="宋体"/>
                <w:sz w:val="21"/>
                <w:szCs w:val="21"/>
                <w:lang w:eastAsia="zh-CN"/>
              </w:rPr>
              <w:t>的其他</w:t>
            </w:r>
            <w:r>
              <w:rPr>
                <w:rFonts w:hint="eastAsia" w:ascii="宋体" w:hAnsi="宋体" w:eastAsia="宋体" w:cs="宋体"/>
                <w:sz w:val="21"/>
                <w:szCs w:val="21"/>
              </w:rPr>
              <w:t>投标人，参加同一合同项下的政府采购活动声明函”。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提供服务</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8.提交“未为本采购项目提供整体设计、规范编制或者项目管理、监理、检测等服务的声明函”。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信誉</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zh-CN"/>
              </w:rPr>
              <w:t>未被列入失信被执行人、重大税收违法案件当事人名单，未被列入政府采购严重违法失信行为记录名单。</w:t>
            </w:r>
            <w:r>
              <w:rPr>
                <w:rFonts w:hint="eastAsia" w:ascii="宋体" w:hAnsi="宋体" w:eastAsia="宋体" w:cs="宋体"/>
                <w:sz w:val="21"/>
                <w:szCs w:val="21"/>
              </w:rPr>
              <w:t>（提供网络截图）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zh-CN"/>
              </w:rPr>
              <w:t>落实政府采购政策需满足的资格要求</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10.本项目专门面向中小微企业采购。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本项目特定资格要求</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trike/>
                <w:color w:val="FF0000"/>
                <w:sz w:val="21"/>
                <w:szCs w:val="21"/>
              </w:rPr>
            </w:pPr>
          </w:p>
          <w:p>
            <w:pPr>
              <w:rPr>
                <w:rFonts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未被列入“信用中国”网站</w:t>
            </w:r>
            <w:r>
              <w:rPr>
                <w:rFonts w:hint="eastAsia" w:ascii="宋体" w:hAnsi="宋体" w:eastAsia="宋体" w:cs="宋体"/>
                <w:sz w:val="21"/>
                <w:szCs w:val="21"/>
                <w:lang w:eastAsia="zh-CN"/>
              </w:rPr>
              <w:t>（</w:t>
            </w:r>
            <w:r>
              <w:rPr>
                <w:rFonts w:hint="eastAsia" w:ascii="宋体" w:hAnsi="宋体" w:eastAsia="宋体" w:cs="宋体"/>
                <w:sz w:val="21"/>
                <w:szCs w:val="21"/>
              </w:rPr>
              <w:t>www.creditchina.gov.cn</w:t>
            </w:r>
            <w:r>
              <w:rPr>
                <w:rFonts w:hint="eastAsia" w:ascii="宋体" w:hAnsi="宋体" w:eastAsia="宋体" w:cs="宋体"/>
                <w:sz w:val="21"/>
                <w:szCs w:val="21"/>
                <w:lang w:eastAsia="zh-CN"/>
              </w:rPr>
              <w:t>）</w:t>
            </w:r>
            <w:r>
              <w:rPr>
                <w:rFonts w:hint="eastAsia" w:ascii="宋体" w:hAnsi="宋体" w:eastAsia="宋体" w:cs="宋体"/>
                <w:sz w:val="21"/>
                <w:szCs w:val="21"/>
              </w:rPr>
              <w:t>信用服务栏查询失信被执行人查询、重大税收违法案件和“中国政府采购”网（www.ccgp.gov.cn）政府采购严重违法失信行为记录名单，并提供网页截图以证明；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授权书</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法定代表人身份证明或法定代表人授权委托书。（委托代理人需提供劳动合同和社保证明）。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03" w:type="pct"/>
            <w:vMerge w:val="restart"/>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符合评审标准</w:t>
            </w: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递交的响应文件</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符合竞争性磋商文件第一部分竞争性磋商公告“六、其他补充事宜”第1条要求。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文件签章</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CN"/>
              </w:rPr>
              <w:t>响应性文件签字和盖章齐全。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磋商有效期</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zh-CN"/>
              </w:rPr>
              <w:t>满足磋商有效期。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3" w:type="pct"/>
            <w:vMerge w:val="continue"/>
            <w:tcBorders>
              <w:left w:val="single" w:color="auto" w:sz="4" w:space="0"/>
              <w:right w:val="single" w:color="auto" w:sz="4" w:space="0"/>
            </w:tcBorders>
            <w:tcMar>
              <w:top w:w="100" w:type="dxa"/>
              <w:bottom w:w="100" w:type="dxa"/>
            </w:tcMar>
            <w:vAlign w:val="center"/>
          </w:tcPr>
          <w:p>
            <w:pPr>
              <w:rPr>
                <w:rFonts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磋商报价</w:t>
            </w:r>
          </w:p>
        </w:tc>
        <w:tc>
          <w:tcPr>
            <w:tcW w:w="3524" w:type="pct"/>
            <w:tcBorders>
              <w:top w:val="single" w:color="auto" w:sz="4" w:space="0"/>
              <w:left w:val="single" w:color="auto" w:sz="4" w:space="0"/>
              <w:bottom w:val="single" w:color="auto" w:sz="4" w:space="0"/>
              <w:right w:val="single" w:color="auto" w:sz="4" w:space="0"/>
            </w:tcBorders>
            <w:tcMar>
              <w:top w:w="100" w:type="dxa"/>
              <w:bottom w:w="100" w:type="dxa"/>
            </w:tcMar>
            <w:vAlign w:val="center"/>
          </w:tcPr>
          <w:p>
            <w:pPr>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供应商所提交的报价表未出现两个或两个以上不同报价。</w:t>
            </w:r>
          </w:p>
        </w:tc>
      </w:tr>
      <w:bookmarkEnd w:id="108"/>
      <w:bookmarkEnd w:id="109"/>
      <w:bookmarkEnd w:id="110"/>
    </w:tbl>
    <w:p>
      <w:pPr>
        <w:pStyle w:val="2"/>
        <w:numPr>
          <w:ilvl w:val="0"/>
          <w:numId w:val="6"/>
        </w:numPr>
        <w:spacing w:line="360" w:lineRule="atLeast"/>
        <w:ind w:left="0" w:firstLine="0"/>
        <w:rPr>
          <w:sz w:val="24"/>
          <w:szCs w:val="24"/>
        </w:rPr>
      </w:pPr>
      <w:bookmarkStart w:id="111" w:name="_Toc435691460"/>
      <w:bookmarkStart w:id="112" w:name="_Toc436648444"/>
      <w:bookmarkStart w:id="113" w:name="_Toc436752452"/>
      <w:r>
        <w:rPr>
          <w:rFonts w:hint="eastAsia"/>
          <w:sz w:val="24"/>
          <w:szCs w:val="24"/>
        </w:rPr>
        <w:t>详细评审</w:t>
      </w:r>
    </w:p>
    <w:tbl>
      <w:tblPr>
        <w:tblStyle w:val="1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0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7" w:type="dxa"/>
            <w:gridSpan w:val="2"/>
            <w:vAlign w:val="center"/>
          </w:tcPr>
          <w:p>
            <w:pPr>
              <w:tabs>
                <w:tab w:val="left" w:pos="0"/>
              </w:tabs>
              <w:adjustRightInd w:val="0"/>
              <w:spacing w:line="360" w:lineRule="auto"/>
              <w:ind w:firstLine="482" w:firstLineChars="200"/>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评分项目</w:t>
            </w:r>
          </w:p>
        </w:tc>
        <w:tc>
          <w:tcPr>
            <w:tcW w:w="6520" w:type="dxa"/>
            <w:vAlign w:val="center"/>
          </w:tcPr>
          <w:p>
            <w:pPr>
              <w:tabs>
                <w:tab w:val="left" w:pos="0"/>
              </w:tabs>
              <w:adjustRightInd w:val="0"/>
              <w:spacing w:line="360" w:lineRule="auto"/>
              <w:ind w:firstLine="482" w:firstLineChars="200"/>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45" w:type="dxa"/>
            <w:vAlign w:val="center"/>
          </w:tcPr>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报价</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部分</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（3</w:t>
            </w:r>
            <w:r>
              <w:rPr>
                <w:rFonts w:ascii="仿宋" w:hAnsi="仿宋" w:eastAsia="仿宋" w:cs="宋体"/>
                <w:b/>
                <w:color w:val="auto"/>
                <w:sz w:val="24"/>
                <w:szCs w:val="24"/>
                <w:highlight w:val="none"/>
              </w:rPr>
              <w:t>0</w:t>
            </w:r>
            <w:r>
              <w:rPr>
                <w:rFonts w:hint="eastAsia" w:ascii="仿宋" w:hAnsi="仿宋" w:eastAsia="仿宋" w:cs="宋体"/>
                <w:b/>
                <w:color w:val="auto"/>
                <w:sz w:val="24"/>
                <w:szCs w:val="24"/>
                <w:highlight w:val="none"/>
              </w:rPr>
              <w:t>分）</w:t>
            </w:r>
          </w:p>
        </w:tc>
        <w:tc>
          <w:tcPr>
            <w:tcW w:w="1302" w:type="dxa"/>
            <w:vAlign w:val="center"/>
          </w:tcPr>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报价分</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w:t>
            </w:r>
            <w:r>
              <w:rPr>
                <w:rFonts w:ascii="仿宋" w:hAnsi="仿宋" w:eastAsia="仿宋" w:cs="宋体"/>
                <w:b/>
                <w:color w:val="auto"/>
                <w:sz w:val="24"/>
                <w:szCs w:val="24"/>
                <w:highlight w:val="none"/>
              </w:rPr>
              <w:t>3</w:t>
            </w:r>
            <w:r>
              <w:rPr>
                <w:rFonts w:hint="eastAsia" w:ascii="仿宋" w:hAnsi="仿宋" w:eastAsia="仿宋" w:cs="宋体"/>
                <w:b/>
                <w:color w:val="auto"/>
                <w:sz w:val="24"/>
                <w:szCs w:val="24"/>
                <w:highlight w:val="none"/>
              </w:rPr>
              <w:t>0分）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评标基准价：当有效投标报价超过5家时，评标基准值为所有有效投标报价去掉一个最高报价和一个最低报价后的算术平均值。有效投标报价少于5家（含5家）时，评标基准值为所有有效投标报价的算术平均值保留小数点后两位（四舍五入）。</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2、有效投标报价指通过初步评审后的所有投标人的投标报价为有效投标报价。</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3、投标报价得分公式如下（采用四舍五入的方法精确至小数点后两位）：</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（1）投标报价低于评标基准价的，每低于1.0%扣0.1分；</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该项记分公式为：K=30-[（Q-q）/Q]×100×0.1</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（2）投标报价高于评标基准价的，每高于1.0%扣0.2分。</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该项记分公式为：K=30+[（Q-q）/Q]×100×0.2 </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以上公式中：q-－投标报价， Q-－评标基准价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45" w:type="dxa"/>
            <w:vMerge w:val="restart"/>
            <w:vAlign w:val="center"/>
          </w:tcPr>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技术</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部分</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w:t>
            </w:r>
            <w:r>
              <w:rPr>
                <w:rFonts w:ascii="仿宋" w:hAnsi="仿宋" w:eastAsia="仿宋" w:cs="宋体"/>
                <w:b/>
                <w:color w:val="auto"/>
                <w:sz w:val="24"/>
                <w:szCs w:val="24"/>
                <w:highlight w:val="none"/>
              </w:rPr>
              <w:t>51</w:t>
            </w:r>
            <w:r>
              <w:rPr>
                <w:rFonts w:hint="eastAsia" w:ascii="仿宋" w:hAnsi="仿宋" w:eastAsia="仿宋" w:cs="宋体"/>
                <w:b/>
                <w:color w:val="auto"/>
                <w:sz w:val="24"/>
                <w:szCs w:val="24"/>
                <w:highlight w:val="none"/>
              </w:rPr>
              <w:t>分）</w:t>
            </w:r>
          </w:p>
        </w:tc>
        <w:tc>
          <w:tcPr>
            <w:tcW w:w="1302" w:type="dxa"/>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技术响应方案</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9</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投标人对本次采购要求理解透彻，总项目建设方案思路清晰，对项目需求、功能需求、内容响应考虑周全具有先进性、科学性、合理性。（项目技术响应方案最全面到位完整合理得7—</w:t>
            </w:r>
            <w:r>
              <w:rPr>
                <w:rFonts w:ascii="宋体" w:hAnsi="宋体" w:eastAsia="宋体" w:cs="宋体"/>
                <w:color w:val="auto"/>
                <w:sz w:val="21"/>
                <w:szCs w:val="21"/>
                <w:highlight w:val="none"/>
                <w:lang w:val="zh-CN"/>
              </w:rPr>
              <w:t>9</w:t>
            </w:r>
            <w:r>
              <w:rPr>
                <w:rFonts w:hint="eastAsia" w:ascii="宋体" w:hAnsi="宋体" w:eastAsia="宋体" w:cs="宋体"/>
                <w:color w:val="auto"/>
                <w:sz w:val="21"/>
                <w:szCs w:val="21"/>
                <w:highlight w:val="none"/>
                <w:lang w:val="zh-CN"/>
              </w:rPr>
              <w:t>分，部分合理的得</w:t>
            </w:r>
            <w:r>
              <w:rPr>
                <w:rFonts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zh-CN"/>
              </w:rPr>
              <w:t>—</w:t>
            </w:r>
            <w:r>
              <w:rPr>
                <w:rFonts w:ascii="宋体" w:hAnsi="宋体" w:eastAsia="宋体" w:cs="宋体"/>
                <w:color w:val="auto"/>
                <w:sz w:val="21"/>
                <w:szCs w:val="21"/>
                <w:highlight w:val="none"/>
                <w:lang w:val="zh-CN"/>
              </w:rPr>
              <w:t>6</w:t>
            </w:r>
            <w:r>
              <w:rPr>
                <w:rFonts w:hint="eastAsia" w:ascii="宋体" w:hAnsi="宋体" w:eastAsia="宋体" w:cs="宋体"/>
                <w:color w:val="auto"/>
                <w:sz w:val="21"/>
                <w:szCs w:val="21"/>
                <w:highlight w:val="none"/>
                <w:lang w:val="zh-CN"/>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b/>
                <w:color w:val="auto"/>
                <w:sz w:val="24"/>
                <w:szCs w:val="24"/>
                <w:highlight w:val="none"/>
              </w:rPr>
            </w:pPr>
          </w:p>
        </w:tc>
        <w:tc>
          <w:tcPr>
            <w:tcW w:w="1302" w:type="dxa"/>
            <w:vAlign w:val="center"/>
          </w:tcPr>
          <w:p>
            <w:pPr>
              <w:tabs>
                <w:tab w:val="left" w:pos="0"/>
              </w:tabs>
              <w:adjustRightIn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重要技术指标</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27</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提供智慧图书馆短信服务系统相关软件著作权证书复印件并加盖公章。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提供智慧服务平台统一认证管理系统相关软件著作权证书复印件并加盖公章。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提供智慧图书馆服务平台相关软件产品证书复印件并加盖公章。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为保障平台运行稳定性，需提供智慧图书馆服务平台相关第三方测试报告。</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提供瀑布流展示借阅系统相关软件著作权证书复印件并加盖公章。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提供基于二维码电子书借阅机平台相关软件著作权证书复印件并加盖公章。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提供全民阅读服务平台相关软件著作权证书复印件并加盖公章。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提供快速检索电子图书管理软件相关软件著作权证书复印件加盖公章。</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r>
              <w:rPr>
                <w:rFonts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提供期刊下载管理平台相关软件著作权证书复印件加盖公章。</w:t>
            </w:r>
          </w:p>
          <w:p>
            <w:pPr>
              <w:rPr>
                <w:rFonts w:hint="eastAsia" w:ascii="宋体" w:hAnsi="宋体" w:eastAsia="宋体" w:cs="宋体"/>
                <w:color w:val="auto"/>
                <w:sz w:val="21"/>
                <w:szCs w:val="21"/>
                <w:highlight w:val="none"/>
                <w:lang w:val="zh-CN"/>
              </w:rPr>
            </w:pP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总分</w:t>
            </w:r>
            <w:r>
              <w:rPr>
                <w:rFonts w:ascii="宋体" w:hAnsi="宋体" w:eastAsia="宋体" w:cs="宋体"/>
                <w:color w:val="auto"/>
                <w:sz w:val="21"/>
                <w:szCs w:val="21"/>
                <w:highlight w:val="none"/>
                <w:lang w:val="zh-CN"/>
              </w:rPr>
              <w:t>27</w:t>
            </w:r>
            <w:r>
              <w:rPr>
                <w:rFonts w:hint="eastAsia" w:ascii="宋体" w:hAnsi="宋体" w:eastAsia="宋体" w:cs="宋体"/>
                <w:color w:val="auto"/>
                <w:sz w:val="21"/>
                <w:szCs w:val="21"/>
                <w:highlight w:val="none"/>
                <w:lang w:val="zh-CN"/>
              </w:rPr>
              <w:t>分，满足一项得3分，不满足不得分。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b/>
                <w:color w:val="auto"/>
                <w:sz w:val="24"/>
                <w:szCs w:val="24"/>
                <w:highlight w:val="none"/>
              </w:rPr>
            </w:pPr>
          </w:p>
        </w:tc>
        <w:tc>
          <w:tcPr>
            <w:tcW w:w="1302" w:type="dxa"/>
            <w:vAlign w:val="center"/>
          </w:tcPr>
          <w:p>
            <w:pPr>
              <w:spacing w:line="40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信息</w:t>
            </w:r>
          </w:p>
          <w:p>
            <w:pPr>
              <w:tabs>
                <w:tab w:val="left" w:pos="0"/>
              </w:tabs>
              <w:adjustRightIn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安全</w:t>
            </w:r>
          </w:p>
          <w:p>
            <w:pPr>
              <w:tabs>
                <w:tab w:val="left" w:pos="0"/>
              </w:tabs>
              <w:adjustRightIn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8</w:t>
            </w:r>
            <w:r>
              <w:rPr>
                <w:rFonts w:hint="eastAsia" w:ascii="仿宋" w:hAnsi="仿宋" w:eastAsia="仿宋"/>
                <w:b/>
                <w:color w:val="auto"/>
                <w:sz w:val="24"/>
                <w:szCs w:val="24"/>
                <w:highlight w:val="none"/>
              </w:rPr>
              <w:t>分）</w:t>
            </w:r>
          </w:p>
        </w:tc>
        <w:tc>
          <w:tcPr>
            <w:tcW w:w="6520" w:type="dxa"/>
            <w:vAlign w:val="center"/>
          </w:tcPr>
          <w:p>
            <w:pPr>
              <w:spacing w:line="400" w:lineRule="exact"/>
              <w:jc w:val="left"/>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）提供图书馆移动图书馆APP产品的“移动图书馆”系统满足《信息安全等级保护管理办法》第二级备案要求的得</w:t>
            </w:r>
            <w:r>
              <w:rPr>
                <w:rFonts w:ascii="宋体" w:hAnsi="宋体" w:eastAsia="宋体"/>
                <w:color w:val="auto"/>
                <w:sz w:val="24"/>
                <w:szCs w:val="24"/>
                <w:highlight w:val="none"/>
              </w:rPr>
              <w:t>4分</w:t>
            </w:r>
            <w:r>
              <w:rPr>
                <w:rFonts w:hint="eastAsia" w:ascii="宋体" w:hAnsi="宋体" w:eastAsia="宋体"/>
                <w:color w:val="auto"/>
                <w:sz w:val="24"/>
                <w:szCs w:val="24"/>
                <w:highlight w:val="none"/>
              </w:rPr>
              <w:t>；</w:t>
            </w:r>
          </w:p>
          <w:p>
            <w:pPr>
              <w:spacing w:line="400" w:lineRule="exact"/>
              <w:jc w:val="left"/>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）提供电子书借阅机产品的“电子书借阅机系统”满足《信息安全等级保护管理办法》第二级备案要求的得</w:t>
            </w:r>
            <w:r>
              <w:rPr>
                <w:rFonts w:ascii="宋体" w:hAnsi="宋体" w:eastAsia="宋体"/>
                <w:color w:val="auto"/>
                <w:sz w:val="24"/>
                <w:szCs w:val="24"/>
                <w:highlight w:val="none"/>
              </w:rPr>
              <w:t>4分</w:t>
            </w:r>
            <w:r>
              <w:rPr>
                <w:rFonts w:hint="eastAsia" w:ascii="宋体" w:hAnsi="宋体" w:eastAsia="宋体"/>
                <w:color w:val="auto"/>
                <w:sz w:val="24"/>
                <w:szCs w:val="24"/>
                <w:highlight w:val="none"/>
              </w:rPr>
              <w:t>；</w:t>
            </w:r>
          </w:p>
          <w:p>
            <w:pP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b/>
                <w:color w:val="auto"/>
                <w:sz w:val="24"/>
                <w:szCs w:val="24"/>
                <w:highlight w:val="none"/>
              </w:rPr>
            </w:pPr>
          </w:p>
        </w:tc>
        <w:tc>
          <w:tcPr>
            <w:tcW w:w="1302" w:type="dxa"/>
            <w:vAlign w:val="center"/>
          </w:tcPr>
          <w:p>
            <w:pPr>
              <w:tabs>
                <w:tab w:val="left" w:pos="0"/>
              </w:tabs>
              <w:adjustRightIn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项目实施方案</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5</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根据投标人提供的项目实施方案进行比较，实施方案规范合理的得4—</w:t>
            </w:r>
            <w:r>
              <w:rPr>
                <w:rFonts w:ascii="宋体" w:hAnsi="宋体" w:eastAsia="宋体" w:cs="宋体"/>
                <w:color w:val="auto"/>
                <w:sz w:val="21"/>
                <w:szCs w:val="21"/>
                <w:highlight w:val="none"/>
                <w:lang w:val="zh-CN"/>
              </w:rPr>
              <w:t>5</w:t>
            </w:r>
            <w:r>
              <w:rPr>
                <w:rFonts w:hint="eastAsia" w:ascii="宋体" w:hAnsi="宋体" w:eastAsia="宋体" w:cs="宋体"/>
                <w:color w:val="auto"/>
                <w:sz w:val="21"/>
                <w:szCs w:val="21"/>
                <w:highlight w:val="none"/>
                <w:lang w:val="zh-CN"/>
              </w:rPr>
              <w:t>分，运维管理方案基本规范合理的得1—</w:t>
            </w:r>
            <w:r>
              <w:rPr>
                <w:rFonts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lang w:val="zh-CN"/>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b/>
                <w:color w:val="auto"/>
                <w:sz w:val="24"/>
                <w:szCs w:val="24"/>
                <w:highlight w:val="none"/>
              </w:rPr>
            </w:pPr>
          </w:p>
        </w:tc>
        <w:tc>
          <w:tcPr>
            <w:tcW w:w="1302" w:type="dxa"/>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推广</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运营</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投标人提供完善的线上线下项目推广运营方案，设计合理、完整详细。根据投标人提供的推广运营方案及推广预期效果描述，方案完整合理翔实的</w:t>
            </w:r>
            <w:r>
              <w:rPr>
                <w:rFonts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zh-CN"/>
              </w:rPr>
              <w:t>分，方案基本完整合理翔实的1分，其他不得分。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5" w:type="dxa"/>
            <w:vMerge w:val="restart"/>
            <w:vAlign w:val="center"/>
          </w:tcPr>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商务</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部分</w:t>
            </w:r>
          </w:p>
          <w:p>
            <w:pPr>
              <w:tabs>
                <w:tab w:val="left" w:pos="0"/>
              </w:tabs>
              <w:adjustRightIn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w:t>
            </w:r>
            <w:r>
              <w:rPr>
                <w:rFonts w:ascii="仿宋" w:hAnsi="仿宋" w:eastAsia="仿宋" w:cs="宋体"/>
                <w:b/>
                <w:color w:val="auto"/>
                <w:sz w:val="24"/>
                <w:szCs w:val="24"/>
                <w:highlight w:val="none"/>
              </w:rPr>
              <w:t>19</w:t>
            </w:r>
            <w:r>
              <w:rPr>
                <w:rFonts w:hint="eastAsia" w:ascii="仿宋" w:hAnsi="仿宋" w:eastAsia="仿宋" w:cs="宋体"/>
                <w:b/>
                <w:color w:val="auto"/>
                <w:sz w:val="24"/>
                <w:szCs w:val="24"/>
                <w:highlight w:val="none"/>
              </w:rPr>
              <w:t>分）</w:t>
            </w:r>
          </w:p>
        </w:tc>
        <w:tc>
          <w:tcPr>
            <w:tcW w:w="1302" w:type="dxa"/>
            <w:vMerge w:val="restart"/>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技术</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实力</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6</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投标人具有高新技术企业证书得2分，不提供不得分。（提供相关证明文件复印件并加盖公章）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color w:val="auto"/>
                <w:sz w:val="24"/>
                <w:szCs w:val="24"/>
                <w:highlight w:val="none"/>
              </w:rPr>
            </w:pPr>
          </w:p>
        </w:tc>
        <w:tc>
          <w:tcPr>
            <w:tcW w:w="1302" w:type="dxa"/>
            <w:vMerge w:val="continue"/>
            <w:vAlign w:val="center"/>
          </w:tcPr>
          <w:p>
            <w:pPr>
              <w:spacing w:line="360" w:lineRule="auto"/>
              <w:jc w:val="center"/>
              <w:rPr>
                <w:rFonts w:ascii="仿宋" w:hAnsi="仿宋" w:eastAsia="仿宋"/>
                <w:b/>
                <w:color w:val="auto"/>
                <w:sz w:val="24"/>
                <w:szCs w:val="24"/>
                <w:highlight w:val="none"/>
              </w:rPr>
            </w:pP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投标人具有广播电视节目制作经营许可证得2分，不提供不得分。（提供相关证明文件复印件并加盖公章）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color w:val="auto"/>
                <w:sz w:val="24"/>
                <w:szCs w:val="24"/>
                <w:highlight w:val="none"/>
              </w:rPr>
            </w:pPr>
          </w:p>
        </w:tc>
        <w:tc>
          <w:tcPr>
            <w:tcW w:w="1302" w:type="dxa"/>
            <w:vMerge w:val="continue"/>
            <w:vAlign w:val="center"/>
          </w:tcPr>
          <w:p>
            <w:pPr>
              <w:tabs>
                <w:tab w:val="left" w:pos="0"/>
              </w:tabs>
              <w:adjustRightInd w:val="0"/>
              <w:spacing w:line="360" w:lineRule="auto"/>
              <w:jc w:val="center"/>
              <w:rPr>
                <w:rFonts w:ascii="仿宋" w:hAnsi="仿宋" w:eastAsia="仿宋" w:cs="宋体"/>
                <w:b/>
                <w:color w:val="auto"/>
                <w:sz w:val="24"/>
                <w:szCs w:val="24"/>
                <w:highlight w:val="none"/>
              </w:rPr>
            </w:pP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投标人具有出版物经营许可证得2分，不提供不得分。（提供相关证明文件复印件并加盖公章）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5" w:type="dxa"/>
            <w:vMerge w:val="continue"/>
            <w:vAlign w:val="center"/>
          </w:tcPr>
          <w:p>
            <w:pPr>
              <w:tabs>
                <w:tab w:val="left" w:pos="0"/>
              </w:tabs>
              <w:adjustRightInd w:val="0"/>
              <w:spacing w:line="360" w:lineRule="auto"/>
              <w:rPr>
                <w:rFonts w:ascii="仿宋" w:hAnsi="仿宋" w:eastAsia="仿宋" w:cs="宋体"/>
                <w:color w:val="auto"/>
                <w:sz w:val="24"/>
                <w:szCs w:val="24"/>
                <w:highlight w:val="none"/>
              </w:rPr>
            </w:pPr>
          </w:p>
        </w:tc>
        <w:tc>
          <w:tcPr>
            <w:tcW w:w="1302" w:type="dxa"/>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认证</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体系</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（3分）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投标人具有ISO 9001质量管理体系认证证书（认证范围包括计算机软硬件开发或相关范围）得1分，具有ISO27001信息安全管理体系认证证书得1分，ISO 45001 职业健康安全管理体系认证得1分，没有则不得分。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5" w:type="dxa"/>
            <w:vMerge w:val="continue"/>
            <w:vAlign w:val="center"/>
          </w:tcPr>
          <w:p>
            <w:pPr>
              <w:tabs>
                <w:tab w:val="left" w:pos="0"/>
              </w:tabs>
              <w:adjustRightInd w:val="0"/>
              <w:spacing w:line="360" w:lineRule="auto"/>
              <w:jc w:val="center"/>
              <w:rPr>
                <w:rFonts w:ascii="仿宋" w:hAnsi="仿宋" w:eastAsia="仿宋" w:cs="宋体"/>
                <w:color w:val="auto"/>
                <w:sz w:val="24"/>
                <w:szCs w:val="24"/>
                <w:highlight w:val="none"/>
              </w:rPr>
            </w:pPr>
          </w:p>
        </w:tc>
        <w:tc>
          <w:tcPr>
            <w:tcW w:w="1302" w:type="dxa"/>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项目</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团队</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3</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投标人必须为本项目配置实施和服务团队。</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1.根据供应商提供的实施团队人员配置方案及相关证书综合评分。方案配备最合理完善且团队人员不低于10人得2分，较合理完善且团队人员不低于5人得1分，其他不得分。</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2.投标人拟派往本项目的项目经理需具备PMP项目管理证书（以相关证书复印件加盖公章和近三个月缴纳的社保证明为准），满足的1分，其他不得分。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5" w:type="dxa"/>
            <w:vMerge w:val="continue"/>
            <w:vAlign w:val="center"/>
          </w:tcPr>
          <w:p>
            <w:pPr>
              <w:tabs>
                <w:tab w:val="left" w:pos="0"/>
              </w:tabs>
              <w:adjustRightInd w:val="0"/>
              <w:spacing w:line="360" w:lineRule="auto"/>
              <w:rPr>
                <w:rFonts w:ascii="仿宋" w:hAnsi="仿宋" w:eastAsia="仿宋" w:cs="宋体"/>
                <w:color w:val="auto"/>
                <w:sz w:val="24"/>
                <w:szCs w:val="24"/>
                <w:highlight w:val="none"/>
              </w:rPr>
            </w:pPr>
          </w:p>
        </w:tc>
        <w:tc>
          <w:tcPr>
            <w:tcW w:w="1302" w:type="dxa"/>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类似</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业绩</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（3分）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投标人近三年（2019—2022年）具有图书馆数字化及信息化相关业绩案例。每提供1例得1分，满分3分。（需提供项目的合同复印件并加盖公章，否则不得分）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5" w:type="dxa"/>
            <w:vMerge w:val="continue"/>
            <w:vAlign w:val="center"/>
          </w:tcPr>
          <w:p>
            <w:pPr>
              <w:tabs>
                <w:tab w:val="left" w:pos="0"/>
              </w:tabs>
              <w:adjustRightInd w:val="0"/>
              <w:spacing w:line="360" w:lineRule="auto"/>
              <w:rPr>
                <w:rFonts w:ascii="仿宋" w:hAnsi="仿宋" w:eastAsia="仿宋" w:cs="宋体"/>
                <w:color w:val="auto"/>
                <w:sz w:val="24"/>
                <w:szCs w:val="24"/>
                <w:highlight w:val="none"/>
              </w:rPr>
            </w:pPr>
          </w:p>
        </w:tc>
        <w:tc>
          <w:tcPr>
            <w:tcW w:w="1302" w:type="dxa"/>
            <w:vMerge w:val="restart"/>
            <w:vAlign w:val="center"/>
          </w:tcPr>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售后</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服务</w:t>
            </w:r>
          </w:p>
          <w:p>
            <w:pPr>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4</w:t>
            </w:r>
            <w:r>
              <w:rPr>
                <w:rFonts w:hint="eastAsia" w:ascii="仿宋" w:hAnsi="仿宋" w:eastAsia="仿宋"/>
                <w:b/>
                <w:color w:val="auto"/>
                <w:sz w:val="24"/>
                <w:szCs w:val="24"/>
                <w:highlight w:val="none"/>
              </w:rPr>
              <w:t>分）</w:t>
            </w: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针对本项目制定完整的售后服务承诺及保障措施，故障应急响应速度快，并满足磋商文件中的售后服务要求，提供培训人员计划、售后服务体系、售后服务承诺、质保期、售后服务响应机制、质保期外售后服务承诺等，内容全面，可实施性强的得2分，内容不够全面的得1分，没有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5" w:type="dxa"/>
            <w:vAlign w:val="center"/>
          </w:tcPr>
          <w:p>
            <w:pPr>
              <w:tabs>
                <w:tab w:val="left" w:pos="0"/>
              </w:tabs>
              <w:adjustRightInd w:val="0"/>
              <w:spacing w:line="360" w:lineRule="auto"/>
              <w:rPr>
                <w:rFonts w:ascii="仿宋" w:hAnsi="仿宋" w:eastAsia="仿宋" w:cs="宋体"/>
                <w:color w:val="auto"/>
                <w:sz w:val="24"/>
                <w:szCs w:val="24"/>
                <w:highlight w:val="none"/>
              </w:rPr>
            </w:pPr>
          </w:p>
        </w:tc>
        <w:tc>
          <w:tcPr>
            <w:tcW w:w="1302" w:type="dxa"/>
            <w:vMerge w:val="continue"/>
            <w:vAlign w:val="center"/>
          </w:tcPr>
          <w:p>
            <w:pPr>
              <w:spacing w:line="360" w:lineRule="auto"/>
              <w:jc w:val="center"/>
              <w:rPr>
                <w:rFonts w:ascii="仿宋" w:hAnsi="仿宋" w:eastAsia="仿宋"/>
                <w:b/>
                <w:color w:val="auto"/>
                <w:sz w:val="24"/>
                <w:szCs w:val="24"/>
                <w:highlight w:val="none"/>
              </w:rPr>
            </w:pPr>
          </w:p>
        </w:tc>
        <w:tc>
          <w:tcPr>
            <w:tcW w:w="6520" w:type="dxa"/>
            <w:vAlign w:val="center"/>
          </w:tcPr>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供应商具有5星级及以上商品售后服务认证证书（认证范围包含及计算机软硬件及辅助设备）得2分，不提供不得分。</w:t>
            </w:r>
          </w:p>
          <w:p>
            <w:pP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（备注：需提供相关证书复印件并加盖公章）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45" w:type="dxa"/>
            <w:vAlign w:val="center"/>
          </w:tcPr>
          <w:p>
            <w:pPr>
              <w:tabs>
                <w:tab w:val="left" w:pos="0"/>
              </w:tabs>
              <w:adjustRightInd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总分</w:t>
            </w:r>
          </w:p>
        </w:tc>
        <w:tc>
          <w:tcPr>
            <w:tcW w:w="1302" w:type="dxa"/>
            <w:vAlign w:val="center"/>
          </w:tcPr>
          <w:p>
            <w:pPr>
              <w:tabs>
                <w:tab w:val="left" w:pos="0"/>
              </w:tabs>
              <w:adjustRightInd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00</w:t>
            </w:r>
          </w:p>
        </w:tc>
        <w:tc>
          <w:tcPr>
            <w:tcW w:w="6520" w:type="dxa"/>
            <w:vAlign w:val="center"/>
          </w:tcPr>
          <w:p>
            <w:pPr>
              <w:spacing w:line="360" w:lineRule="auto"/>
              <w:jc w:val="center"/>
              <w:rPr>
                <w:rFonts w:ascii="仿宋" w:hAnsi="仿宋" w:eastAsia="仿宋" w:cs="宋体"/>
                <w:color w:val="auto"/>
                <w:sz w:val="24"/>
                <w:szCs w:val="24"/>
                <w:highlight w:val="none"/>
              </w:rPr>
            </w:pPr>
          </w:p>
        </w:tc>
      </w:tr>
      <w:bookmarkEnd w:id="111"/>
      <w:bookmarkEnd w:id="112"/>
      <w:bookmarkEnd w:id="113"/>
    </w:tbl>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rPr>
          <w:sz w:val="24"/>
          <w:szCs w:val="24"/>
        </w:rPr>
      </w:pPr>
    </w:p>
    <w:p>
      <w:pPr>
        <w:pStyle w:val="2"/>
      </w:pPr>
    </w:p>
    <w:p>
      <w:pPr>
        <w:pStyle w:val="3"/>
        <w:snapToGrid w:val="0"/>
        <w:spacing w:before="0" w:after="0" w:line="400" w:lineRule="exact"/>
        <w:jc w:val="center"/>
        <w:rPr>
          <w:rFonts w:ascii="宋体" w:hAnsi="宋体" w:cs="宋体"/>
          <w:b w:val="0"/>
          <w:bCs w:val="0"/>
          <w:color w:val="000000"/>
          <w:sz w:val="24"/>
          <w:szCs w:val="28"/>
          <w:lang w:val="zh-CN"/>
        </w:rPr>
      </w:pPr>
      <w:bookmarkStart w:id="114" w:name="_Toc13862"/>
      <w:bookmarkStart w:id="115" w:name="_Toc3112"/>
      <w:r>
        <w:rPr>
          <w:rFonts w:hint="eastAsia" w:ascii="宋体" w:hAnsi="宋体" w:cs="宋体"/>
          <w:b w:val="0"/>
          <w:bCs w:val="0"/>
          <w:color w:val="000000"/>
          <w:sz w:val="24"/>
          <w:szCs w:val="28"/>
          <w:lang w:val="zh-CN"/>
        </w:rPr>
        <w:t>1. 磋商方法</w:t>
      </w:r>
      <w:bookmarkEnd w:id="114"/>
    </w:p>
    <w:p>
      <w:pPr>
        <w:pStyle w:val="3"/>
        <w:snapToGrid w:val="0"/>
        <w:spacing w:before="0" w:after="0" w:line="400" w:lineRule="exact"/>
        <w:ind w:firstLine="480"/>
        <w:rPr>
          <w:rFonts w:ascii="宋体" w:hAnsi="宋体" w:cs="宋体"/>
          <w:b w:val="0"/>
          <w:bCs w:val="0"/>
          <w:color w:val="000000"/>
          <w:sz w:val="24"/>
          <w:szCs w:val="28"/>
          <w:lang w:val="zh-CN"/>
        </w:rPr>
      </w:pPr>
      <w:bookmarkStart w:id="116" w:name="_Toc17756"/>
      <w:r>
        <w:rPr>
          <w:rFonts w:hint="eastAsia" w:ascii="宋体" w:hAnsi="宋体" w:cs="宋体"/>
          <w:b w:val="0"/>
          <w:bCs w:val="0"/>
          <w:color w:val="000000"/>
          <w:sz w:val="24"/>
          <w:szCs w:val="28"/>
          <w:lang w:val="zh-CN"/>
        </w:rPr>
        <w:t>经磋商确定最终采购需求和提交最后报价的供应商后，由磋商小组采用综合评分法对提交最后报价的供应商的响应文件和最后报价进行综合评分。</w:t>
      </w:r>
      <w:bookmarkEnd w:id="116"/>
    </w:p>
    <w:p>
      <w:pPr>
        <w:pStyle w:val="3"/>
        <w:snapToGrid w:val="0"/>
        <w:spacing w:before="0" w:after="0" w:line="400" w:lineRule="exact"/>
        <w:ind w:firstLine="480"/>
        <w:rPr>
          <w:rFonts w:ascii="宋体" w:hAnsi="宋体" w:cs="宋体"/>
          <w:b w:val="0"/>
          <w:bCs w:val="0"/>
          <w:color w:val="000000"/>
          <w:sz w:val="24"/>
          <w:szCs w:val="28"/>
          <w:lang w:val="zh-CN"/>
        </w:rPr>
      </w:pPr>
      <w:bookmarkStart w:id="117" w:name="_Toc30310"/>
      <w:r>
        <w:rPr>
          <w:rFonts w:hint="eastAsia" w:ascii="宋体" w:hAnsi="宋体" w:cs="宋体"/>
          <w:b w:val="0"/>
          <w:bCs w:val="0"/>
          <w:color w:val="000000"/>
          <w:sz w:val="24"/>
          <w:szCs w:val="28"/>
          <w:lang w:val="zh-CN"/>
        </w:rPr>
        <w:t>综合评分法，是指响应文件满足磋商文件全部实质性要求且按评审因素的量化指标评审得分最高的供应商为成交候选供应商的评审方法。</w:t>
      </w:r>
      <w:bookmarkEnd w:id="117"/>
    </w:p>
    <w:p>
      <w:pPr>
        <w:pStyle w:val="3"/>
        <w:snapToGrid w:val="0"/>
        <w:spacing w:before="0" w:after="0" w:line="400" w:lineRule="exact"/>
        <w:ind w:firstLine="480"/>
        <w:rPr>
          <w:rFonts w:ascii="宋体" w:hAnsi="宋体" w:cs="宋体"/>
          <w:b w:val="0"/>
          <w:bCs w:val="0"/>
          <w:color w:val="000000"/>
          <w:sz w:val="24"/>
          <w:szCs w:val="28"/>
          <w:lang w:val="zh-CN"/>
        </w:rPr>
      </w:pPr>
      <w:bookmarkStart w:id="118" w:name="_Toc13813"/>
      <w:r>
        <w:rPr>
          <w:rFonts w:hint="eastAsia" w:ascii="宋体" w:hAnsi="宋体" w:cs="宋体"/>
          <w:b w:val="0"/>
          <w:bCs w:val="0"/>
          <w:color w:val="000000"/>
          <w:sz w:val="24"/>
          <w:szCs w:val="28"/>
          <w:lang w:val="zh-CN"/>
        </w:rPr>
        <w:t>1.比较与评价</w:t>
      </w:r>
      <w:bookmarkEnd w:id="118"/>
    </w:p>
    <w:p>
      <w:pPr>
        <w:pStyle w:val="3"/>
        <w:snapToGrid w:val="0"/>
        <w:spacing w:before="0" w:after="0" w:line="400" w:lineRule="exact"/>
        <w:ind w:firstLine="480"/>
        <w:rPr>
          <w:rFonts w:ascii="宋体" w:hAnsi="宋体" w:cs="宋体"/>
          <w:b w:val="0"/>
          <w:bCs w:val="0"/>
          <w:color w:val="000000"/>
          <w:sz w:val="24"/>
          <w:szCs w:val="28"/>
          <w:lang w:val="zh-CN"/>
        </w:rPr>
      </w:pPr>
      <w:bookmarkStart w:id="119" w:name="_Toc29492"/>
      <w:r>
        <w:rPr>
          <w:rFonts w:hint="eastAsia" w:ascii="宋体" w:hAnsi="宋体" w:cs="宋体"/>
          <w:b w:val="0"/>
          <w:bCs w:val="0"/>
          <w:color w:val="000000"/>
          <w:sz w:val="24"/>
          <w:szCs w:val="28"/>
          <w:lang w:val="zh-CN"/>
        </w:rPr>
        <w:t>1.1经审查合格的磋商响应文件，磋商小组将根据磋商文件确定的评审标准和方法、最后报价，对其质量技术部分和商务部分作进一步的比较和评价。</w:t>
      </w:r>
      <w:bookmarkEnd w:id="119"/>
    </w:p>
    <w:p>
      <w:pPr>
        <w:pStyle w:val="3"/>
        <w:snapToGrid w:val="0"/>
        <w:spacing w:before="0" w:after="0" w:line="400" w:lineRule="exact"/>
        <w:ind w:firstLine="480"/>
        <w:rPr>
          <w:rFonts w:ascii="宋体" w:hAnsi="宋体" w:cs="宋体"/>
          <w:b w:val="0"/>
          <w:bCs w:val="0"/>
          <w:color w:val="000000"/>
          <w:sz w:val="24"/>
          <w:szCs w:val="28"/>
          <w:lang w:val="zh-CN"/>
        </w:rPr>
      </w:pPr>
      <w:bookmarkStart w:id="120" w:name="_Toc11235"/>
      <w:r>
        <w:rPr>
          <w:rFonts w:hint="eastAsia" w:ascii="宋体" w:hAnsi="宋体" w:cs="宋体"/>
          <w:b w:val="0"/>
          <w:bCs w:val="0"/>
          <w:color w:val="000000"/>
          <w:sz w:val="24"/>
          <w:szCs w:val="28"/>
          <w:lang w:val="zh-CN"/>
        </w:rPr>
        <w:t>1.2评审严格按照磋商文件的要求和条件进行。评审时将考虑以下因素： （1）供应商资信实力； （2）质量技术； （3）售后服务； （4）商务响应；</w:t>
      </w:r>
      <w:bookmarkEnd w:id="120"/>
    </w:p>
    <w:p>
      <w:pPr>
        <w:pStyle w:val="3"/>
        <w:snapToGrid w:val="0"/>
        <w:spacing w:before="0" w:after="0" w:line="400" w:lineRule="exact"/>
        <w:ind w:firstLine="480"/>
        <w:rPr>
          <w:rFonts w:ascii="宋体" w:hAnsi="宋体" w:cs="宋体"/>
          <w:b w:val="0"/>
          <w:bCs w:val="0"/>
          <w:color w:val="000000"/>
          <w:sz w:val="24"/>
          <w:szCs w:val="28"/>
          <w:lang w:val="zh-CN"/>
        </w:rPr>
      </w:pPr>
      <w:bookmarkStart w:id="121" w:name="_Toc17404"/>
      <w:r>
        <w:rPr>
          <w:rFonts w:hint="eastAsia" w:ascii="宋体" w:hAnsi="宋体" w:cs="宋体"/>
          <w:b w:val="0"/>
          <w:bCs w:val="0"/>
          <w:color w:val="000000"/>
          <w:sz w:val="24"/>
          <w:szCs w:val="28"/>
          <w:lang w:val="zh-CN"/>
        </w:rPr>
        <w:t>1.3本次评审将采用下列方法：</w:t>
      </w:r>
      <w:bookmarkEnd w:id="121"/>
    </w:p>
    <w:p>
      <w:pPr>
        <w:pStyle w:val="3"/>
        <w:snapToGrid w:val="0"/>
        <w:spacing w:before="0" w:after="0" w:line="400" w:lineRule="exact"/>
        <w:ind w:firstLine="480"/>
        <w:rPr>
          <w:rFonts w:ascii="宋体" w:hAnsi="宋体" w:cs="宋体"/>
          <w:b w:val="0"/>
          <w:bCs w:val="0"/>
          <w:color w:val="000000"/>
          <w:sz w:val="24"/>
          <w:szCs w:val="28"/>
          <w:lang w:val="zh-CN"/>
        </w:rPr>
      </w:pPr>
      <w:bookmarkStart w:id="122" w:name="_Toc15090"/>
      <w:r>
        <w:rPr>
          <w:rFonts w:hint="eastAsia" w:ascii="宋体" w:hAnsi="宋体" w:cs="宋体"/>
          <w:b w:val="0"/>
          <w:bCs w:val="0"/>
          <w:color w:val="000000"/>
          <w:sz w:val="24"/>
          <w:szCs w:val="28"/>
          <w:lang w:val="zh-CN"/>
        </w:rPr>
        <w:t>（1）低价高分法：</w:t>
      </w:r>
      <w:r>
        <w:rPr>
          <w:rFonts w:hint="eastAsia" w:ascii="宋体" w:hAnsi="宋体" w:cs="宋体"/>
          <w:b w:val="0"/>
          <w:bCs w:val="0"/>
          <w:sz w:val="24"/>
          <w:szCs w:val="28"/>
          <w:lang w:val="zh-CN"/>
        </w:rPr>
        <w:t>即指在最大限度地满足磋商文件实质性要求的前提下</w:t>
      </w:r>
      <w:r>
        <w:rPr>
          <w:rFonts w:hint="eastAsia" w:ascii="宋体" w:hAnsi="宋体" w:cs="宋体"/>
          <w:b w:val="0"/>
          <w:bCs w:val="0"/>
          <w:color w:val="000000"/>
          <w:sz w:val="24"/>
          <w:szCs w:val="28"/>
          <w:lang w:val="zh-CN"/>
        </w:rPr>
        <w:t>，按照磋商文件中规定的各项因素</w:t>
      </w:r>
      <w:r>
        <w:rPr>
          <w:rFonts w:hint="eastAsia" w:ascii="宋体" w:hAnsi="宋体" w:cs="宋体"/>
          <w:b w:val="0"/>
          <w:bCs w:val="0"/>
          <w:sz w:val="24"/>
          <w:szCs w:val="28"/>
          <w:lang w:val="zh-CN"/>
        </w:rPr>
        <w:t>且最后报价最低的供应商的报价为评标基准价进</w:t>
      </w:r>
      <w:r>
        <w:rPr>
          <w:rFonts w:hint="eastAsia" w:ascii="宋体" w:hAnsi="宋体" w:cs="宋体"/>
          <w:b w:val="0"/>
          <w:bCs w:val="0"/>
          <w:color w:val="000000"/>
          <w:sz w:val="24"/>
          <w:szCs w:val="28"/>
          <w:lang w:val="zh-CN"/>
        </w:rPr>
        <w:t>行评审后，以打分最高的供应商为成交供应商的评分办法。</w:t>
      </w:r>
      <w:bookmarkEnd w:id="122"/>
    </w:p>
    <w:p>
      <w:pPr>
        <w:pStyle w:val="3"/>
        <w:snapToGrid w:val="0"/>
        <w:spacing w:before="0" w:after="0" w:line="400" w:lineRule="exact"/>
        <w:ind w:firstLine="480"/>
        <w:rPr>
          <w:rFonts w:ascii="宋体" w:hAnsi="宋体" w:cs="宋体"/>
          <w:b w:val="0"/>
          <w:bCs w:val="0"/>
          <w:color w:val="000000"/>
          <w:sz w:val="24"/>
          <w:szCs w:val="28"/>
          <w:lang w:val="zh-CN"/>
        </w:rPr>
      </w:pPr>
      <w:bookmarkStart w:id="123" w:name="_Toc18243"/>
      <w:r>
        <w:rPr>
          <w:rFonts w:hint="eastAsia" w:ascii="宋体" w:hAnsi="宋体" w:cs="宋体"/>
          <w:b w:val="0"/>
          <w:bCs w:val="0"/>
          <w:color w:val="000000"/>
          <w:sz w:val="24"/>
          <w:szCs w:val="28"/>
          <w:lang w:val="zh-CN"/>
        </w:rPr>
        <w:t>（2）评审因素：详见详细评审。</w:t>
      </w:r>
      <w:bookmarkEnd w:id="123"/>
    </w:p>
    <w:p>
      <w:pPr>
        <w:pStyle w:val="3"/>
        <w:snapToGrid w:val="0"/>
        <w:spacing w:before="0" w:after="0" w:line="400" w:lineRule="exact"/>
        <w:ind w:firstLine="480"/>
        <w:rPr>
          <w:rFonts w:ascii="宋体" w:hAnsi="宋体" w:cs="宋体"/>
          <w:b w:val="0"/>
          <w:bCs w:val="0"/>
          <w:color w:val="000000"/>
          <w:sz w:val="24"/>
          <w:szCs w:val="28"/>
          <w:lang w:val="zh-CN"/>
        </w:rPr>
      </w:pPr>
      <w:bookmarkStart w:id="124" w:name="_Toc485"/>
      <w:r>
        <w:rPr>
          <w:rFonts w:hint="eastAsia" w:ascii="宋体" w:hAnsi="宋体" w:cs="宋体"/>
          <w:b w:val="0"/>
          <w:bCs w:val="0"/>
          <w:color w:val="000000"/>
          <w:sz w:val="24"/>
          <w:szCs w:val="28"/>
          <w:lang w:val="zh-CN"/>
        </w:rPr>
        <w:t>2.评审过程及保密原则</w:t>
      </w:r>
      <w:bookmarkEnd w:id="124"/>
    </w:p>
    <w:p>
      <w:pPr>
        <w:pStyle w:val="3"/>
        <w:snapToGrid w:val="0"/>
        <w:spacing w:before="0" w:after="0" w:line="400" w:lineRule="exact"/>
        <w:ind w:firstLine="482"/>
        <w:rPr>
          <w:rFonts w:ascii="宋体" w:hAnsi="宋体" w:cs="宋体"/>
          <w:b w:val="0"/>
          <w:bCs w:val="0"/>
          <w:color w:val="000000"/>
          <w:sz w:val="24"/>
          <w:szCs w:val="28"/>
          <w:lang w:val="zh-CN"/>
        </w:rPr>
      </w:pPr>
      <w:bookmarkStart w:id="125" w:name="_Toc22956"/>
      <w:r>
        <w:rPr>
          <w:rFonts w:hint="eastAsia" w:ascii="宋体" w:hAnsi="宋体" w:cs="宋体"/>
          <w:b w:val="0"/>
          <w:bCs w:val="0"/>
          <w:color w:val="000000"/>
          <w:sz w:val="24"/>
          <w:szCs w:val="28"/>
          <w:lang w:val="zh-CN"/>
        </w:rPr>
        <w:t>2.1 磋商响应文件递交后，直接授予成交服务商合同止，凡与本次采购有关人员对属于审查、澄清、评价和比较报价的有关资料以及授标意向等，均不得向服务商或其他无关的人员透露。</w:t>
      </w:r>
      <w:bookmarkEnd w:id="125"/>
    </w:p>
    <w:p>
      <w:pPr>
        <w:pStyle w:val="3"/>
        <w:snapToGrid w:val="0"/>
        <w:spacing w:before="0" w:after="0" w:line="400" w:lineRule="exact"/>
        <w:ind w:firstLine="482"/>
        <w:rPr>
          <w:rFonts w:ascii="宋体" w:hAnsi="宋体" w:cs="宋体"/>
          <w:b w:val="0"/>
          <w:bCs w:val="0"/>
          <w:color w:val="000000"/>
          <w:sz w:val="24"/>
          <w:szCs w:val="28"/>
          <w:lang w:val="zh-CN"/>
        </w:rPr>
      </w:pPr>
      <w:bookmarkStart w:id="126" w:name="_Toc2051"/>
      <w:r>
        <w:rPr>
          <w:rFonts w:hint="eastAsia" w:ascii="宋体" w:hAnsi="宋体" w:cs="宋体"/>
          <w:b w:val="0"/>
          <w:bCs w:val="0"/>
          <w:color w:val="000000"/>
          <w:sz w:val="24"/>
          <w:szCs w:val="28"/>
          <w:lang w:val="zh-CN"/>
        </w:rPr>
        <w:t>2.2 在磋商评审期间，服务商试图影响采购单位和磋商小组的任何活动，将导致其报价被拒绝，并承担相应的法律责任。</w:t>
      </w:r>
      <w:bookmarkEnd w:id="126"/>
    </w:p>
    <w:p>
      <w:pPr>
        <w:pStyle w:val="3"/>
        <w:snapToGrid w:val="0"/>
        <w:spacing w:before="0" w:after="0" w:line="400" w:lineRule="exact"/>
        <w:ind w:firstLine="482"/>
        <w:rPr>
          <w:rFonts w:ascii="宋体" w:hAnsi="宋体" w:cs="宋体"/>
          <w:b w:val="0"/>
          <w:bCs w:val="0"/>
          <w:color w:val="000000"/>
          <w:sz w:val="24"/>
          <w:szCs w:val="28"/>
          <w:lang w:val="zh-CN"/>
        </w:rPr>
      </w:pPr>
      <w:bookmarkStart w:id="127" w:name="_Toc13798"/>
      <w:r>
        <w:rPr>
          <w:rFonts w:hint="eastAsia" w:ascii="宋体" w:hAnsi="宋体" w:cs="宋体"/>
          <w:b w:val="0"/>
          <w:bCs w:val="0"/>
          <w:color w:val="000000"/>
          <w:sz w:val="24"/>
          <w:szCs w:val="28"/>
          <w:lang w:val="zh-CN"/>
        </w:rPr>
        <w:t>3.磋商标准详见附表《磋商办法前附表》</w:t>
      </w:r>
      <w:bookmarkEnd w:id="127"/>
    </w:p>
    <w:p>
      <w:pPr>
        <w:pStyle w:val="3"/>
        <w:snapToGrid w:val="0"/>
        <w:spacing w:before="0" w:after="0" w:line="400" w:lineRule="exact"/>
        <w:ind w:firstLine="482"/>
        <w:rPr>
          <w:rFonts w:ascii="宋体" w:hAnsi="宋体" w:cs="宋体"/>
          <w:b w:val="0"/>
          <w:bCs w:val="0"/>
          <w:color w:val="000000"/>
          <w:sz w:val="24"/>
          <w:szCs w:val="28"/>
          <w:lang w:val="zh-CN"/>
        </w:rPr>
      </w:pPr>
      <w:bookmarkStart w:id="128" w:name="_Toc13240"/>
      <w:r>
        <w:rPr>
          <w:rFonts w:hint="eastAsia" w:ascii="宋体" w:hAnsi="宋体" w:cs="宋体"/>
          <w:b w:val="0"/>
          <w:bCs w:val="0"/>
          <w:color w:val="000000"/>
          <w:sz w:val="24"/>
          <w:szCs w:val="28"/>
          <w:lang w:val="zh-CN"/>
        </w:rPr>
        <w:t>说明：</w:t>
      </w:r>
      <w:bookmarkEnd w:id="128"/>
    </w:p>
    <w:p>
      <w:pPr>
        <w:pStyle w:val="3"/>
        <w:snapToGrid w:val="0"/>
        <w:spacing w:before="0" w:after="0" w:line="400" w:lineRule="exact"/>
        <w:ind w:firstLine="482"/>
        <w:rPr>
          <w:rFonts w:ascii="宋体" w:hAnsi="宋体" w:cs="宋体"/>
          <w:b w:val="0"/>
          <w:bCs w:val="0"/>
          <w:color w:val="000000"/>
          <w:sz w:val="24"/>
          <w:szCs w:val="28"/>
          <w:lang w:val="zh-CN"/>
        </w:rPr>
      </w:pPr>
      <w:bookmarkStart w:id="129" w:name="_Toc19774"/>
      <w:r>
        <w:rPr>
          <w:rFonts w:hint="eastAsia" w:ascii="宋体" w:hAnsi="宋体" w:cs="宋体"/>
          <w:b w:val="0"/>
          <w:bCs w:val="0"/>
          <w:color w:val="000000"/>
          <w:sz w:val="24"/>
          <w:szCs w:val="28"/>
          <w:lang w:val="zh-CN"/>
        </w:rPr>
        <w:t>1、以上各项打分均由磋商小组共同认定，如磋商小组在认定上出现意见分歧，由磋商小组进行表决，以少数服从多数决定原则确定，并作记录。</w:t>
      </w:r>
      <w:bookmarkEnd w:id="129"/>
    </w:p>
    <w:p>
      <w:pPr>
        <w:pStyle w:val="3"/>
        <w:snapToGrid w:val="0"/>
        <w:spacing w:before="0" w:after="0" w:line="400" w:lineRule="exact"/>
        <w:ind w:firstLine="482"/>
        <w:rPr>
          <w:rFonts w:ascii="宋体" w:hAnsi="宋体" w:cs="宋体"/>
          <w:b w:val="0"/>
          <w:bCs w:val="0"/>
          <w:color w:val="000000"/>
          <w:sz w:val="24"/>
          <w:szCs w:val="28"/>
          <w:lang w:val="zh-CN"/>
        </w:rPr>
      </w:pPr>
      <w:bookmarkStart w:id="130" w:name="_Toc2917"/>
      <w:r>
        <w:rPr>
          <w:rFonts w:hint="eastAsia" w:ascii="宋体" w:hAnsi="宋体" w:cs="宋体"/>
          <w:b w:val="0"/>
          <w:bCs w:val="0"/>
          <w:color w:val="000000"/>
          <w:sz w:val="24"/>
          <w:szCs w:val="28"/>
          <w:lang w:val="zh-CN"/>
        </w:rPr>
        <w:t>2、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bookmarkEnd w:id="130"/>
    </w:p>
    <w:p>
      <w:pPr>
        <w:pStyle w:val="3"/>
        <w:snapToGrid w:val="0"/>
        <w:spacing w:before="0" w:after="0" w:line="400" w:lineRule="exact"/>
        <w:ind w:firstLine="482"/>
        <w:rPr>
          <w:rFonts w:ascii="宋体" w:hAnsi="宋体" w:cs="宋体"/>
          <w:b w:val="0"/>
          <w:bCs w:val="0"/>
          <w:color w:val="000000"/>
          <w:sz w:val="24"/>
          <w:szCs w:val="28"/>
          <w:lang w:val="zh-CN"/>
        </w:rPr>
      </w:pPr>
      <w:bookmarkStart w:id="131" w:name="_Toc9656"/>
      <w:r>
        <w:rPr>
          <w:rFonts w:hint="eastAsia" w:ascii="宋体" w:hAnsi="宋体" w:cs="宋体"/>
          <w:b w:val="0"/>
          <w:bCs w:val="0"/>
          <w:color w:val="000000"/>
          <w:sz w:val="24"/>
          <w:szCs w:val="28"/>
          <w:lang w:val="zh-CN"/>
        </w:rPr>
        <w:t>3、评审过程中，所有数值计算均保留小数点后二位（四舍五入），计算的最终结果保留小数点后二位（四舍五入）。</w:t>
      </w:r>
      <w:bookmarkEnd w:id="131"/>
    </w:p>
    <w:p>
      <w:pPr>
        <w:pStyle w:val="3"/>
        <w:snapToGrid w:val="0"/>
        <w:spacing w:before="0" w:after="0" w:line="400" w:lineRule="exact"/>
        <w:jc w:val="center"/>
        <w:rPr>
          <w:rFonts w:ascii="宋体" w:hAnsi="宋体" w:cs="宋体"/>
          <w:b w:val="0"/>
          <w:bCs w:val="0"/>
          <w:color w:val="000000"/>
          <w:sz w:val="24"/>
          <w:szCs w:val="28"/>
          <w:lang w:val="zh-CN"/>
        </w:rPr>
      </w:pPr>
      <w:bookmarkStart w:id="132" w:name="_Toc14747"/>
      <w:r>
        <w:rPr>
          <w:rFonts w:hint="eastAsia" w:ascii="宋体" w:hAnsi="宋体" w:cs="宋体"/>
          <w:b w:val="0"/>
          <w:bCs w:val="0"/>
          <w:color w:val="000000"/>
          <w:sz w:val="24"/>
          <w:szCs w:val="28"/>
          <w:lang w:val="zh-CN"/>
        </w:rPr>
        <w:t>2. 评审标准</w:t>
      </w:r>
      <w:bookmarkEnd w:id="13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3" w:name="_Toc29132"/>
      <w:r>
        <w:rPr>
          <w:rFonts w:hint="eastAsia" w:ascii="宋体" w:hAnsi="宋体" w:cs="宋体"/>
          <w:b w:val="0"/>
          <w:bCs w:val="0"/>
          <w:color w:val="000000"/>
          <w:sz w:val="24"/>
          <w:szCs w:val="28"/>
          <w:lang w:val="zh-CN"/>
        </w:rPr>
        <w:t>2.1 初步评审标准</w:t>
      </w:r>
      <w:bookmarkEnd w:id="13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4" w:name="_Toc22618"/>
      <w:r>
        <w:rPr>
          <w:rFonts w:hint="eastAsia" w:ascii="宋体" w:hAnsi="宋体" w:cs="宋体"/>
          <w:b w:val="0"/>
          <w:bCs w:val="0"/>
          <w:color w:val="000000"/>
          <w:sz w:val="24"/>
          <w:szCs w:val="28"/>
          <w:lang w:val="zh-CN"/>
        </w:rPr>
        <w:t>2.1.1 资格性评审标准：见磋商办法前附表。</w:t>
      </w:r>
      <w:bookmarkEnd w:id="13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5" w:name="_Toc30530"/>
      <w:r>
        <w:rPr>
          <w:rFonts w:hint="eastAsia" w:ascii="宋体" w:hAnsi="宋体" w:cs="宋体"/>
          <w:b w:val="0"/>
          <w:bCs w:val="0"/>
          <w:color w:val="000000"/>
          <w:sz w:val="24"/>
          <w:szCs w:val="28"/>
          <w:lang w:val="zh-CN"/>
        </w:rPr>
        <w:t>2.1.2 符合性评审标准：见磋商办法前附表。</w:t>
      </w:r>
      <w:bookmarkEnd w:id="13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6" w:name="_Toc25347"/>
      <w:r>
        <w:rPr>
          <w:rFonts w:hint="eastAsia" w:ascii="宋体" w:hAnsi="宋体" w:cs="宋体"/>
          <w:b w:val="0"/>
          <w:bCs w:val="0"/>
          <w:color w:val="000000"/>
          <w:sz w:val="24"/>
          <w:szCs w:val="28"/>
          <w:lang w:val="zh-CN"/>
        </w:rPr>
        <w:t>2.2 分值构成与评分标准</w:t>
      </w:r>
      <w:bookmarkEnd w:id="13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7" w:name="_Toc17862"/>
      <w:r>
        <w:rPr>
          <w:rFonts w:hint="eastAsia" w:ascii="宋体" w:hAnsi="宋体" w:cs="宋体"/>
          <w:b w:val="0"/>
          <w:bCs w:val="0"/>
          <w:color w:val="000000"/>
          <w:sz w:val="24"/>
          <w:szCs w:val="28"/>
          <w:lang w:val="zh-CN"/>
        </w:rPr>
        <w:t>2.2.1 分值构成</w:t>
      </w:r>
      <w:bookmarkEnd w:id="13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8" w:name="_Toc27934"/>
      <w:r>
        <w:rPr>
          <w:rFonts w:hint="eastAsia" w:ascii="宋体" w:hAnsi="宋体" w:cs="宋体"/>
          <w:b w:val="0"/>
          <w:bCs w:val="0"/>
          <w:color w:val="000000"/>
          <w:sz w:val="24"/>
          <w:szCs w:val="28"/>
          <w:lang w:val="zh-CN"/>
        </w:rPr>
        <w:t>（1）投标报价：见磋商细则；</w:t>
      </w:r>
      <w:bookmarkEnd w:id="13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39" w:name="_Toc799"/>
      <w:r>
        <w:rPr>
          <w:rFonts w:hint="eastAsia" w:ascii="宋体" w:hAnsi="宋体" w:cs="宋体"/>
          <w:b w:val="0"/>
          <w:bCs w:val="0"/>
          <w:color w:val="000000"/>
          <w:sz w:val="24"/>
          <w:szCs w:val="28"/>
          <w:lang w:val="zh-CN"/>
        </w:rPr>
        <w:t>（2）商务评审：见磋商细则；</w:t>
      </w:r>
      <w:bookmarkEnd w:id="13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0" w:name="_Toc27695"/>
      <w:r>
        <w:rPr>
          <w:rFonts w:hint="eastAsia" w:ascii="宋体" w:hAnsi="宋体" w:cs="宋体"/>
          <w:b w:val="0"/>
          <w:bCs w:val="0"/>
          <w:color w:val="000000"/>
          <w:sz w:val="24"/>
          <w:szCs w:val="28"/>
          <w:lang w:val="zh-CN"/>
        </w:rPr>
        <w:t>（3）技术评审：见磋商细则；</w:t>
      </w:r>
      <w:bookmarkEnd w:id="14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1" w:name="_Toc568"/>
      <w:r>
        <w:rPr>
          <w:rFonts w:hint="eastAsia" w:ascii="宋体" w:hAnsi="宋体" w:cs="宋体"/>
          <w:b w:val="0"/>
          <w:bCs w:val="0"/>
          <w:color w:val="000000"/>
          <w:sz w:val="24"/>
          <w:szCs w:val="28"/>
          <w:lang w:val="zh-CN"/>
        </w:rPr>
        <w:t>（4）其他评审：见磋商细则。</w:t>
      </w:r>
      <w:bookmarkEnd w:id="14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2" w:name="_Toc5405"/>
      <w:r>
        <w:rPr>
          <w:rFonts w:hint="eastAsia" w:ascii="宋体" w:hAnsi="宋体" w:cs="宋体"/>
          <w:b w:val="0"/>
          <w:bCs w:val="0"/>
          <w:color w:val="000000"/>
          <w:sz w:val="24"/>
          <w:szCs w:val="28"/>
          <w:lang w:val="zh-CN"/>
        </w:rPr>
        <w:t>2.2.2 评分标准</w:t>
      </w:r>
      <w:bookmarkEnd w:id="14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3" w:name="_Toc17245"/>
      <w:r>
        <w:rPr>
          <w:rFonts w:hint="eastAsia" w:ascii="宋体" w:hAnsi="宋体" w:cs="宋体"/>
          <w:b w:val="0"/>
          <w:bCs w:val="0"/>
          <w:color w:val="000000"/>
          <w:sz w:val="24"/>
          <w:szCs w:val="28"/>
          <w:lang w:val="zh-CN"/>
        </w:rPr>
        <w:t>（1）投标报价评分标准：见磋商细则；</w:t>
      </w:r>
      <w:bookmarkEnd w:id="14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4" w:name="_Toc4610"/>
      <w:r>
        <w:rPr>
          <w:rFonts w:hint="eastAsia" w:ascii="宋体" w:hAnsi="宋体" w:cs="宋体"/>
          <w:b w:val="0"/>
          <w:bCs w:val="0"/>
          <w:color w:val="000000"/>
          <w:sz w:val="24"/>
          <w:szCs w:val="28"/>
          <w:lang w:val="zh-CN"/>
        </w:rPr>
        <w:t>（2）商务评审评分标准：见磋商细则；</w:t>
      </w:r>
      <w:bookmarkEnd w:id="14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5" w:name="_Toc12112"/>
      <w:r>
        <w:rPr>
          <w:rFonts w:hint="eastAsia" w:ascii="宋体" w:hAnsi="宋体" w:cs="宋体"/>
          <w:b w:val="0"/>
          <w:bCs w:val="0"/>
          <w:color w:val="000000"/>
          <w:sz w:val="24"/>
          <w:szCs w:val="28"/>
          <w:lang w:val="zh-CN"/>
        </w:rPr>
        <w:t>（3）技术评审评分标准：见磋商细则；</w:t>
      </w:r>
      <w:bookmarkEnd w:id="14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6" w:name="_Toc15203"/>
      <w:r>
        <w:rPr>
          <w:rFonts w:hint="eastAsia" w:ascii="宋体" w:hAnsi="宋体" w:cs="宋体"/>
          <w:b w:val="0"/>
          <w:bCs w:val="0"/>
          <w:color w:val="000000"/>
          <w:sz w:val="24"/>
          <w:szCs w:val="28"/>
          <w:lang w:val="zh-CN"/>
        </w:rPr>
        <w:t>（4）其他评审评分标准：见磋商细则。</w:t>
      </w:r>
      <w:bookmarkEnd w:id="146"/>
    </w:p>
    <w:p>
      <w:pPr>
        <w:pStyle w:val="3"/>
        <w:snapToGrid w:val="0"/>
        <w:spacing w:before="0" w:after="0" w:line="400" w:lineRule="exact"/>
        <w:jc w:val="center"/>
        <w:rPr>
          <w:rFonts w:ascii="宋体" w:hAnsi="宋体" w:cs="宋体"/>
          <w:b w:val="0"/>
          <w:bCs w:val="0"/>
          <w:color w:val="000000"/>
          <w:sz w:val="24"/>
          <w:szCs w:val="28"/>
          <w:lang w:val="zh-CN"/>
        </w:rPr>
      </w:pPr>
      <w:bookmarkStart w:id="147" w:name="_Toc11303"/>
      <w:r>
        <w:rPr>
          <w:rFonts w:hint="eastAsia" w:ascii="宋体" w:hAnsi="宋体" w:cs="宋体"/>
          <w:b w:val="0"/>
          <w:bCs w:val="0"/>
          <w:color w:val="000000"/>
          <w:sz w:val="24"/>
          <w:szCs w:val="28"/>
          <w:lang w:val="zh-CN"/>
        </w:rPr>
        <w:t>3. 磋商程序</w:t>
      </w:r>
      <w:bookmarkEnd w:id="14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8" w:name="_Toc6162"/>
      <w:r>
        <w:rPr>
          <w:rFonts w:hint="eastAsia" w:ascii="宋体" w:hAnsi="宋体" w:cs="宋体"/>
          <w:b w:val="0"/>
          <w:bCs w:val="0"/>
          <w:color w:val="000000"/>
          <w:sz w:val="24"/>
          <w:szCs w:val="28"/>
          <w:lang w:val="zh-CN"/>
        </w:rPr>
        <w:t>3.1 磋商准备</w:t>
      </w:r>
      <w:bookmarkEnd w:id="14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49" w:name="_Toc25115"/>
      <w:r>
        <w:rPr>
          <w:rFonts w:hint="eastAsia" w:ascii="宋体" w:hAnsi="宋体" w:cs="宋体"/>
          <w:b w:val="0"/>
          <w:bCs w:val="0"/>
          <w:color w:val="000000"/>
          <w:sz w:val="24"/>
          <w:szCs w:val="28"/>
          <w:lang w:val="zh-CN"/>
        </w:rPr>
        <w:t>3.1.1 由采购人组织成立磋商小组，磋商小组成员由有关经济、技术方面的评审专家和采购人代表等组成，成员人数为 3 人，其中评审专家 2 人，采购人代表 1 人。</w:t>
      </w:r>
      <w:bookmarkEnd w:id="14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0" w:name="_Toc16724"/>
      <w:r>
        <w:rPr>
          <w:rFonts w:hint="eastAsia" w:ascii="宋体" w:hAnsi="宋体" w:cs="宋体"/>
          <w:b w:val="0"/>
          <w:bCs w:val="0"/>
          <w:color w:val="000000"/>
          <w:sz w:val="24"/>
          <w:szCs w:val="28"/>
          <w:lang w:val="zh-CN"/>
        </w:rPr>
        <w:t>3.1.2 磋商活动由采购代理机构组织，采购人授权磋商小组所有成员集中与供应商在规定时间、地点进行磋商。</w:t>
      </w:r>
      <w:bookmarkEnd w:id="15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1" w:name="_Toc30625"/>
      <w:r>
        <w:rPr>
          <w:rFonts w:hint="eastAsia" w:ascii="宋体" w:hAnsi="宋体" w:cs="宋体"/>
          <w:b w:val="0"/>
          <w:bCs w:val="0"/>
          <w:color w:val="000000"/>
          <w:sz w:val="24"/>
          <w:szCs w:val="28"/>
          <w:lang w:val="zh-CN"/>
        </w:rPr>
        <w:t>3.1.3 磋商小组成员签到</w:t>
      </w:r>
      <w:bookmarkEnd w:id="15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2" w:name="_Toc29949"/>
      <w:r>
        <w:rPr>
          <w:rFonts w:hint="eastAsia" w:ascii="宋体" w:hAnsi="宋体" w:cs="宋体"/>
          <w:b w:val="0"/>
          <w:bCs w:val="0"/>
          <w:color w:val="000000"/>
          <w:sz w:val="24"/>
          <w:szCs w:val="28"/>
          <w:lang w:val="zh-CN"/>
        </w:rPr>
        <w:t>磋商小组到达磋商现场时应在签到表上签到以证明其出席。</w:t>
      </w:r>
      <w:bookmarkEnd w:id="15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3" w:name="_Toc1935"/>
      <w:r>
        <w:rPr>
          <w:rFonts w:hint="eastAsia" w:ascii="宋体" w:hAnsi="宋体" w:cs="宋体"/>
          <w:b w:val="0"/>
          <w:bCs w:val="0"/>
          <w:color w:val="000000"/>
          <w:sz w:val="24"/>
          <w:szCs w:val="28"/>
          <w:lang w:val="zh-CN"/>
        </w:rPr>
        <w:t>3.1.4 磋商小组的分工</w:t>
      </w:r>
      <w:bookmarkEnd w:id="15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4" w:name="_Toc11677"/>
      <w:r>
        <w:rPr>
          <w:rFonts w:hint="eastAsia" w:ascii="宋体" w:hAnsi="宋体" w:cs="宋体"/>
          <w:b w:val="0"/>
          <w:bCs w:val="0"/>
          <w:color w:val="000000"/>
          <w:sz w:val="24"/>
          <w:szCs w:val="28"/>
          <w:lang w:val="zh-CN"/>
        </w:rPr>
        <w:t>由磋商小组首先推选一名磋商小组负责人，磋商小组负责人负责磋商活动的组织领导工作，磋商小组负责人在与其他磋商小组成员具有同等表决权。</w:t>
      </w:r>
      <w:bookmarkEnd w:id="15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5" w:name="_Toc26900"/>
      <w:r>
        <w:rPr>
          <w:rFonts w:hint="eastAsia" w:ascii="宋体" w:hAnsi="宋体" w:cs="宋体"/>
          <w:b w:val="0"/>
          <w:bCs w:val="0"/>
          <w:color w:val="000000"/>
          <w:sz w:val="24"/>
          <w:szCs w:val="28"/>
          <w:lang w:val="zh-CN"/>
        </w:rPr>
        <w:t>3.1.5 熟悉文件资料</w:t>
      </w:r>
      <w:bookmarkEnd w:id="15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6" w:name="_Toc6396"/>
      <w:r>
        <w:rPr>
          <w:rFonts w:hint="eastAsia" w:ascii="宋体" w:hAnsi="宋体" w:cs="宋体"/>
          <w:b w:val="0"/>
          <w:bCs w:val="0"/>
          <w:color w:val="000000"/>
          <w:sz w:val="24"/>
          <w:szCs w:val="28"/>
          <w:lang w:val="zh-CN"/>
        </w:rPr>
        <w:t>3.1.5.1 磋商小组负责人应组织磋商小组成员认真研究磋商文件，了解和熟悉招标目的、招标范围、主要合同条件、技术标准和要求、质量目标和履约期限要求，掌握磋商标准和方法，熟悉磋商流程。未在磋商文件中规定的标准和方法不得作为磋商的依据。</w:t>
      </w:r>
      <w:bookmarkEnd w:id="15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7" w:name="_Toc24782"/>
      <w:r>
        <w:rPr>
          <w:rFonts w:hint="eastAsia" w:ascii="宋体" w:hAnsi="宋体" w:cs="宋体"/>
          <w:b w:val="0"/>
          <w:bCs w:val="0"/>
          <w:color w:val="000000"/>
          <w:sz w:val="24"/>
          <w:szCs w:val="28"/>
          <w:lang w:val="zh-CN"/>
        </w:rPr>
        <w:t>3.1.5.2磋商小组成员在磋商前应当了解采购项目概况及磋商文件内容。采购人或其委托的招标代理机构应当向磋商小组提供磋商所需的重要信息和相关数据资料，主要包括：</w:t>
      </w:r>
      <w:bookmarkEnd w:id="15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8" w:name="_Toc18282"/>
      <w:r>
        <w:rPr>
          <w:rFonts w:hint="eastAsia" w:ascii="宋体" w:hAnsi="宋体" w:cs="宋体"/>
          <w:b w:val="0"/>
          <w:bCs w:val="0"/>
          <w:color w:val="000000"/>
          <w:sz w:val="24"/>
          <w:szCs w:val="28"/>
          <w:lang w:val="zh-CN"/>
        </w:rPr>
        <w:t>（一）磋商文件；</w:t>
      </w:r>
      <w:bookmarkEnd w:id="15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59" w:name="_Toc19275"/>
      <w:r>
        <w:rPr>
          <w:rFonts w:hint="eastAsia" w:ascii="宋体" w:hAnsi="宋体" w:cs="宋体"/>
          <w:b w:val="0"/>
          <w:bCs w:val="0"/>
          <w:color w:val="000000"/>
          <w:sz w:val="24"/>
          <w:szCs w:val="28"/>
          <w:lang w:val="zh-CN"/>
        </w:rPr>
        <w:t>（二）响应文件；</w:t>
      </w:r>
      <w:bookmarkEnd w:id="15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0" w:name="_Toc698"/>
      <w:r>
        <w:rPr>
          <w:rFonts w:hint="eastAsia" w:ascii="宋体" w:hAnsi="宋体" w:cs="宋体"/>
          <w:b w:val="0"/>
          <w:bCs w:val="0"/>
          <w:color w:val="000000"/>
          <w:sz w:val="24"/>
          <w:szCs w:val="28"/>
          <w:lang w:val="zh-CN"/>
        </w:rPr>
        <w:t>（三）开标记录；</w:t>
      </w:r>
      <w:bookmarkEnd w:id="16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1" w:name="_Toc5289"/>
      <w:r>
        <w:rPr>
          <w:rFonts w:hint="eastAsia" w:ascii="宋体" w:hAnsi="宋体" w:cs="宋体"/>
          <w:b w:val="0"/>
          <w:bCs w:val="0"/>
          <w:color w:val="000000"/>
          <w:sz w:val="24"/>
          <w:szCs w:val="28"/>
          <w:lang w:val="zh-CN"/>
        </w:rPr>
        <w:t>（四）最高投标限价。</w:t>
      </w:r>
      <w:bookmarkEnd w:id="16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2" w:name="_Toc29146"/>
      <w:r>
        <w:rPr>
          <w:rFonts w:hint="eastAsia" w:ascii="宋体" w:hAnsi="宋体" w:cs="宋体"/>
          <w:b w:val="0"/>
          <w:bCs w:val="0"/>
          <w:color w:val="000000"/>
          <w:sz w:val="24"/>
          <w:szCs w:val="28"/>
          <w:lang w:val="zh-CN"/>
        </w:rPr>
        <w:t>3.1.6 磋商程序</w:t>
      </w:r>
      <w:bookmarkEnd w:id="16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3" w:name="_Toc11837"/>
      <w:r>
        <w:rPr>
          <w:rFonts w:hint="eastAsia" w:ascii="宋体" w:hAnsi="宋体" w:cs="宋体"/>
          <w:b w:val="0"/>
          <w:bCs w:val="0"/>
          <w:color w:val="000000"/>
          <w:sz w:val="24"/>
          <w:szCs w:val="28"/>
          <w:lang w:val="zh-CN"/>
        </w:rPr>
        <w:t>3.1.6.1 检查响应性文件的解密情况，供应商以随机抽取的方式确定进行首次报价的先后顺序，供应商自行对本项目首次报价；</w:t>
      </w:r>
      <w:bookmarkEnd w:id="16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4" w:name="_Toc5734"/>
      <w:r>
        <w:rPr>
          <w:rFonts w:hint="eastAsia" w:ascii="宋体" w:hAnsi="宋体" w:cs="宋体"/>
          <w:b w:val="0"/>
          <w:bCs w:val="0"/>
          <w:color w:val="000000"/>
          <w:sz w:val="24"/>
          <w:szCs w:val="28"/>
          <w:lang w:val="zh-CN"/>
        </w:rPr>
        <w:t>3.1.6.2 磋商小组审阅响应性文件，确定进入最后报价磋商阶段的供应商名单；</w:t>
      </w:r>
      <w:bookmarkEnd w:id="16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5" w:name="_Toc31331"/>
      <w:r>
        <w:rPr>
          <w:rFonts w:hint="eastAsia" w:ascii="宋体" w:hAnsi="宋体" w:cs="宋体"/>
          <w:b w:val="0"/>
          <w:bCs w:val="0"/>
          <w:color w:val="000000"/>
          <w:sz w:val="24"/>
          <w:szCs w:val="28"/>
          <w:lang w:val="zh-CN"/>
        </w:rPr>
        <w:t>3.1.6.</w:t>
      </w:r>
      <w:r>
        <w:rPr>
          <w:rFonts w:hint="eastAsia" w:ascii="宋体" w:hAnsi="宋体" w:cs="宋体"/>
          <w:b w:val="0"/>
          <w:bCs w:val="0"/>
          <w:color w:val="000000"/>
          <w:sz w:val="24"/>
          <w:szCs w:val="28"/>
        </w:rPr>
        <w:t>3</w:t>
      </w:r>
      <w:r>
        <w:rPr>
          <w:rFonts w:hint="eastAsia" w:ascii="宋体" w:hAnsi="宋体" w:cs="宋体"/>
          <w:b w:val="0"/>
          <w:bCs w:val="0"/>
          <w:color w:val="000000"/>
          <w:sz w:val="24"/>
          <w:szCs w:val="28"/>
          <w:lang w:val="zh-CN"/>
        </w:rPr>
        <w:t xml:space="preserve"> 围绕磋商要点，磋商小组全体成员集中与供应商进行最后报价磋商。</w:t>
      </w:r>
      <w:bookmarkEnd w:id="16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6" w:name="_Toc23471"/>
      <w:r>
        <w:rPr>
          <w:rFonts w:hint="eastAsia" w:ascii="宋体" w:hAnsi="宋体" w:cs="宋体"/>
          <w:b w:val="0"/>
          <w:bCs w:val="0"/>
          <w:color w:val="000000"/>
          <w:sz w:val="24"/>
          <w:szCs w:val="28"/>
          <w:lang w:val="zh-CN"/>
        </w:rPr>
        <w:t>3.1.6.</w:t>
      </w:r>
      <w:r>
        <w:rPr>
          <w:rFonts w:hint="eastAsia" w:ascii="宋体" w:hAnsi="宋体" w:cs="宋体"/>
          <w:b w:val="0"/>
          <w:bCs w:val="0"/>
          <w:color w:val="000000"/>
          <w:sz w:val="24"/>
          <w:szCs w:val="28"/>
        </w:rPr>
        <w:t>4</w:t>
      </w:r>
      <w:r>
        <w:rPr>
          <w:rFonts w:hint="eastAsia" w:ascii="宋体" w:hAnsi="宋体" w:cs="宋体"/>
          <w:b w:val="0"/>
          <w:bCs w:val="0"/>
          <w:color w:val="000000"/>
          <w:sz w:val="24"/>
          <w:szCs w:val="28"/>
          <w:lang w:val="zh-CN"/>
        </w:rPr>
        <w:t xml:space="preserve"> 磋商文件中服务要求及合同草案条款有实质性变动的，磋商小组将以书面形式通知所有参加磋商的供应商。</w:t>
      </w:r>
      <w:bookmarkEnd w:id="16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7" w:name="_Toc10220"/>
      <w:r>
        <w:rPr>
          <w:rFonts w:hint="eastAsia" w:ascii="宋体" w:hAnsi="宋体" w:cs="宋体"/>
          <w:b w:val="0"/>
          <w:bCs w:val="0"/>
          <w:color w:val="000000"/>
          <w:sz w:val="24"/>
          <w:szCs w:val="28"/>
          <w:lang w:val="zh-CN"/>
        </w:rPr>
        <w:t>3.1.6.</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 xml:space="preserve"> 确定最终采购需求和在提交最后报价的供应商后，由磋商小组采用综合评分法对提交最后报价的供应商的响应文件和最后报价进行综合评分。</w:t>
      </w:r>
      <w:bookmarkEnd w:id="167"/>
    </w:p>
    <w:p>
      <w:pPr>
        <w:pStyle w:val="3"/>
        <w:snapToGrid w:val="0"/>
        <w:spacing w:before="0" w:after="0" w:line="400" w:lineRule="exact"/>
        <w:ind w:firstLine="480" w:firstLineChars="200"/>
        <w:rPr>
          <w:rFonts w:ascii="宋体" w:hAnsi="宋体" w:cs="宋体"/>
          <w:b w:val="0"/>
          <w:bCs w:val="0"/>
          <w:color w:val="1F2DA8"/>
          <w:sz w:val="24"/>
          <w:szCs w:val="28"/>
          <w:lang w:val="zh-CN"/>
        </w:rPr>
      </w:pPr>
      <w:bookmarkStart w:id="168" w:name="_Toc27398"/>
      <w:r>
        <w:rPr>
          <w:rFonts w:hint="eastAsia" w:ascii="宋体" w:hAnsi="宋体" w:cs="宋体"/>
          <w:b w:val="0"/>
          <w:bCs w:val="0"/>
          <w:color w:val="1F2DA8"/>
          <w:sz w:val="24"/>
          <w:szCs w:val="28"/>
          <w:lang w:val="zh-CN"/>
        </w:rPr>
        <w:t>注：供应商在规定时间30分钟内提交最后报价，若在规定时间内投标人没有按要求进行最后报价，则作自动弃权处理。提交最后报价的供应商不得少于3家，最后报价是供应商响应文件的有效组成部分。</w:t>
      </w:r>
      <w:bookmarkEnd w:id="16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69" w:name="_Toc440"/>
      <w:r>
        <w:rPr>
          <w:rFonts w:hint="eastAsia" w:ascii="宋体" w:hAnsi="宋体" w:cs="宋体"/>
          <w:b w:val="0"/>
          <w:bCs w:val="0"/>
          <w:color w:val="000000"/>
          <w:sz w:val="24"/>
          <w:szCs w:val="28"/>
          <w:lang w:val="zh-CN"/>
        </w:rPr>
        <w:t>3.2 磋商纪律</w:t>
      </w:r>
      <w:bookmarkEnd w:id="16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0" w:name="_Toc22347"/>
      <w:r>
        <w:rPr>
          <w:rFonts w:hint="eastAsia" w:ascii="宋体" w:hAnsi="宋体" w:cs="宋体"/>
          <w:b w:val="0"/>
          <w:bCs w:val="0"/>
          <w:color w:val="000000"/>
          <w:sz w:val="24"/>
          <w:szCs w:val="28"/>
          <w:lang w:val="zh-CN"/>
        </w:rPr>
        <w:t>为了加强政府采购的管理和监督，保证招标工作严肃有序地进行，磋商小组成员、采购人及工作人员应共同遵照执行以下纪律：</w:t>
      </w:r>
      <w:bookmarkEnd w:id="17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1" w:name="_Toc7308"/>
      <w:r>
        <w:rPr>
          <w:rFonts w:hint="eastAsia" w:ascii="宋体" w:hAnsi="宋体" w:cs="宋体"/>
          <w:b w:val="0"/>
          <w:bCs w:val="0"/>
          <w:color w:val="000000"/>
          <w:sz w:val="24"/>
          <w:szCs w:val="28"/>
          <w:lang w:val="zh-CN"/>
        </w:rPr>
        <w:t>1、遵循公开、公平、公正和诚实信用的原则，维护国家、采购人及供应商的合法权益。</w:t>
      </w:r>
      <w:bookmarkEnd w:id="17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2" w:name="_Toc527"/>
      <w:r>
        <w:rPr>
          <w:rFonts w:hint="eastAsia" w:ascii="宋体" w:hAnsi="宋体" w:cs="宋体"/>
          <w:b w:val="0"/>
          <w:bCs w:val="0"/>
          <w:color w:val="000000"/>
          <w:sz w:val="24"/>
          <w:szCs w:val="28"/>
          <w:lang w:val="zh-CN"/>
        </w:rPr>
        <w:t>2、遵照磋商原则，公正、公平地对待所有供应商。</w:t>
      </w:r>
      <w:bookmarkEnd w:id="17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3" w:name="_Toc23582"/>
      <w:r>
        <w:rPr>
          <w:rFonts w:hint="eastAsia" w:ascii="宋体" w:hAnsi="宋体" w:cs="宋体"/>
          <w:b w:val="0"/>
          <w:bCs w:val="0"/>
          <w:color w:val="000000"/>
          <w:sz w:val="24"/>
          <w:szCs w:val="28"/>
          <w:lang w:val="zh-CN"/>
        </w:rPr>
        <w:t>3、磋商工作按规定程序，在磋商小组内部独立进行。不受任何单位和个人的非法干预或影响。</w:t>
      </w:r>
      <w:bookmarkEnd w:id="17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4" w:name="_Toc28376"/>
      <w:r>
        <w:rPr>
          <w:rFonts w:hint="eastAsia" w:ascii="宋体" w:hAnsi="宋体" w:cs="宋体"/>
          <w:b w:val="0"/>
          <w:bCs w:val="0"/>
          <w:color w:val="000000"/>
          <w:sz w:val="24"/>
          <w:szCs w:val="28"/>
          <w:lang w:val="zh-CN"/>
        </w:rPr>
        <w:t>4、磋商小组成员与磋商供应商应当执行《采购法实施条例》回避制度。</w:t>
      </w:r>
      <w:bookmarkEnd w:id="17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5" w:name="_Toc20968"/>
      <w:r>
        <w:rPr>
          <w:rFonts w:hint="eastAsia" w:ascii="宋体" w:hAnsi="宋体" w:cs="宋体"/>
          <w:b w:val="0"/>
          <w:bCs w:val="0"/>
          <w:color w:val="000000"/>
          <w:sz w:val="24"/>
          <w:szCs w:val="28"/>
          <w:lang w:val="zh-CN"/>
        </w:rPr>
        <w:t>5、磋商小组成员应当客观、公正地履行职责，遵守职业道德，对所提出的评审意见承担责任。</w:t>
      </w:r>
      <w:bookmarkEnd w:id="17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6" w:name="_Toc7475"/>
      <w:r>
        <w:rPr>
          <w:rFonts w:hint="eastAsia" w:ascii="宋体" w:hAnsi="宋体" w:cs="宋体"/>
          <w:b w:val="0"/>
          <w:bCs w:val="0"/>
          <w:color w:val="000000"/>
          <w:sz w:val="24"/>
          <w:szCs w:val="28"/>
          <w:lang w:val="zh-CN"/>
        </w:rPr>
        <w:t>6、磋商小组成员不得与任何磋商供应商或与采购结果有利害关系的人私下接触，不得收受磋商供应商、中介人及其他利害关系人的财物或其他好处。</w:t>
      </w:r>
      <w:bookmarkEnd w:id="17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7" w:name="_Toc2246"/>
      <w:r>
        <w:rPr>
          <w:rFonts w:hint="eastAsia" w:ascii="宋体" w:hAnsi="宋体" w:cs="宋体"/>
          <w:b w:val="0"/>
          <w:bCs w:val="0"/>
          <w:color w:val="000000"/>
          <w:sz w:val="24"/>
          <w:szCs w:val="28"/>
          <w:lang w:val="zh-CN"/>
        </w:rPr>
        <w:t>7、磋商小组成员和参与评审活动有关的工作人员不得透漏对磋商文件的评审和比较、成交候选人的推荐情况以及与评审有关的其他情况。不得将评审资料带出评审会场。</w:t>
      </w:r>
      <w:bookmarkEnd w:id="17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8" w:name="_Toc20994"/>
      <w:r>
        <w:rPr>
          <w:rFonts w:hint="eastAsia" w:ascii="宋体" w:hAnsi="宋体" w:cs="宋体"/>
          <w:b w:val="0"/>
          <w:bCs w:val="0"/>
          <w:color w:val="000000"/>
          <w:sz w:val="24"/>
          <w:szCs w:val="28"/>
          <w:lang w:val="zh-CN"/>
        </w:rPr>
        <w:t>8、为确保评审工作顺利进行，磋商小组全体成员应关闭通信工具入柜保存；在评审工作结束前，磋商小组全体成员不得单独活动。</w:t>
      </w:r>
      <w:bookmarkEnd w:id="17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79" w:name="_Toc9851"/>
      <w:r>
        <w:rPr>
          <w:rFonts w:hint="eastAsia" w:ascii="宋体" w:hAnsi="宋体" w:cs="宋体"/>
          <w:b w:val="0"/>
          <w:bCs w:val="0"/>
          <w:color w:val="000000"/>
          <w:sz w:val="24"/>
          <w:szCs w:val="28"/>
          <w:lang w:val="zh-CN"/>
        </w:rPr>
        <w:t>9、磋商小组不向落标方解释落标原因。</w:t>
      </w:r>
      <w:bookmarkEnd w:id="17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0" w:name="_Toc14583"/>
      <w:r>
        <w:rPr>
          <w:rFonts w:hint="eastAsia" w:ascii="宋体" w:hAnsi="宋体" w:cs="宋体"/>
          <w:b w:val="0"/>
          <w:bCs w:val="0"/>
          <w:color w:val="000000"/>
          <w:sz w:val="24"/>
          <w:szCs w:val="28"/>
          <w:lang w:val="zh-CN"/>
        </w:rPr>
        <w:t>3.3 初步评审</w:t>
      </w:r>
      <w:bookmarkEnd w:id="18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1" w:name="_Toc12410"/>
      <w:r>
        <w:rPr>
          <w:rFonts w:hint="eastAsia" w:ascii="宋体" w:hAnsi="宋体" w:cs="宋体"/>
          <w:b w:val="0"/>
          <w:bCs w:val="0"/>
          <w:color w:val="000000"/>
          <w:sz w:val="24"/>
          <w:szCs w:val="28"/>
          <w:lang w:val="zh-CN"/>
        </w:rPr>
        <w:t>3.3.1 磋商小组依据本章第 2.1 款规定的标准对响应文件进行初步评审。有一项不符合评审标准的，应当否决其投标。</w:t>
      </w:r>
      <w:bookmarkEnd w:id="18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2" w:name="_Toc24825"/>
      <w:r>
        <w:rPr>
          <w:rFonts w:hint="eastAsia" w:ascii="宋体" w:hAnsi="宋体" w:cs="宋体"/>
          <w:b w:val="0"/>
          <w:bCs w:val="0"/>
          <w:color w:val="000000"/>
          <w:sz w:val="24"/>
          <w:szCs w:val="28"/>
          <w:lang w:val="zh-CN"/>
        </w:rPr>
        <w:t>3.3.2 供应商有以下情形之一的，磋商小组应当否决其投标：</w:t>
      </w:r>
      <w:bookmarkEnd w:id="18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3" w:name="_Toc24213"/>
      <w:r>
        <w:rPr>
          <w:rFonts w:hint="eastAsia" w:ascii="宋体" w:hAnsi="宋体" w:cs="宋体"/>
          <w:b w:val="0"/>
          <w:bCs w:val="0"/>
          <w:color w:val="000000"/>
          <w:sz w:val="24"/>
          <w:szCs w:val="28"/>
          <w:lang w:val="zh-CN"/>
        </w:rPr>
        <w:t>（1）串通投标或弄虚作假或有其他违法行为的；</w:t>
      </w:r>
      <w:bookmarkEnd w:id="18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4" w:name="_Toc31715"/>
      <w:r>
        <w:rPr>
          <w:rFonts w:hint="eastAsia" w:ascii="宋体" w:hAnsi="宋体" w:cs="宋体"/>
          <w:b w:val="0"/>
          <w:bCs w:val="0"/>
          <w:color w:val="000000"/>
          <w:sz w:val="24"/>
          <w:szCs w:val="28"/>
          <w:lang w:val="zh-CN"/>
        </w:rPr>
        <w:t>（2）有下列情形之一的，视为供应商相互串通投标：</w:t>
      </w:r>
      <w:bookmarkEnd w:id="18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5" w:name="_Toc22340"/>
      <w:r>
        <w:rPr>
          <w:rFonts w:hint="eastAsia" w:ascii="宋体" w:hAnsi="宋体" w:cs="宋体"/>
          <w:b w:val="0"/>
          <w:bCs w:val="0"/>
          <w:color w:val="000000"/>
          <w:sz w:val="24"/>
          <w:szCs w:val="28"/>
          <w:lang w:val="zh-CN"/>
        </w:rPr>
        <w:t>① 不同供应商的响应文件由同一单位或者个人编制；</w:t>
      </w:r>
      <w:bookmarkEnd w:id="18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6" w:name="_Toc2608"/>
      <w:r>
        <w:rPr>
          <w:rFonts w:hint="eastAsia" w:ascii="宋体" w:hAnsi="宋体" w:cs="宋体"/>
          <w:b w:val="0"/>
          <w:bCs w:val="0"/>
          <w:color w:val="000000"/>
          <w:sz w:val="24"/>
          <w:szCs w:val="28"/>
          <w:lang w:val="zh-CN"/>
        </w:rPr>
        <w:t>② 不同供应商委托同一单位或者个人办理投标事宜；</w:t>
      </w:r>
      <w:bookmarkEnd w:id="18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7" w:name="_Toc17775"/>
      <w:r>
        <w:rPr>
          <w:rFonts w:hint="eastAsia" w:ascii="宋体" w:hAnsi="宋体" w:cs="宋体"/>
          <w:b w:val="0"/>
          <w:bCs w:val="0"/>
          <w:color w:val="000000"/>
          <w:sz w:val="24"/>
          <w:szCs w:val="28"/>
          <w:lang w:val="zh-CN"/>
        </w:rPr>
        <w:t>③ 不同供应商的响应文件载明的项目管理成员为同一人；</w:t>
      </w:r>
      <w:bookmarkEnd w:id="18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8" w:name="_Toc28186"/>
      <w:r>
        <w:rPr>
          <w:rFonts w:hint="eastAsia" w:ascii="宋体" w:hAnsi="宋体" w:cs="宋体"/>
          <w:b w:val="0"/>
          <w:bCs w:val="0"/>
          <w:color w:val="000000"/>
          <w:sz w:val="24"/>
          <w:szCs w:val="28"/>
          <w:lang w:val="zh-CN"/>
        </w:rPr>
        <w:t>④ 不同供应商的响应文件异常一致或者投标报价呈规律性差异；</w:t>
      </w:r>
      <w:bookmarkEnd w:id="18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89" w:name="_Toc8594"/>
      <w:r>
        <w:rPr>
          <w:rFonts w:hint="eastAsia" w:ascii="宋体" w:hAnsi="宋体" w:cs="宋体"/>
          <w:b w:val="0"/>
          <w:bCs w:val="0"/>
          <w:color w:val="000000"/>
          <w:sz w:val="24"/>
          <w:szCs w:val="28"/>
          <w:lang w:val="zh-CN"/>
        </w:rPr>
        <w:t>⑤ 不同供应商的响应文件相互混装；</w:t>
      </w:r>
      <w:bookmarkEnd w:id="18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0" w:name="_Toc2221"/>
      <w:r>
        <w:rPr>
          <w:rFonts w:hint="eastAsia" w:ascii="宋体" w:hAnsi="宋体" w:cs="宋体"/>
          <w:b w:val="0"/>
          <w:bCs w:val="0"/>
          <w:color w:val="000000"/>
          <w:sz w:val="24"/>
          <w:szCs w:val="28"/>
          <w:lang w:val="zh-CN"/>
        </w:rPr>
        <w:t>（3）有下列情形之一的，属于弄虚作假行为：</w:t>
      </w:r>
      <w:bookmarkEnd w:id="19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1" w:name="_Toc28933"/>
      <w:r>
        <w:rPr>
          <w:rFonts w:hint="eastAsia" w:ascii="宋体" w:hAnsi="宋体" w:cs="宋体"/>
          <w:b w:val="0"/>
          <w:bCs w:val="0"/>
          <w:color w:val="000000"/>
          <w:sz w:val="24"/>
          <w:szCs w:val="28"/>
          <w:lang w:val="zh-CN"/>
        </w:rPr>
        <w:t>① 使用通过受让或者租借等方式获取的资格、资质证书投标的，即以他人名义投标的。</w:t>
      </w:r>
      <w:bookmarkEnd w:id="19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2" w:name="_Toc14455"/>
      <w:r>
        <w:rPr>
          <w:rFonts w:hint="eastAsia" w:ascii="宋体" w:hAnsi="宋体" w:cs="宋体"/>
          <w:b w:val="0"/>
          <w:bCs w:val="0"/>
          <w:color w:val="000000"/>
          <w:sz w:val="24"/>
          <w:szCs w:val="28"/>
          <w:lang w:val="zh-CN"/>
        </w:rPr>
        <w:t>② 使用伪造、变造的许可证件；</w:t>
      </w:r>
      <w:bookmarkEnd w:id="19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3" w:name="_Toc5220"/>
      <w:r>
        <w:rPr>
          <w:rFonts w:hint="eastAsia" w:ascii="宋体" w:hAnsi="宋体" w:cs="宋体"/>
          <w:b w:val="0"/>
          <w:bCs w:val="0"/>
          <w:color w:val="000000"/>
          <w:sz w:val="24"/>
          <w:szCs w:val="28"/>
          <w:lang w:val="zh-CN"/>
        </w:rPr>
        <w:t>③ 提供虚假的财务状况或者业绩；</w:t>
      </w:r>
      <w:bookmarkEnd w:id="19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4" w:name="_Toc3775"/>
      <w:r>
        <w:rPr>
          <w:rFonts w:hint="eastAsia" w:ascii="宋体" w:hAnsi="宋体" w:cs="宋体"/>
          <w:b w:val="0"/>
          <w:bCs w:val="0"/>
          <w:color w:val="000000"/>
          <w:sz w:val="24"/>
          <w:szCs w:val="28"/>
          <w:lang w:val="zh-CN"/>
        </w:rPr>
        <w:t>④ 提供虚假的项目负责人或者主要技术人员简历、劳动关系证明；</w:t>
      </w:r>
      <w:bookmarkEnd w:id="19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5" w:name="_Toc18039"/>
      <w:r>
        <w:rPr>
          <w:rFonts w:hint="eastAsia" w:ascii="宋体" w:hAnsi="宋体" w:cs="宋体"/>
          <w:b w:val="0"/>
          <w:bCs w:val="0"/>
          <w:color w:val="000000"/>
          <w:sz w:val="24"/>
          <w:szCs w:val="28"/>
          <w:lang w:val="zh-CN"/>
        </w:rPr>
        <w:t>⑤ 提供虚假的信用状况；</w:t>
      </w:r>
      <w:bookmarkEnd w:id="19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6" w:name="_Toc30567"/>
      <w:r>
        <w:rPr>
          <w:rFonts w:hint="eastAsia" w:ascii="宋体" w:hAnsi="宋体" w:cs="宋体"/>
          <w:b w:val="0"/>
          <w:bCs w:val="0"/>
          <w:color w:val="000000"/>
          <w:sz w:val="24"/>
          <w:szCs w:val="28"/>
          <w:lang w:val="zh-CN"/>
        </w:rPr>
        <w:t>⑥ 其他弄虚作假的行为。</w:t>
      </w:r>
      <w:bookmarkEnd w:id="19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7" w:name="_Toc14080"/>
      <w:r>
        <w:rPr>
          <w:rFonts w:hint="eastAsia" w:ascii="宋体" w:hAnsi="宋体" w:cs="宋体"/>
          <w:b w:val="0"/>
          <w:bCs w:val="0"/>
          <w:color w:val="000000"/>
          <w:sz w:val="24"/>
          <w:szCs w:val="28"/>
          <w:lang w:val="zh-CN"/>
        </w:rPr>
        <w:t>（4）不按磋商小组要求澄清、说明或补正的。</w:t>
      </w:r>
      <w:bookmarkEnd w:id="19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8" w:name="_Toc12516"/>
      <w:r>
        <w:rPr>
          <w:rFonts w:hint="eastAsia" w:ascii="宋体" w:hAnsi="宋体" w:cs="宋体"/>
          <w:b w:val="0"/>
          <w:bCs w:val="0"/>
          <w:color w:val="000000"/>
          <w:sz w:val="24"/>
          <w:szCs w:val="28"/>
          <w:lang w:val="zh-CN"/>
        </w:rPr>
        <w:t>3.3.3 投标报价有算术错误的，磋商按以下原则对投标报价进行修正，修正的价格经供应商书面确认后具有约束力。</w:t>
      </w:r>
      <w:bookmarkEnd w:id="19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199" w:name="_Toc18782"/>
      <w:r>
        <w:rPr>
          <w:rFonts w:hint="eastAsia" w:ascii="宋体" w:hAnsi="宋体" w:cs="宋体"/>
          <w:b w:val="0"/>
          <w:bCs w:val="0"/>
          <w:color w:val="000000"/>
          <w:sz w:val="24"/>
          <w:szCs w:val="28"/>
          <w:lang w:val="zh-CN"/>
        </w:rPr>
        <w:t>（1）响应文件中的大写金额与小写金额不一致的，以大写金额为准；</w:t>
      </w:r>
      <w:bookmarkEnd w:id="19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0" w:name="_Toc7408"/>
      <w:r>
        <w:rPr>
          <w:rFonts w:hint="eastAsia" w:ascii="宋体" w:hAnsi="宋体" w:cs="宋体"/>
          <w:b w:val="0"/>
          <w:bCs w:val="0"/>
          <w:color w:val="000000"/>
          <w:sz w:val="24"/>
          <w:szCs w:val="28"/>
          <w:lang w:val="zh-CN"/>
        </w:rPr>
        <w:t>（2）总价金额与依据单价计算出的结果不一致的，以单价金额为准修正总价，但单价金额小数点有明显错误的除外。</w:t>
      </w:r>
      <w:bookmarkEnd w:id="20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1" w:name="_Toc31975"/>
      <w:r>
        <w:rPr>
          <w:rFonts w:hint="eastAsia" w:ascii="宋体" w:hAnsi="宋体" w:cs="宋体"/>
          <w:b w:val="0"/>
          <w:bCs w:val="0"/>
          <w:color w:val="000000"/>
          <w:sz w:val="24"/>
          <w:szCs w:val="28"/>
          <w:lang w:val="zh-CN"/>
        </w:rPr>
        <w:t>3.3.4 磋商小组发现供应商的报价明显低于其他投标报价，或者在设有最高投标限价时明显低于最高投标限价，使得其投标报价可能低于其个别成本的，应当要求该供应商作出书面说明并提供相应的证明材料。供应商不能合理说明或者不能提供相应证明材料的，由磋商小组认定该供应商以低于成本报价竞标，否决其投标。</w:t>
      </w:r>
      <w:bookmarkEnd w:id="20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2" w:name="_Toc30697"/>
      <w:r>
        <w:rPr>
          <w:rFonts w:hint="eastAsia" w:ascii="宋体" w:hAnsi="宋体" w:cs="宋体"/>
          <w:b w:val="0"/>
          <w:bCs w:val="0"/>
          <w:color w:val="000000"/>
          <w:sz w:val="24"/>
          <w:szCs w:val="28"/>
          <w:lang w:val="zh-CN"/>
        </w:rPr>
        <w:t>3.3.5 磋商小组否决不合格投标后，因有效投标不足三个使得投标明显缺乏竞争的，磋商小组可以否决全部投标。</w:t>
      </w:r>
      <w:bookmarkEnd w:id="20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3" w:name="_Toc30048"/>
      <w:r>
        <w:rPr>
          <w:rFonts w:hint="eastAsia" w:ascii="宋体" w:hAnsi="宋体" w:cs="宋体"/>
          <w:b w:val="0"/>
          <w:bCs w:val="0"/>
          <w:color w:val="000000"/>
          <w:sz w:val="24"/>
          <w:szCs w:val="28"/>
          <w:lang w:val="zh-CN"/>
        </w:rPr>
        <w:t>3.4 详细评审</w:t>
      </w:r>
      <w:bookmarkEnd w:id="20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4" w:name="_Toc13299"/>
      <w:r>
        <w:rPr>
          <w:rFonts w:hint="eastAsia" w:ascii="宋体" w:hAnsi="宋体" w:cs="宋体"/>
          <w:b w:val="0"/>
          <w:bCs w:val="0"/>
          <w:color w:val="000000"/>
          <w:sz w:val="24"/>
          <w:szCs w:val="28"/>
          <w:lang w:val="zh-CN"/>
        </w:rPr>
        <w:t>3.4.1 磋商小组对通过了初步评审的响应文件进行详细评审。</w:t>
      </w:r>
      <w:bookmarkEnd w:id="20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5" w:name="_Toc3079"/>
      <w:r>
        <w:rPr>
          <w:rFonts w:hint="eastAsia" w:ascii="宋体" w:hAnsi="宋体" w:cs="宋体"/>
          <w:b w:val="0"/>
          <w:bCs w:val="0"/>
          <w:color w:val="000000"/>
          <w:sz w:val="24"/>
          <w:szCs w:val="28"/>
          <w:lang w:val="zh-CN"/>
        </w:rPr>
        <w:t>3.4.2 磋商小组按本章磋商办法前附表规定的量化因素和分值进行打分，并计算出综合评估得分。</w:t>
      </w:r>
      <w:bookmarkEnd w:id="20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6" w:name="_Toc24147"/>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 xml:space="preserve"> 响应文件的澄清和补正</w:t>
      </w:r>
      <w:bookmarkEnd w:id="20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7" w:name="_Toc22018"/>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.1 在磋商过程中，磋商小组可以要求供应商在磋商小组规定的时间内对所提交响应文件中不明确的内容进行澄清或说明，或者对细微偏差进行补正。磋商小组不接受供应商主动提出的澄清、说明或补正。</w:t>
      </w:r>
      <w:bookmarkEnd w:id="20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08" w:name="_Toc26798"/>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.2 澄清、说明和补正不得改变响应文件的实质性内容（算术性错误修正的除外）。供应商的澄清、说明和补正属于响应文件的组成部分。</w:t>
      </w:r>
      <w:bookmarkEnd w:id="208"/>
    </w:p>
    <w:p>
      <w:pPr>
        <w:pStyle w:val="3"/>
        <w:snapToGrid w:val="0"/>
        <w:spacing w:before="0" w:after="0" w:line="440" w:lineRule="exact"/>
        <w:ind w:firstLine="480" w:firstLineChars="200"/>
        <w:rPr>
          <w:rFonts w:ascii="宋体" w:hAnsi="宋体" w:cs="宋体"/>
          <w:b w:val="0"/>
          <w:bCs w:val="0"/>
          <w:color w:val="000000"/>
          <w:sz w:val="24"/>
          <w:szCs w:val="28"/>
          <w:lang w:val="zh-CN"/>
        </w:rPr>
      </w:pPr>
      <w:bookmarkStart w:id="209" w:name="_Toc13106"/>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.3 磋商小组对供应商提交的澄清、说明或补正有疑问的，可以要求供应商进一步澄清、说明或补正，直至满足磋商小组的要求。</w:t>
      </w:r>
      <w:bookmarkEnd w:id="209"/>
    </w:p>
    <w:p>
      <w:pPr>
        <w:pStyle w:val="3"/>
        <w:snapToGrid w:val="0"/>
        <w:spacing w:before="0" w:after="0" w:line="400" w:lineRule="exact"/>
        <w:ind w:firstLine="480" w:firstLineChars="200"/>
        <w:jc w:val="center"/>
        <w:rPr>
          <w:rFonts w:ascii="宋体" w:hAnsi="宋体" w:cs="宋体"/>
          <w:b w:val="0"/>
          <w:bCs w:val="0"/>
          <w:color w:val="000000"/>
          <w:sz w:val="24"/>
          <w:szCs w:val="28"/>
          <w:lang w:val="zh-CN"/>
        </w:rPr>
      </w:pPr>
      <w:bookmarkStart w:id="210" w:name="_Toc15614"/>
      <w:r>
        <w:rPr>
          <w:rFonts w:hint="eastAsia" w:ascii="宋体" w:hAnsi="宋体" w:cs="宋体"/>
          <w:b w:val="0"/>
          <w:bCs w:val="0"/>
          <w:color w:val="000000"/>
          <w:sz w:val="24"/>
          <w:szCs w:val="28"/>
          <w:lang w:val="zh-CN"/>
        </w:rPr>
        <w:t>4. 计分方法及定标办法</w:t>
      </w:r>
      <w:bookmarkEnd w:id="21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1" w:name="_Toc20670"/>
      <w:r>
        <w:rPr>
          <w:rFonts w:hint="eastAsia" w:ascii="宋体" w:hAnsi="宋体" w:cs="宋体"/>
          <w:b w:val="0"/>
          <w:bCs w:val="0"/>
          <w:color w:val="000000"/>
          <w:sz w:val="24"/>
          <w:szCs w:val="28"/>
          <w:lang w:val="zh-CN"/>
        </w:rPr>
        <w:t>4.1. 计分办法</w:t>
      </w:r>
      <w:bookmarkEnd w:id="21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2" w:name="_Toc31364"/>
      <w:r>
        <w:rPr>
          <w:rFonts w:hint="eastAsia" w:ascii="宋体" w:hAnsi="宋体" w:cs="宋体"/>
          <w:b w:val="0"/>
          <w:bCs w:val="0"/>
          <w:color w:val="000000"/>
          <w:sz w:val="24"/>
          <w:szCs w:val="28"/>
          <w:lang w:val="zh-CN"/>
        </w:rPr>
        <w:t>4.1.1 各项统计结果均精确到小数点后两位。</w:t>
      </w:r>
      <w:bookmarkEnd w:id="21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3" w:name="_Toc9423"/>
      <w:r>
        <w:rPr>
          <w:rFonts w:hint="eastAsia" w:ascii="宋体" w:hAnsi="宋体" w:cs="宋体"/>
          <w:b w:val="0"/>
          <w:bCs w:val="0"/>
          <w:color w:val="000000"/>
          <w:sz w:val="24"/>
          <w:szCs w:val="28"/>
          <w:lang w:val="zh-CN"/>
        </w:rPr>
        <w:t>4.1.</w:t>
      </w:r>
      <w:r>
        <w:rPr>
          <w:rFonts w:hint="eastAsia" w:ascii="宋体" w:hAnsi="宋体" w:cs="宋体"/>
          <w:b w:val="0"/>
          <w:bCs w:val="0"/>
          <w:color w:val="000000"/>
          <w:sz w:val="24"/>
          <w:szCs w:val="28"/>
        </w:rPr>
        <w:t>2</w:t>
      </w:r>
      <w:r>
        <w:rPr>
          <w:rFonts w:hint="eastAsia" w:ascii="宋体" w:hAnsi="宋体" w:cs="宋体"/>
          <w:b w:val="0"/>
          <w:bCs w:val="0"/>
          <w:color w:val="000000"/>
          <w:sz w:val="24"/>
          <w:szCs w:val="28"/>
          <w:lang w:val="zh-CN"/>
        </w:rPr>
        <w:t xml:space="preserve"> 各投标人的最终得分为评委所评定分数的算术平均值。</w:t>
      </w:r>
      <w:bookmarkEnd w:id="21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4" w:name="_Toc27396"/>
      <w:r>
        <w:rPr>
          <w:rFonts w:hint="eastAsia" w:ascii="宋体" w:hAnsi="宋体" w:cs="宋体"/>
          <w:b w:val="0"/>
          <w:bCs w:val="0"/>
          <w:color w:val="000000"/>
          <w:sz w:val="24"/>
          <w:szCs w:val="28"/>
          <w:lang w:val="zh-CN"/>
        </w:rPr>
        <w:t>4.1.</w:t>
      </w:r>
      <w:r>
        <w:rPr>
          <w:rFonts w:hint="eastAsia" w:ascii="宋体" w:hAnsi="宋体" w:cs="宋体"/>
          <w:b w:val="0"/>
          <w:bCs w:val="0"/>
          <w:color w:val="000000"/>
          <w:sz w:val="24"/>
          <w:szCs w:val="28"/>
        </w:rPr>
        <w:t>3</w:t>
      </w:r>
      <w:r>
        <w:rPr>
          <w:rFonts w:hint="eastAsia" w:ascii="宋体" w:hAnsi="宋体" w:cs="宋体"/>
          <w:b w:val="0"/>
          <w:bCs w:val="0"/>
          <w:color w:val="000000"/>
          <w:sz w:val="24"/>
          <w:szCs w:val="28"/>
          <w:lang w:val="zh-CN"/>
        </w:rPr>
        <w:t xml:space="preserve"> 磋商小组根据各投标人投标的最终评分，按高低次序确定投标人最终的排列名次，并按照磋商文件中规定推荐不超过三名有排序的合格的中标候选人。如果投标人的最终评分相同，则投标报价低的投标人排名优先。得分且投标报价相同的并列，由采购人确定或者采购人委托磋商小组以投票方式确定中标人。</w:t>
      </w:r>
      <w:bookmarkEnd w:id="21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5" w:name="_Toc21846"/>
      <w:r>
        <w:rPr>
          <w:rFonts w:hint="eastAsia" w:ascii="宋体" w:hAnsi="宋体" w:cs="宋体"/>
          <w:b w:val="0"/>
          <w:bCs w:val="0"/>
          <w:color w:val="000000"/>
          <w:sz w:val="24"/>
          <w:szCs w:val="28"/>
          <w:lang w:val="zh-CN"/>
        </w:rPr>
        <w:t>4.2. 最终供应商确定办法</w:t>
      </w:r>
      <w:bookmarkEnd w:id="21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6" w:name="_Toc31489"/>
      <w:r>
        <w:rPr>
          <w:rFonts w:hint="eastAsia" w:ascii="宋体" w:hAnsi="宋体" w:cs="宋体"/>
          <w:b w:val="0"/>
          <w:bCs w:val="0"/>
          <w:color w:val="000000"/>
          <w:sz w:val="24"/>
          <w:szCs w:val="28"/>
          <w:lang w:val="zh-CN"/>
        </w:rPr>
        <w:t>4.2.1 磋商小组根据排名顺序与排名第一的供应商候选人进行服务质量，价格上的磋商，若符合磋商单位磋商文件要求则排名第一的供应商为最终供应商。第一的供应商候选人放弃、因不可抗力提出不能履行合同，采购人可以确定排名第二的供应商候选人为最终供应商。排名第二的供应商候选人因前款规定的同样原因不能签订合同的。采购人可以确定排名第三的供应商候选人为最终供应商。</w:t>
      </w:r>
      <w:bookmarkEnd w:id="21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7" w:name="_Toc18896"/>
      <w:r>
        <w:rPr>
          <w:rFonts w:hint="eastAsia" w:ascii="宋体" w:hAnsi="宋体" w:cs="宋体"/>
          <w:b w:val="0"/>
          <w:bCs w:val="0"/>
          <w:color w:val="000000"/>
          <w:sz w:val="24"/>
          <w:szCs w:val="28"/>
          <w:lang w:val="zh-CN"/>
        </w:rPr>
        <w:t>4.2.2 采购代理机构应当在评审结束后 2 个工作日内将评审报告送采购人确认，采购人应当在收到评审报告后 5个工作日内，从评审报告提出的成交候选供应商中，按照排序由高到低的原则确定成交供应商，也可以书面授权磋商小组直接确定成交供应商，本次磋商活动由采购人按照磋商报告上磋商小组推荐的中标候选人确定最终中标人。采购人逾期未确定成交供应商且不提出异议的，视为确定评审报告提出的排序第一的供应商为成交供应商。</w:t>
      </w:r>
      <w:bookmarkEnd w:id="21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8" w:name="_Toc5344"/>
      <w:r>
        <w:rPr>
          <w:rFonts w:hint="eastAsia" w:ascii="宋体" w:hAnsi="宋体" w:cs="宋体"/>
          <w:b w:val="0"/>
          <w:bCs w:val="0"/>
          <w:color w:val="000000"/>
          <w:sz w:val="24"/>
          <w:szCs w:val="28"/>
          <w:lang w:val="zh-CN"/>
        </w:rPr>
        <w:t>4.2.3 对未中标的候选人，采购人有权不作任何解释。</w:t>
      </w:r>
      <w:bookmarkEnd w:id="21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19" w:name="_Toc26727"/>
      <w:r>
        <w:rPr>
          <w:rFonts w:hint="eastAsia" w:ascii="宋体" w:hAnsi="宋体" w:cs="宋体"/>
          <w:b w:val="0"/>
          <w:bCs w:val="0"/>
          <w:color w:val="000000"/>
          <w:sz w:val="24"/>
          <w:szCs w:val="28"/>
          <w:lang w:val="zh-CN"/>
        </w:rPr>
        <w:t>4.2.4 采购人或者采购代理机构应当在成交供应商确定后2 个工作日内，在省级以上财政部门指定的政府采购信息发布媒体上公告成交结果，同时向成交供应商发出成交通知书，并将磋商文件随成交结果同时公告。</w:t>
      </w:r>
      <w:bookmarkEnd w:id="219"/>
    </w:p>
    <w:p>
      <w:pPr>
        <w:pStyle w:val="3"/>
        <w:snapToGrid w:val="0"/>
        <w:spacing w:before="0" w:after="0" w:line="400" w:lineRule="exact"/>
        <w:ind w:firstLine="480" w:firstLineChars="200"/>
        <w:jc w:val="center"/>
        <w:rPr>
          <w:rFonts w:ascii="宋体" w:hAnsi="宋体" w:cs="宋体"/>
          <w:b w:val="0"/>
          <w:bCs w:val="0"/>
          <w:color w:val="000000"/>
          <w:sz w:val="24"/>
          <w:szCs w:val="28"/>
          <w:lang w:val="zh-CN"/>
        </w:rPr>
      </w:pPr>
      <w:bookmarkStart w:id="220" w:name="_Toc32281"/>
      <w:r>
        <w:rPr>
          <w:rFonts w:hint="eastAsia" w:ascii="宋体" w:hAnsi="宋体" w:cs="宋体"/>
          <w:b w:val="0"/>
          <w:bCs w:val="0"/>
          <w:color w:val="000000"/>
          <w:sz w:val="24"/>
          <w:szCs w:val="28"/>
          <w:lang w:val="zh-CN"/>
        </w:rPr>
        <w:t>5. 特殊情况的处置程序</w:t>
      </w:r>
      <w:bookmarkEnd w:id="22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1" w:name="_Toc16612"/>
      <w:r>
        <w:rPr>
          <w:rFonts w:hint="eastAsia" w:ascii="宋体" w:hAnsi="宋体" w:cs="宋体"/>
          <w:b w:val="0"/>
          <w:bCs w:val="0"/>
          <w:color w:val="000000"/>
          <w:sz w:val="24"/>
          <w:szCs w:val="28"/>
          <w:lang w:val="zh-CN"/>
        </w:rPr>
        <w:t>5.1 关于磋商活动暂停</w:t>
      </w:r>
      <w:bookmarkEnd w:id="22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2" w:name="_Toc3796"/>
      <w:r>
        <w:rPr>
          <w:rFonts w:hint="eastAsia" w:ascii="宋体" w:hAnsi="宋体" w:cs="宋体"/>
          <w:b w:val="0"/>
          <w:bCs w:val="0"/>
          <w:color w:val="000000"/>
          <w:sz w:val="24"/>
          <w:szCs w:val="28"/>
          <w:lang w:val="zh-CN"/>
        </w:rPr>
        <w:t>5.1.1 磋商小组应当执行连续磋商的原则，按磋商办法中规定的程序、内容、方法、标准完成全部磋商工作。只有发生不可抗力导致磋商工作无法继续时，磋商活动方可暂停。</w:t>
      </w:r>
      <w:bookmarkEnd w:id="222"/>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3" w:name="_Toc15425"/>
      <w:r>
        <w:rPr>
          <w:rFonts w:hint="eastAsia" w:ascii="宋体" w:hAnsi="宋体" w:cs="宋体"/>
          <w:b w:val="0"/>
          <w:bCs w:val="0"/>
          <w:color w:val="000000"/>
          <w:sz w:val="24"/>
          <w:szCs w:val="28"/>
          <w:lang w:val="zh-CN"/>
        </w:rPr>
        <w:t>5.1.2 发生磋商暂停情况时，磋商小组应当封存全部响应文件和磋商记录，待不可抗力的影响结束且具备继续磋商的条件时，由原磋商小组继续磋商。</w:t>
      </w:r>
      <w:bookmarkEnd w:id="223"/>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4" w:name="_Toc8112"/>
      <w:r>
        <w:rPr>
          <w:rFonts w:hint="eastAsia" w:ascii="宋体" w:hAnsi="宋体" w:cs="宋体"/>
          <w:b w:val="0"/>
          <w:bCs w:val="0"/>
          <w:color w:val="000000"/>
          <w:sz w:val="24"/>
          <w:szCs w:val="28"/>
          <w:lang w:val="zh-CN"/>
        </w:rPr>
        <w:t>5.2 关于磋商中途更换磋商小组成员</w:t>
      </w:r>
      <w:bookmarkEnd w:id="224"/>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5" w:name="_Toc24045"/>
      <w:r>
        <w:rPr>
          <w:rFonts w:hint="eastAsia" w:ascii="宋体" w:hAnsi="宋体" w:cs="宋体"/>
          <w:b w:val="0"/>
          <w:bCs w:val="0"/>
          <w:color w:val="000000"/>
          <w:sz w:val="24"/>
          <w:szCs w:val="28"/>
          <w:lang w:val="zh-CN"/>
        </w:rPr>
        <w:t>5.2.1 除非发生下列情况之一，磋商小组成员不得在磋商中途更换：</w:t>
      </w:r>
      <w:bookmarkEnd w:id="225"/>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6" w:name="_Toc9864"/>
      <w:r>
        <w:rPr>
          <w:rFonts w:hint="eastAsia" w:ascii="宋体" w:hAnsi="宋体" w:cs="宋体"/>
          <w:b w:val="0"/>
          <w:bCs w:val="0"/>
          <w:color w:val="000000"/>
          <w:sz w:val="24"/>
          <w:szCs w:val="28"/>
          <w:lang w:val="zh-CN"/>
        </w:rPr>
        <w:t>(1) 因不可抗拒的客观原因，不能到场或需在磋商中途退出磋商活动。</w:t>
      </w:r>
      <w:bookmarkEnd w:id="226"/>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7" w:name="_Toc19446"/>
      <w:r>
        <w:rPr>
          <w:rFonts w:hint="eastAsia" w:ascii="宋体" w:hAnsi="宋体" w:cs="宋体"/>
          <w:b w:val="0"/>
          <w:bCs w:val="0"/>
          <w:color w:val="000000"/>
          <w:sz w:val="24"/>
          <w:szCs w:val="28"/>
          <w:lang w:val="zh-CN"/>
        </w:rPr>
        <w:t>(2) 根据法律法规规定，某个或某几个磋商小组成员需要回避。</w:t>
      </w:r>
      <w:bookmarkEnd w:id="227"/>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8" w:name="_Toc608"/>
      <w:r>
        <w:rPr>
          <w:rFonts w:hint="eastAsia" w:ascii="宋体" w:hAnsi="宋体" w:cs="宋体"/>
          <w:b w:val="0"/>
          <w:bCs w:val="0"/>
          <w:color w:val="000000"/>
          <w:sz w:val="24"/>
          <w:szCs w:val="28"/>
          <w:lang w:val="zh-CN"/>
        </w:rPr>
        <w:t>4.2.2 退出磋商的磋商小组成员，其已完成的磋商行为无效。由采购人根据本磋商文件规定的磋商小组成员产生方式另行确定替代者进行磋商。</w:t>
      </w:r>
      <w:bookmarkEnd w:id="228"/>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29" w:name="_Toc15796"/>
      <w:r>
        <w:rPr>
          <w:rFonts w:hint="eastAsia" w:ascii="宋体" w:hAnsi="宋体" w:cs="宋体"/>
          <w:b w:val="0"/>
          <w:bCs w:val="0"/>
          <w:color w:val="000000"/>
          <w:sz w:val="24"/>
          <w:szCs w:val="28"/>
          <w:lang w:val="zh-CN"/>
        </w:rPr>
        <w:t>5.3 磋商 争议处理</w:t>
      </w:r>
      <w:bookmarkEnd w:id="229"/>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30" w:name="_Toc14323"/>
      <w:r>
        <w:rPr>
          <w:rFonts w:hint="eastAsia" w:ascii="宋体" w:hAnsi="宋体" w:cs="宋体"/>
          <w:b w:val="0"/>
          <w:bCs w:val="0"/>
          <w:color w:val="000000"/>
          <w:sz w:val="24"/>
          <w:szCs w:val="28"/>
          <w:lang w:val="zh-CN"/>
        </w:rPr>
        <w:t>5.3.1 磋商小组全体成员应独立评审，对所提出的评审意见承担个人责任。</w:t>
      </w:r>
      <w:bookmarkEnd w:id="230"/>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31" w:name="_Toc11441"/>
      <w:r>
        <w:rPr>
          <w:rFonts w:hint="eastAsia" w:ascii="宋体" w:hAnsi="宋体" w:cs="宋体"/>
          <w:b w:val="0"/>
          <w:bCs w:val="0"/>
          <w:color w:val="000000"/>
          <w:sz w:val="24"/>
          <w:szCs w:val="28"/>
          <w:lang w:val="zh-CN"/>
        </w:rPr>
        <w:t>5.3.2 在任何磋商环节中，需磋商小组就某项定性的评审结论做出表决的，由磋商小组全体成员按照少数服从多数的原则，以记名投票方式表决。表决不得违背法律、法规、规章和磋商文件的规定。</w:t>
      </w:r>
      <w:bookmarkEnd w:id="231"/>
    </w:p>
    <w:p>
      <w:pPr>
        <w:pStyle w:val="3"/>
        <w:snapToGrid w:val="0"/>
        <w:spacing w:before="0" w:after="0" w:line="400" w:lineRule="exact"/>
        <w:ind w:firstLine="480" w:firstLineChars="200"/>
        <w:rPr>
          <w:rFonts w:ascii="宋体" w:hAnsi="宋体" w:cs="宋体"/>
          <w:b w:val="0"/>
          <w:bCs w:val="0"/>
          <w:color w:val="000000"/>
          <w:sz w:val="24"/>
          <w:szCs w:val="28"/>
          <w:lang w:val="zh-CN"/>
        </w:rPr>
      </w:pPr>
      <w:bookmarkStart w:id="232" w:name="_Toc11126"/>
      <w:r>
        <w:rPr>
          <w:rFonts w:hint="eastAsia" w:ascii="宋体" w:hAnsi="宋体" w:cs="宋体"/>
          <w:b w:val="0"/>
          <w:bCs w:val="0"/>
          <w:color w:val="000000"/>
          <w:sz w:val="24"/>
          <w:szCs w:val="28"/>
          <w:lang w:val="zh-CN"/>
        </w:rPr>
        <w:t>5.3.3 磋商小组成员对集体决议或评审结论持有异议的，可以书面阐述其不同意见和理由。拒绝在集体决议或磋商报告上签名，且不陈述其不同意见和理由的，视为同意集体决议或磋商结论，磋商小组应当对此在磋商报告中作出说明。</w:t>
      </w:r>
      <w:bookmarkEnd w:id="232"/>
    </w:p>
    <w:p>
      <w:pPr>
        <w:rPr>
          <w:rFonts w:ascii="宋体" w:hAnsi="宋体" w:eastAsia="宋体" w:cs="宋体"/>
          <w:b/>
          <w:bCs/>
          <w:color w:val="000000"/>
          <w:sz w:val="24"/>
          <w:szCs w:val="28"/>
          <w:lang w:val="zh-CN"/>
        </w:rPr>
      </w:pPr>
    </w:p>
    <w:p>
      <w:pPr>
        <w:pStyle w:val="4"/>
        <w:snapToGrid w:val="0"/>
        <w:spacing w:line="560" w:lineRule="exact"/>
        <w:rPr>
          <w:rFonts w:cs="宋体"/>
          <w:lang w:val="zh-CN"/>
        </w:rPr>
      </w:pPr>
    </w:p>
    <w:p>
      <w:pPr>
        <w:rPr>
          <w:lang w:val="zh-CN"/>
        </w:rPr>
      </w:pPr>
    </w:p>
    <w:p>
      <w:pPr>
        <w:pStyle w:val="7"/>
        <w:rPr>
          <w:lang w:val="zh-CN"/>
        </w:rPr>
      </w:pPr>
    </w:p>
    <w:p>
      <w:pPr>
        <w:rPr>
          <w:lang w:val="zh-CN"/>
        </w:rPr>
      </w:pPr>
    </w:p>
    <w:p>
      <w:pPr>
        <w:rPr>
          <w:lang w:val="zh-CN"/>
        </w:rPr>
      </w:pPr>
    </w:p>
    <w:p>
      <w:pPr>
        <w:pStyle w:val="4"/>
        <w:rPr>
          <w:lang w:val="zh-CN"/>
        </w:rPr>
      </w:pPr>
    </w:p>
    <w:p>
      <w:pPr>
        <w:pStyle w:val="7"/>
        <w:rPr>
          <w:lang w:val="zh-CN"/>
        </w:rPr>
      </w:pPr>
    </w:p>
    <w:p>
      <w:pPr>
        <w:rPr>
          <w:lang w:val="zh-CN"/>
        </w:rPr>
      </w:pPr>
    </w:p>
    <w:p>
      <w:pPr>
        <w:rPr>
          <w:lang w:val="zh-CN"/>
        </w:rPr>
      </w:pPr>
    </w:p>
    <w:p>
      <w:pPr>
        <w:pStyle w:val="8"/>
        <w:rPr>
          <w:lang w:val="zh-CN"/>
        </w:rPr>
      </w:pPr>
    </w:p>
    <w:p>
      <w:pPr>
        <w:pStyle w:val="8"/>
        <w:rPr>
          <w:lang w:val="zh-CN"/>
        </w:rPr>
      </w:pPr>
    </w:p>
    <w:p>
      <w:pPr>
        <w:pStyle w:val="8"/>
        <w:rPr>
          <w:lang w:val="zh-CN"/>
        </w:rPr>
      </w:pPr>
    </w:p>
    <w:p>
      <w:pPr>
        <w:pStyle w:val="8"/>
        <w:rPr>
          <w:lang w:val="zh-CN"/>
        </w:rPr>
      </w:pPr>
    </w:p>
    <w:p>
      <w:pPr>
        <w:pStyle w:val="4"/>
        <w:snapToGrid w:val="0"/>
        <w:spacing w:line="560" w:lineRule="exact"/>
        <w:rPr>
          <w:rFonts w:cs="宋体"/>
          <w:lang w:val="zh-CN"/>
        </w:rPr>
      </w:pPr>
    </w:p>
    <w:p>
      <w:pPr>
        <w:pStyle w:val="4"/>
        <w:snapToGrid w:val="0"/>
        <w:spacing w:line="560" w:lineRule="exact"/>
        <w:rPr>
          <w:rFonts w:cs="宋体"/>
          <w:lang w:val="zh-CN"/>
        </w:rPr>
      </w:pPr>
    </w:p>
    <w:p>
      <w:pPr>
        <w:pStyle w:val="4"/>
        <w:snapToGrid w:val="0"/>
        <w:spacing w:line="560" w:lineRule="exact"/>
        <w:rPr>
          <w:rFonts w:cs="宋体"/>
          <w:lang w:val="zh-CN"/>
        </w:rPr>
      </w:pPr>
      <w:bookmarkStart w:id="233" w:name="_Toc16859"/>
      <w:r>
        <w:rPr>
          <w:rFonts w:hint="eastAsia" w:cs="宋体"/>
          <w:lang w:val="zh-CN"/>
        </w:rPr>
        <w:t>七部分 响应性文件格式</w:t>
      </w:r>
      <w:bookmarkEnd w:id="115"/>
      <w:bookmarkEnd w:id="233"/>
    </w:p>
    <w:p>
      <w:pPr>
        <w:spacing w:line="276" w:lineRule="auto"/>
        <w:rPr>
          <w:rFonts w:ascii="宋体" w:hAnsi="宋体" w:eastAsia="宋体" w:cs="宋体"/>
          <w:lang w:val="zh-CN"/>
        </w:rPr>
      </w:pPr>
    </w:p>
    <w:p>
      <w:pPr>
        <w:spacing w:line="276" w:lineRule="auto"/>
        <w:rPr>
          <w:rFonts w:ascii="宋体" w:hAnsi="宋体" w:eastAsia="宋体" w:cs="宋体"/>
          <w:lang w:val="zh-CN"/>
        </w:rPr>
      </w:pPr>
    </w:p>
    <w:p>
      <w:pPr>
        <w:rPr>
          <w:lang w:val="zh-CN"/>
        </w:rPr>
      </w:pPr>
    </w:p>
    <w:p>
      <w:pPr>
        <w:tabs>
          <w:tab w:val="left" w:pos="1440"/>
        </w:tabs>
        <w:spacing w:line="276" w:lineRule="auto"/>
        <w:jc w:val="center"/>
        <w:rPr>
          <w:rFonts w:ascii="宋体" w:hAnsi="宋体" w:eastAsia="宋体" w:cs="宋体"/>
          <w:b/>
          <w:sz w:val="30"/>
          <w:szCs w:val="30"/>
        </w:rPr>
      </w:pPr>
    </w:p>
    <w:p>
      <w:pPr>
        <w:tabs>
          <w:tab w:val="left" w:pos="1440"/>
        </w:tabs>
        <w:spacing w:line="276" w:lineRule="auto"/>
        <w:rPr>
          <w:rFonts w:ascii="宋体" w:hAnsi="宋体" w:eastAsia="宋体" w:cs="宋体"/>
          <w:b/>
          <w:sz w:val="36"/>
          <w:szCs w:val="48"/>
        </w:rPr>
      </w:pPr>
      <w:r>
        <w:rPr>
          <w:rFonts w:hint="eastAsia" w:ascii="宋体" w:hAnsi="宋体" w:eastAsia="宋体" w:cs="宋体"/>
          <w:b/>
          <w:sz w:val="36"/>
          <w:szCs w:val="48"/>
        </w:rPr>
        <w:t xml:space="preserve">           </w:t>
      </w:r>
      <w:r>
        <w:rPr>
          <w:rFonts w:hint="eastAsia" w:ascii="宋体" w:hAnsi="宋体" w:eastAsia="宋体" w:cs="宋体"/>
          <w:b/>
          <w:sz w:val="36"/>
          <w:szCs w:val="48"/>
          <w:u w:val="single"/>
        </w:rPr>
        <w:t xml:space="preserve">                     （项目名称）</w:t>
      </w:r>
    </w:p>
    <w:p>
      <w:pPr>
        <w:tabs>
          <w:tab w:val="left" w:pos="1440"/>
        </w:tabs>
        <w:spacing w:line="276" w:lineRule="auto"/>
        <w:jc w:val="center"/>
        <w:rPr>
          <w:rFonts w:ascii="宋体" w:hAnsi="宋体" w:eastAsia="宋体" w:cs="宋体"/>
          <w:b/>
          <w:sz w:val="48"/>
          <w:szCs w:val="48"/>
        </w:rPr>
      </w:pPr>
    </w:p>
    <w:p>
      <w:pPr>
        <w:tabs>
          <w:tab w:val="left" w:pos="1440"/>
        </w:tabs>
        <w:spacing w:line="276" w:lineRule="auto"/>
        <w:jc w:val="center"/>
        <w:rPr>
          <w:rFonts w:ascii="宋体" w:hAnsi="宋体" w:eastAsia="宋体" w:cs="宋体"/>
          <w:b/>
          <w:sz w:val="48"/>
          <w:szCs w:val="48"/>
        </w:rPr>
      </w:pPr>
    </w:p>
    <w:p/>
    <w:p/>
    <w:p>
      <w:pPr>
        <w:rPr>
          <w:rFonts w:ascii="Tahoma" w:hAnsi="Tahoma"/>
          <w:sz w:val="24"/>
        </w:rPr>
      </w:pPr>
    </w:p>
    <w:p>
      <w:pPr>
        <w:tabs>
          <w:tab w:val="left" w:pos="1440"/>
        </w:tabs>
        <w:spacing w:line="276" w:lineRule="auto"/>
        <w:jc w:val="center"/>
        <w:rPr>
          <w:rFonts w:ascii="宋体" w:hAnsi="宋体" w:eastAsia="宋体" w:cs="宋体"/>
          <w:b/>
          <w:sz w:val="72"/>
          <w:szCs w:val="48"/>
        </w:rPr>
      </w:pPr>
      <w:r>
        <w:rPr>
          <w:rFonts w:hint="eastAsia" w:ascii="宋体" w:hAnsi="宋体" w:eastAsia="宋体" w:cs="宋体"/>
          <w:b/>
          <w:sz w:val="72"/>
          <w:szCs w:val="48"/>
        </w:rPr>
        <w:t>响应性文件</w:t>
      </w:r>
    </w:p>
    <w:p>
      <w:pPr>
        <w:tabs>
          <w:tab w:val="left" w:pos="1440"/>
        </w:tabs>
        <w:spacing w:line="276" w:lineRule="auto"/>
        <w:jc w:val="center"/>
        <w:rPr>
          <w:rFonts w:ascii="宋体" w:hAnsi="宋体" w:eastAsia="宋体" w:cs="宋体"/>
          <w:b/>
          <w:sz w:val="30"/>
          <w:szCs w:val="30"/>
        </w:rPr>
      </w:pPr>
      <w:r>
        <w:rPr>
          <w:rFonts w:hint="eastAsia" w:ascii="宋体" w:hAnsi="宋体" w:eastAsia="宋体" w:cs="宋体"/>
          <w:b/>
          <w:sz w:val="30"/>
          <w:szCs w:val="30"/>
        </w:rPr>
        <w:t>（采购编号：）</w:t>
      </w:r>
    </w:p>
    <w:p>
      <w:pPr>
        <w:tabs>
          <w:tab w:val="left" w:pos="1440"/>
        </w:tabs>
        <w:spacing w:line="276" w:lineRule="auto"/>
        <w:ind w:firstLine="446" w:firstLineChars="148"/>
        <w:rPr>
          <w:rFonts w:ascii="宋体" w:hAnsi="宋体" w:eastAsia="宋体" w:cs="宋体"/>
          <w:b/>
          <w:sz w:val="30"/>
          <w:szCs w:val="30"/>
        </w:rPr>
      </w:pPr>
    </w:p>
    <w:p>
      <w:pPr>
        <w:tabs>
          <w:tab w:val="left" w:pos="1440"/>
        </w:tabs>
        <w:spacing w:line="276" w:lineRule="auto"/>
        <w:ind w:firstLine="446" w:firstLineChars="148"/>
        <w:rPr>
          <w:rFonts w:ascii="宋体" w:hAnsi="宋体" w:eastAsia="宋体" w:cs="宋体"/>
          <w:b/>
          <w:sz w:val="30"/>
          <w:szCs w:val="30"/>
        </w:rPr>
      </w:pPr>
    </w:p>
    <w:p>
      <w:pPr>
        <w:tabs>
          <w:tab w:val="left" w:pos="1440"/>
        </w:tabs>
        <w:spacing w:line="276" w:lineRule="auto"/>
        <w:ind w:firstLine="2247" w:firstLineChars="746"/>
        <w:rPr>
          <w:rFonts w:ascii="宋体" w:hAnsi="宋体" w:eastAsia="宋体" w:cs="宋体"/>
          <w:b/>
          <w:sz w:val="30"/>
          <w:szCs w:val="30"/>
        </w:rPr>
      </w:pPr>
      <w:r>
        <w:rPr>
          <w:rFonts w:hint="eastAsia" w:ascii="宋体" w:hAnsi="宋体" w:eastAsia="宋体" w:cs="宋体"/>
          <w:b/>
          <w:sz w:val="30"/>
          <w:szCs w:val="30"/>
        </w:rPr>
        <w:t>供应商全称（加盖单位公章）：</w:t>
      </w:r>
    </w:p>
    <w:p>
      <w:pPr>
        <w:tabs>
          <w:tab w:val="left" w:pos="1440"/>
        </w:tabs>
        <w:spacing w:line="276" w:lineRule="auto"/>
        <w:ind w:right="600"/>
        <w:jc w:val="center"/>
        <w:rPr>
          <w:rFonts w:ascii="宋体" w:hAnsi="宋体" w:eastAsia="宋体" w:cs="宋体"/>
          <w:b/>
          <w:sz w:val="30"/>
          <w:szCs w:val="30"/>
        </w:rPr>
      </w:pPr>
      <w:r>
        <w:rPr>
          <w:rFonts w:hint="eastAsia" w:ascii="宋体" w:hAnsi="宋体" w:eastAsia="宋体" w:cs="宋体"/>
          <w:b/>
          <w:sz w:val="30"/>
          <w:szCs w:val="30"/>
        </w:rPr>
        <w:t xml:space="preserve">         法定代表人或委托代理人（签字或盖章）：</w:t>
      </w:r>
    </w:p>
    <w:p>
      <w:pPr>
        <w:tabs>
          <w:tab w:val="left" w:pos="1440"/>
        </w:tabs>
        <w:spacing w:line="276" w:lineRule="auto"/>
        <w:ind w:firstLine="2247" w:firstLineChars="746"/>
        <w:jc w:val="left"/>
        <w:rPr>
          <w:rFonts w:ascii="宋体" w:hAnsi="宋体" w:eastAsia="宋体" w:cs="宋体"/>
          <w:b/>
          <w:sz w:val="30"/>
          <w:szCs w:val="30"/>
        </w:rPr>
      </w:pPr>
      <w:r>
        <w:rPr>
          <w:rFonts w:hint="eastAsia" w:ascii="宋体" w:hAnsi="宋体" w:eastAsia="宋体" w:cs="宋体"/>
          <w:b/>
          <w:sz w:val="30"/>
          <w:szCs w:val="30"/>
        </w:rPr>
        <w:t>日期：   年   月   日</w:t>
      </w:r>
      <w:bookmarkStart w:id="234" w:name="_Toc304388438"/>
      <w:bookmarkStart w:id="235" w:name="_Hlk450146465"/>
    </w:p>
    <w:p>
      <w:pPr>
        <w:pStyle w:val="17"/>
        <w:rPr>
          <w:rFonts w:ascii="宋体" w:hAnsi="宋体" w:eastAsia="宋体" w:cs="宋体"/>
        </w:rPr>
      </w:pPr>
    </w:p>
    <w:p/>
    <w:p>
      <w:pPr>
        <w:pStyle w:val="17"/>
        <w:jc w:val="center"/>
        <w:rPr>
          <w:rFonts w:ascii="宋体" w:hAnsi="宋体" w:eastAsia="宋体" w:cs="宋体"/>
        </w:rPr>
      </w:pPr>
    </w:p>
    <w:p>
      <w:pPr>
        <w:pStyle w:val="17"/>
        <w:jc w:val="center"/>
        <w:rPr>
          <w:rFonts w:ascii="宋体" w:hAnsi="宋体" w:eastAsia="宋体" w:cs="宋体"/>
        </w:rPr>
      </w:pPr>
    </w:p>
    <w:p>
      <w:pPr>
        <w:pStyle w:val="17"/>
        <w:jc w:val="center"/>
        <w:rPr>
          <w:rFonts w:ascii="宋体" w:hAnsi="宋体" w:eastAsia="宋体" w:cs="宋体"/>
        </w:rPr>
      </w:pPr>
      <w:r>
        <w:rPr>
          <w:rFonts w:hint="eastAsia" w:ascii="宋体" w:hAnsi="宋体" w:eastAsia="宋体" w:cs="宋体"/>
        </w:rPr>
        <w:t>响应文件资料清单</w:t>
      </w:r>
    </w:p>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zh-CN"/>
        </w:rPr>
        <w:t>一）磋商书</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二</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zh-CN"/>
        </w:rPr>
        <w:t>报价组成情况表</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（三）货物（服务）清单</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（四）资格性符合性检查对照表</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（五）技术响应、偏离情况说明表</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（六）法人（负责人）代表授权书</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（七）法人或者其他组织的营业执照等证明文件，自然人的身份证明</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（八）财务状况报告，依法缴纳税收和社会保障资金的相关材料</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（九）具备履行合同所必需的设备和专业技术能力的证明材料</w:t>
      </w:r>
    </w:p>
    <w:p>
      <w:pPr>
        <w:autoSpaceDE w:val="0"/>
        <w:autoSpaceDN w:val="0"/>
        <w:adjustRightInd w:val="0"/>
        <w:snapToGrid w:val="0"/>
        <w:spacing w:line="48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lang w:val="zh-CN"/>
        </w:rPr>
        <w:t>（十）参加政府采购活动前</w:t>
      </w:r>
      <w:r>
        <w:rPr>
          <w:rFonts w:hint="eastAsia" w:ascii="宋体" w:hAnsi="宋体" w:eastAsia="宋体" w:cs="宋体"/>
          <w:color w:val="000000"/>
          <w:sz w:val="24"/>
          <w:szCs w:val="28"/>
        </w:rPr>
        <w:t>3年内在经营活动中没有重大违法记录的书面声明</w:t>
      </w:r>
    </w:p>
    <w:p>
      <w:pPr>
        <w:autoSpaceDE w:val="0"/>
        <w:autoSpaceDN w:val="0"/>
        <w:adjustRightInd w:val="0"/>
        <w:snapToGrid w:val="0"/>
        <w:spacing w:line="48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（十一）未被列入“信用中国”网站的相关名单网页打印件</w:t>
      </w:r>
    </w:p>
    <w:p>
      <w:pPr>
        <w:autoSpaceDE w:val="0"/>
        <w:autoSpaceDN w:val="0"/>
        <w:adjustRightInd w:val="0"/>
        <w:snapToGrid w:val="0"/>
        <w:spacing w:line="48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（十二）政府采购政策情况表</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（十三）《中小企业声明函》《残疾人福利性单位声明函》、属于监狱企业的证明文件等（如有）</w:t>
      </w:r>
    </w:p>
    <w:p>
      <w:pPr>
        <w:autoSpaceDE w:val="0"/>
        <w:autoSpaceDN w:val="0"/>
        <w:adjustRightInd w:val="0"/>
        <w:snapToGrid w:val="0"/>
        <w:spacing w:line="480" w:lineRule="auto"/>
        <w:ind w:firstLine="480" w:firstLineChars="200"/>
        <w:rPr>
          <w:rFonts w:ascii="宋体" w:hAnsi="宋体" w:eastAsia="宋体" w:cs="宋体"/>
          <w:color w:val="000000"/>
          <w:sz w:val="24"/>
          <w:szCs w:val="28"/>
          <w:lang w:val="zh-CN"/>
        </w:rPr>
      </w:pPr>
      <w:r>
        <w:rPr>
          <w:rFonts w:hint="eastAsia" w:ascii="宋体" w:hAnsi="宋体" w:eastAsia="宋体" w:cs="宋体"/>
          <w:color w:val="000000"/>
          <w:sz w:val="24"/>
          <w:szCs w:val="28"/>
          <w:lang w:val="zh-CN"/>
        </w:rPr>
        <w:t>（十四）本文件要求提供的其他资格证明文件及资料</w:t>
      </w:r>
    </w:p>
    <w:p>
      <w:pPr>
        <w:spacing w:line="500" w:lineRule="exact"/>
        <w:rPr>
          <w:rFonts w:ascii="宋体" w:hAnsi="宋体" w:eastAsia="宋体" w:cs="宋体"/>
          <w:sz w:val="28"/>
        </w:rPr>
      </w:pPr>
    </w:p>
    <w:p/>
    <w:p>
      <w:pPr>
        <w:pStyle w:val="4"/>
      </w:pPr>
    </w:p>
    <w:p/>
    <w:p/>
    <w:bookmarkEnd w:id="234"/>
    <w:bookmarkEnd w:id="235"/>
    <w:p>
      <w:pPr>
        <w:pStyle w:val="4"/>
        <w:snapToGrid w:val="0"/>
        <w:spacing w:before="100" w:beforeAutospacing="1" w:after="100" w:afterAutospacing="1" w:line="360" w:lineRule="exact"/>
        <w:rPr>
          <w:rFonts w:cs="宋体"/>
          <w:b w:val="0"/>
          <w:color w:val="000000"/>
          <w:sz w:val="24"/>
        </w:rPr>
      </w:pPr>
      <w:bookmarkStart w:id="236" w:name="_Toc2430"/>
      <w:bookmarkStart w:id="237" w:name="_Toc22997"/>
      <w:bookmarkStart w:id="238" w:name="_Toc509511558"/>
      <w:bookmarkStart w:id="239" w:name="_Toc7020"/>
      <w:r>
        <w:rPr>
          <w:rFonts w:hint="eastAsia" w:cs="宋体"/>
          <w:sz w:val="28"/>
          <w:szCs w:val="22"/>
        </w:rPr>
        <w:t>一</w:t>
      </w:r>
      <w:r>
        <w:rPr>
          <w:rFonts w:hint="eastAsia" w:cs="宋体"/>
          <w:color w:val="000000"/>
          <w:sz w:val="28"/>
        </w:rPr>
        <w:t>、磋商书</w:t>
      </w:r>
      <w:bookmarkEnd w:id="236"/>
    </w:p>
    <w:p>
      <w:pPr>
        <w:snapToGrid w:val="0"/>
        <w:spacing w:line="360" w:lineRule="exact"/>
        <w:rPr>
          <w:rFonts w:ascii="宋体" w:hAnsi="宋体" w:eastAsia="宋体" w:cs="宋体"/>
          <w:b/>
          <w:color w:val="000000"/>
          <w:sz w:val="24"/>
        </w:rPr>
      </w:pPr>
      <w:r>
        <w:rPr>
          <w:rFonts w:hint="eastAsia" w:ascii="宋体" w:hAnsi="宋体" w:eastAsia="宋体" w:cs="宋体"/>
          <w:b/>
          <w:color w:val="000000"/>
          <w:sz w:val="24"/>
        </w:rPr>
        <w:t xml:space="preserve">致： </w:t>
      </w:r>
    </w:p>
    <w:p>
      <w:pPr>
        <w:adjustRightInd w:val="0"/>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1、根据贵方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号采购公告，我方决定参加贵方组织的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项目的采购活动。我方授权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w:t>
      </w:r>
      <w:r>
        <w:rPr>
          <w:rFonts w:hint="eastAsia" w:ascii="宋体" w:hAnsi="宋体" w:eastAsia="宋体" w:cs="宋体"/>
          <w:color w:val="000000"/>
          <w:sz w:val="24"/>
        </w:rPr>
        <w:t>姓名和职务</w:t>
      </w:r>
      <w:r>
        <w:rPr>
          <w:rFonts w:hint="eastAsia" w:ascii="宋体" w:hAnsi="宋体" w:eastAsia="宋体" w:cs="宋体"/>
          <w:color w:val="000000"/>
          <w:sz w:val="24"/>
          <w:lang w:eastAsia="zh-CN"/>
        </w:rPr>
        <w:t>）</w:t>
      </w:r>
      <w:r>
        <w:rPr>
          <w:rFonts w:hint="eastAsia" w:ascii="宋体" w:hAnsi="宋体" w:eastAsia="宋体" w:cs="宋体"/>
          <w:color w:val="000000"/>
          <w:sz w:val="24"/>
        </w:rPr>
        <w:t>代表我方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的名称）全权处理本项目采购的有关事宜。我方已仔细研究了本项目的竞争性磋商文件的全部内容，知悉参加竞争性磋商的风险，我方承诺接受磋商文件及澄清修改部分（如有）的全部条款（包括响应文件递交截止时间、资格条件、评审、成交标准以及采购需求等其他所有条款）且无任何异议。</w:t>
      </w:r>
    </w:p>
    <w:p>
      <w:pPr>
        <w:adjustRightInd w:val="0"/>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2、我方同意在磋商文件中规定的提交首次响应文件截止时间起</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hint="eastAsia" w:ascii="宋体" w:hAnsi="宋体" w:eastAsia="宋体" w:cs="宋体"/>
          <w:color w:val="000000"/>
          <w:sz w:val="24"/>
        </w:rPr>
        <w:t>日内（响应文件有效期）遵守本响应文件中的承诺且在此期限期满之前均具有法律约束力。</w:t>
      </w:r>
    </w:p>
    <w:p>
      <w:pPr>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3、我方愿意按照磋商文件规定的各项要求，向采购人提供所需的货物与服务，首次报价</w:t>
      </w:r>
      <w:r>
        <w:rPr>
          <w:rFonts w:hint="eastAsia" w:ascii="宋体" w:hAnsi="宋体" w:eastAsia="宋体" w:cs="宋体"/>
          <w:sz w:val="24"/>
        </w:rPr>
        <w:t>为：人民币</w:t>
      </w:r>
      <w:r>
        <w:rPr>
          <w:rFonts w:hint="eastAsia" w:ascii="宋体" w:hAnsi="宋体" w:eastAsia="宋体" w:cs="宋体"/>
          <w:sz w:val="24"/>
          <w:u w:val="single"/>
        </w:rPr>
        <w:t xml:space="preserve">    </w:t>
      </w:r>
      <w:r>
        <w:rPr>
          <w:rFonts w:hint="eastAsia" w:ascii="宋体" w:hAnsi="宋体" w:eastAsia="宋体" w:cs="宋体"/>
          <w:sz w:val="24"/>
        </w:rPr>
        <w:t>元。我方愿</w:t>
      </w:r>
      <w:r>
        <w:rPr>
          <w:rFonts w:hint="eastAsia" w:ascii="宋体" w:hAnsi="宋体" w:eastAsia="宋体" w:cs="宋体"/>
          <w:color w:val="000000"/>
          <w:sz w:val="24"/>
        </w:rPr>
        <w:t>意按磋商文件规定和磋商小组要求重新提交响应文件和最后报价。</w:t>
      </w:r>
    </w:p>
    <w:p>
      <w:pPr>
        <w:pStyle w:val="11"/>
        <w:adjustRightInd w:val="0"/>
        <w:snapToGrid w:val="0"/>
        <w:spacing w:line="360" w:lineRule="exact"/>
        <w:ind w:firstLine="480" w:firstLineChars="200"/>
        <w:rPr>
          <w:rFonts w:hAnsi="宋体" w:cs="宋体"/>
          <w:color w:val="000000"/>
          <w:sz w:val="24"/>
        </w:rPr>
      </w:pPr>
      <w:r>
        <w:rPr>
          <w:rFonts w:hint="eastAsia" w:hAnsi="宋体" w:cs="宋体"/>
          <w:color w:val="000000"/>
          <w:sz w:val="24"/>
        </w:rPr>
        <w:t>4、一旦我方成为成交供应商，我方将按照磋商文件确定的事项签订政府采购合同，履行双方所签订的合同，并承担合同规定的责任和义务。</w:t>
      </w:r>
    </w:p>
    <w:p>
      <w:pPr>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5、一旦我方成为成交供应商，将按要求提交相关证明材料。</w:t>
      </w:r>
    </w:p>
    <w:p>
      <w:pPr>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6、我方同意按照磋商文件的要求，承诺不在响应文件提交截止时间之后撤回响应文件。</w:t>
      </w:r>
    </w:p>
    <w:p>
      <w:pPr>
        <w:tabs>
          <w:tab w:val="left" w:pos="840"/>
        </w:tabs>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7、我方愿意提供贵方可能另外要求的、与采购有关的文件资料，并保证我方已提供和将要提供的文件是真实的、准确的。否则，将承担《政府采购法》第七十七条规定的法律责任。</w:t>
      </w:r>
    </w:p>
    <w:p>
      <w:pPr>
        <w:tabs>
          <w:tab w:val="left" w:pos="840"/>
        </w:tabs>
        <w:snapToGrid w:val="0"/>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8、我方完全理解贵方不一定接受报价最低的磋商报价（综合评分法），接受磋商文件17.3项关于磋商小组可以判定明显不合理，低于个别成本、</w:t>
      </w:r>
      <w:r>
        <w:rPr>
          <w:rFonts w:hint="eastAsia" w:ascii="宋体" w:hAnsi="宋体" w:eastAsia="宋体" w:cs="宋体"/>
          <w:color w:val="000000"/>
          <w:sz w:val="24"/>
          <w:lang w:eastAsia="zh-CN"/>
        </w:rPr>
        <w:t>又</w:t>
      </w:r>
      <w:r>
        <w:rPr>
          <w:rFonts w:hint="eastAsia" w:ascii="宋体" w:hAnsi="宋体" w:eastAsia="宋体" w:cs="宋体"/>
          <w:color w:val="000000"/>
          <w:sz w:val="24"/>
        </w:rPr>
        <w:t>降低质量、不能诚信履约的最后报价为无效报价的规定。</w:t>
      </w:r>
    </w:p>
    <w:p>
      <w:pPr>
        <w:snapToGrid w:val="0"/>
        <w:spacing w:line="360" w:lineRule="exact"/>
        <w:ind w:firstLine="600" w:firstLineChars="250"/>
        <w:rPr>
          <w:rFonts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u w:val="single"/>
        </w:rPr>
      </w:pPr>
      <w:r>
        <w:rPr>
          <w:rFonts w:hint="eastAsia" w:ascii="宋体" w:hAnsi="宋体" w:eastAsia="宋体" w:cs="宋体"/>
          <w:color w:val="000000"/>
          <w:sz w:val="24"/>
        </w:rPr>
        <w:t>法定代表人或授权代理人（签字）：</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napToGrid w:val="0"/>
        <w:spacing w:line="360" w:lineRule="exact"/>
        <w:rPr>
          <w:rFonts w:ascii="宋体" w:hAnsi="宋体" w:eastAsia="宋体" w:cs="宋体"/>
          <w:color w:val="000000"/>
          <w:sz w:val="24"/>
          <w:u w:val="single"/>
        </w:rPr>
      </w:pPr>
      <w:r>
        <w:rPr>
          <w:rFonts w:hint="eastAsia" w:ascii="宋体" w:hAnsi="宋体" w:eastAsia="宋体" w:cs="宋体"/>
          <w:color w:val="000000"/>
          <w:sz w:val="24"/>
        </w:rPr>
        <w:t xml:space="preserve">     通讯地址：</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u w:val="single"/>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   话：</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u w:val="single"/>
        </w:rPr>
      </w:pPr>
      <w:r>
        <w:rPr>
          <w:rFonts w:hint="eastAsia" w:ascii="宋体" w:hAnsi="宋体" w:eastAsia="宋体" w:cs="宋体"/>
          <w:color w:val="000000"/>
          <w:sz w:val="24"/>
        </w:rPr>
        <w:t>传    真：</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rPr>
      </w:pPr>
      <w:r>
        <w:rPr>
          <w:rFonts w:hint="eastAsia" w:ascii="宋体" w:hAnsi="宋体" w:eastAsia="宋体" w:cs="宋体"/>
          <w:color w:val="000000"/>
          <w:sz w:val="24"/>
        </w:rPr>
        <w:t>供应商开户行</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u w:val="single"/>
        </w:rPr>
      </w:pPr>
      <w:r>
        <w:rPr>
          <w:rFonts w:hint="eastAsia" w:ascii="宋体" w:hAnsi="宋体" w:eastAsia="宋体" w:cs="宋体"/>
          <w:color w:val="000000"/>
          <w:sz w:val="24"/>
        </w:rPr>
        <w:t>账        号</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p>
    <w:p>
      <w:pPr>
        <w:snapToGrid w:val="0"/>
        <w:spacing w:line="380" w:lineRule="exact"/>
        <w:jc w:val="center"/>
        <w:rPr>
          <w:rFonts w:ascii="宋体" w:hAnsi="宋体" w:eastAsia="宋体" w:cs="宋体"/>
          <w:b/>
          <w:color w:val="000000"/>
          <w:sz w:val="24"/>
        </w:rPr>
      </w:pPr>
    </w:p>
    <w:p>
      <w:pPr>
        <w:rPr>
          <w:rFonts w:cs="宋体"/>
          <w:color w:val="000000"/>
          <w:sz w:val="28"/>
        </w:rPr>
        <w:sectPr>
          <w:footerReference r:id="rId12" w:type="first"/>
          <w:footerReference r:id="rId11" w:type="default"/>
          <w:pgSz w:w="11906" w:h="16838"/>
          <w:pgMar w:top="1077" w:right="1134" w:bottom="1077" w:left="1191" w:header="850" w:footer="850" w:gutter="0"/>
          <w:cols w:space="720" w:num="1"/>
          <w:titlePg/>
          <w:docGrid w:type="lines" w:linePitch="312" w:charSpace="0"/>
        </w:sectPr>
      </w:pPr>
    </w:p>
    <w:p>
      <w:pPr>
        <w:snapToGrid w:val="0"/>
        <w:spacing w:line="500" w:lineRule="exact"/>
        <w:jc w:val="center"/>
        <w:rPr>
          <w:rFonts w:ascii="宋体" w:hAnsi="宋体" w:eastAsia="宋体" w:cs="宋体"/>
          <w:b/>
          <w:sz w:val="24"/>
        </w:rPr>
      </w:pPr>
      <w:r>
        <w:rPr>
          <w:rFonts w:hint="eastAsia" w:ascii="宋体" w:hAnsi="宋体" w:eastAsia="宋体" w:cs="宋体"/>
          <w:b/>
          <w:sz w:val="24"/>
        </w:rPr>
        <w:t>附件1</w:t>
      </w:r>
      <w:r>
        <w:rPr>
          <w:rFonts w:hint="eastAsia" w:ascii="宋体" w:hAnsi="宋体" w:eastAsia="宋体" w:cs="宋体"/>
          <w:b/>
          <w:sz w:val="24"/>
          <w:lang w:eastAsia="zh-CN"/>
        </w:rPr>
        <w:t>－</w:t>
      </w:r>
      <w:r>
        <w:rPr>
          <w:rFonts w:hint="eastAsia" w:ascii="宋体" w:hAnsi="宋体" w:eastAsia="宋体" w:cs="宋体"/>
          <w:b/>
          <w:sz w:val="24"/>
        </w:rPr>
        <w:t>诚信报价承诺书</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为维护广水市政府采购市场秩序，本单位在参加本次采购活动中郑重作出如下承诺：</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一、严格遵循公开、公平、公正和诚实信用的原则参与本次政府采购活动。</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二、本响应文件中所提供的全部材料都是真实、有效和合法的。</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三、不采取不正当的手段诋毁、排挤其他供应商，不恶意压低或抬高报价。</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四、不与采购人、其他供应商或者采购代理机构恶意串通报价，损害国家利益、社会公共利益或者他人的合法权益。不在</w:t>
      </w:r>
      <w:r>
        <w:rPr>
          <w:rFonts w:hint="eastAsia" w:ascii="宋体" w:hAnsi="宋体" w:eastAsia="宋体" w:cs="宋体"/>
          <w:sz w:val="24"/>
          <w:shd w:val="clear" w:color="auto" w:fill="FFFFFF"/>
        </w:rPr>
        <w:t>提交响应文件截止时间后撤回响应文件或者成交后放弃成交资格</w:t>
      </w:r>
      <w:r>
        <w:rPr>
          <w:rFonts w:hint="eastAsia" w:ascii="宋体" w:hAnsi="宋体" w:eastAsia="宋体" w:cs="宋体"/>
          <w:sz w:val="24"/>
        </w:rPr>
        <w:t>。我单位无条件接受磋商文件关于“视为供应商相互恶意串通”的有关规定。</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五、不向采购人、采购代理机构工作人员及评审委员会成员行贿或以提供其他不正当利益的方式牟取中标或成交资格。</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六、不以伪造、变造响应文件资质材料或以其他方式弄虚作假，骗取成交资格。</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七、不进行虚假、恶意投诉或以其他方式扰乱政府采购市场秩序。</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八、我单位首次（总）报价包含本次采购需求的服务，服务分项报价表中如有漏项或缺项，缺漏项的相关服务作为对采购人的优惠（免费提供），包含在总报价中。采购人无需为该项服务另行支付费用。我单位承诺保证有足够的人力、物力等资源保证按时按质按量完成委托的服务业务，提供优质服务，并对服务成果的真实性、准确性负责。</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九、我单位承诺：如果我单位成为本项目的成交供应商，签订合同时不向采购人提出任何附加条件，并将按照磋商文件21.1、21.3的时间要求办理成交通知书及签订合同事宜，否则视为放弃成交、无正当理由不与采购人签订政府采购合同。我单位承诺将严格按照要求履行合同义务。</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十、积极配合广水市相关监管部门调查处理投诉事项，如实反映情况，提供真实材料。</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本单位若违反上述承诺，愿意承担法律责任，并接受广水市监督管理部门根据《政府采购法》第七十七条、《政府采购法实施条例》第七十二条、《</w:t>
      </w:r>
      <w:r>
        <w:rPr>
          <w:rFonts w:hint="eastAsia" w:ascii="宋体" w:hAnsi="宋体" w:eastAsia="宋体" w:cs="宋体"/>
          <w:snapToGrid w:val="0"/>
          <w:sz w:val="24"/>
        </w:rPr>
        <w:t>政府采购竞争性磋商采购方式管理暂行办法</w:t>
      </w:r>
      <w:r>
        <w:rPr>
          <w:rFonts w:hint="eastAsia" w:ascii="宋体" w:hAnsi="宋体" w:eastAsia="宋体" w:cs="宋体"/>
          <w:sz w:val="24"/>
        </w:rPr>
        <w:t>》第三十一条以及其他相关法律法规作出的处罚。</w:t>
      </w:r>
    </w:p>
    <w:p>
      <w:pPr>
        <w:snapToGrid w:val="0"/>
        <w:spacing w:line="500" w:lineRule="exact"/>
        <w:ind w:firstLine="480" w:firstLineChars="200"/>
        <w:rPr>
          <w:rFonts w:ascii="宋体" w:hAnsi="宋体" w:eastAsia="宋体" w:cs="宋体"/>
          <w:sz w:val="24"/>
        </w:rPr>
      </w:pPr>
    </w:p>
    <w:p>
      <w:pPr>
        <w:snapToGrid w:val="0"/>
        <w:spacing w:line="500" w:lineRule="exact"/>
        <w:ind w:firstLine="3000" w:firstLineChars="1250"/>
        <w:rPr>
          <w:rFonts w:ascii="宋体" w:hAnsi="宋体" w:eastAsia="宋体" w:cs="宋体"/>
          <w:sz w:val="24"/>
          <w:u w:val="single"/>
        </w:rPr>
      </w:pPr>
      <w:r>
        <w:rPr>
          <w:rFonts w:hint="eastAsia" w:ascii="宋体" w:hAnsi="宋体" w:eastAsia="宋体" w:cs="宋体"/>
          <w:sz w:val="24"/>
        </w:rPr>
        <w:t>供应商名称（盖单位公章）：</w:t>
      </w:r>
      <w:r>
        <w:rPr>
          <w:rFonts w:hint="eastAsia" w:ascii="宋体" w:hAnsi="宋体" w:eastAsia="宋体" w:cs="宋体"/>
          <w:sz w:val="24"/>
          <w:u w:val="single"/>
        </w:rPr>
        <w:t xml:space="preserve">                    </w:t>
      </w:r>
    </w:p>
    <w:p>
      <w:pPr>
        <w:snapToGrid w:val="0"/>
        <w:spacing w:line="500" w:lineRule="exact"/>
        <w:rPr>
          <w:rFonts w:ascii="宋体" w:hAnsi="宋体" w:eastAsia="宋体" w:cs="宋体"/>
          <w:sz w:val="24"/>
          <w:u w:val="single"/>
        </w:rPr>
      </w:pPr>
      <w:r>
        <w:rPr>
          <w:rFonts w:hint="eastAsia" w:ascii="宋体" w:hAnsi="宋体" w:eastAsia="宋体" w:cs="宋体"/>
          <w:sz w:val="24"/>
        </w:rPr>
        <w:t xml:space="preserve">                         法定代表人或委托代理人（签字）：</w:t>
      </w:r>
      <w:r>
        <w:rPr>
          <w:rFonts w:hint="eastAsia" w:ascii="宋体" w:hAnsi="宋体" w:eastAsia="宋体" w:cs="宋体"/>
          <w:sz w:val="24"/>
          <w:u w:val="single"/>
        </w:rPr>
        <w:t xml:space="preserve">                </w:t>
      </w:r>
    </w:p>
    <w:p>
      <w:pPr>
        <w:snapToGrid w:val="0"/>
        <w:spacing w:line="500" w:lineRule="exact"/>
        <w:jc w:val="center"/>
        <w:rPr>
          <w:rFonts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line="500" w:lineRule="exact"/>
        <w:jc w:val="center"/>
        <w:rPr>
          <w:rFonts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附件2</w:t>
      </w:r>
      <w:r>
        <w:rPr>
          <w:rFonts w:hint="eastAsia" w:ascii="宋体" w:hAnsi="宋体" w:eastAsia="宋体" w:cs="宋体"/>
          <w:b/>
          <w:sz w:val="24"/>
          <w:lang w:eastAsia="zh-CN"/>
        </w:rPr>
        <w:t>－</w:t>
      </w:r>
      <w:r>
        <w:rPr>
          <w:rFonts w:hint="eastAsia" w:ascii="宋体" w:hAnsi="宋体" w:eastAsia="宋体" w:cs="宋体"/>
          <w:b/>
          <w:sz w:val="24"/>
        </w:rPr>
        <w:t>书面声明函</w:t>
      </w:r>
    </w:p>
    <w:p>
      <w:pPr>
        <w:snapToGrid w:val="0"/>
        <w:spacing w:line="40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致：</w:t>
      </w:r>
      <w:r>
        <w:rPr>
          <w:rFonts w:hint="eastAsia" w:ascii="宋体" w:hAnsi="宋体" w:eastAsia="宋体" w:cs="宋体"/>
          <w:sz w:val="24"/>
        </w:rPr>
        <w:t xml:space="preserve"> </w:t>
      </w:r>
    </w:p>
    <w:p>
      <w:pPr>
        <w:widowControl/>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我们，</w:t>
      </w:r>
      <w:r>
        <w:rPr>
          <w:rFonts w:hint="eastAsia" w:ascii="宋体" w:hAnsi="宋体" w:eastAsia="宋体" w:cs="宋体"/>
          <w:sz w:val="24"/>
          <w:u w:val="single"/>
        </w:rPr>
        <w:t xml:space="preserve">                 </w:t>
      </w:r>
      <w:r>
        <w:rPr>
          <w:rFonts w:hint="eastAsia" w:ascii="宋体" w:hAnsi="宋体" w:eastAsia="宋体" w:cs="宋体"/>
          <w:sz w:val="24"/>
        </w:rPr>
        <w:t>（供应商名称）已认真阅读《政府采购法</w:t>
      </w:r>
      <w:r>
        <w:rPr>
          <w:rFonts w:hint="eastAsia" w:ascii="宋体" w:hAnsi="宋体" w:eastAsia="宋体" w:cs="宋体"/>
          <w:sz w:val="24"/>
          <w:lang w:eastAsia="zh-CN"/>
        </w:rPr>
        <w:t>》《</w:t>
      </w:r>
      <w:r>
        <w:rPr>
          <w:rFonts w:hint="eastAsia" w:ascii="宋体" w:hAnsi="宋体" w:eastAsia="宋体" w:cs="宋体"/>
          <w:sz w:val="24"/>
        </w:rPr>
        <w:t>政府采购法实施条例》以及[</w:t>
      </w:r>
      <w:r>
        <w:rPr>
          <w:rFonts w:hint="eastAsia" w:ascii="宋体" w:hAnsi="宋体" w:eastAsia="宋体" w:cs="宋体"/>
          <w:sz w:val="24"/>
          <w:u w:val="single"/>
        </w:rPr>
        <w:t xml:space="preserve">                        </w:t>
      </w:r>
      <w:r>
        <w:rPr>
          <w:rFonts w:hint="eastAsia" w:ascii="宋体" w:hAnsi="宋体" w:eastAsia="宋体" w:cs="宋体"/>
          <w:sz w:val="24"/>
        </w:rPr>
        <w:t>（项目名称），政府采购项目编号：</w:t>
      </w:r>
      <w:r>
        <w:rPr>
          <w:rFonts w:hint="eastAsia" w:ascii="宋体" w:hAnsi="宋体" w:eastAsia="宋体" w:cs="宋体"/>
          <w:sz w:val="24"/>
          <w:u w:val="single"/>
        </w:rPr>
        <w:t xml:space="preserve">           </w:t>
      </w:r>
      <w:r>
        <w:rPr>
          <w:rFonts w:hint="eastAsia" w:ascii="宋体" w:hAnsi="宋体" w:eastAsia="宋体" w:cs="宋体"/>
          <w:sz w:val="24"/>
        </w:rPr>
        <w:t xml:space="preserve"> ]竞争性磋商文件相关内容，知悉供应商参加政府采购活动应当具备的条件。此次按磋商文件要求提交的供应商资格审查、评审所需证明材料，已经认真核对和检查，全部内容真实、合法、准确和完整，我们对此负责，并愿承担由此引起的法律责任。</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 xml:space="preserve">一、我方在此声明： </w:t>
      </w:r>
    </w:p>
    <w:p>
      <w:pPr>
        <w:adjustRightInd w:val="0"/>
        <w:snapToGrid w:val="0"/>
        <w:spacing w:line="400" w:lineRule="exact"/>
        <w:ind w:firstLine="480" w:firstLineChars="200"/>
        <w:rPr>
          <w:rFonts w:ascii="宋体" w:hAnsi="宋体" w:eastAsia="宋体" w:cs="宋体"/>
          <w:sz w:val="24"/>
          <w:shd w:val="clear" w:color="auto" w:fill="FFFFFF"/>
        </w:rPr>
      </w:pPr>
      <w:r>
        <w:rPr>
          <w:rFonts w:hint="eastAsia" w:ascii="宋体" w:hAnsi="宋体" w:eastAsia="宋体" w:cs="宋体"/>
          <w:sz w:val="24"/>
        </w:rPr>
        <w:t>（一）我方承诺</w:t>
      </w:r>
      <w:r>
        <w:rPr>
          <w:rFonts w:hint="eastAsia" w:ascii="宋体" w:hAnsi="宋体" w:eastAsia="宋体" w:cs="宋体"/>
          <w:sz w:val="24"/>
          <w:shd w:val="clear" w:color="auto" w:fill="FFFFFF"/>
        </w:rPr>
        <w:t>具有良好的商业信誉和健全的</w:t>
      </w:r>
      <w:r>
        <w:fldChar w:fldCharType="begin"/>
      </w:r>
      <w:r>
        <w:instrText xml:space="preserve"> HYPERLINK "http://baike.baidu.com/view/4427954.htm" \t "http://baike.baidu.com/_blank" </w:instrText>
      </w:r>
      <w:r>
        <w:fldChar w:fldCharType="separate"/>
      </w:r>
      <w:r>
        <w:rPr>
          <w:rStyle w:val="22"/>
          <w:rFonts w:hint="eastAsia" w:ascii="宋体" w:hAnsi="宋体" w:eastAsia="宋体" w:cs="宋体"/>
          <w:color w:val="auto"/>
          <w:shd w:val="clear" w:color="auto" w:fill="FFFFFF"/>
        </w:rPr>
        <w:t>财务会计制度</w:t>
      </w:r>
      <w:r>
        <w:rPr>
          <w:rStyle w:val="22"/>
          <w:rFonts w:hint="eastAsia" w:ascii="宋体" w:hAnsi="宋体" w:eastAsia="宋体" w:cs="宋体"/>
          <w:color w:val="auto"/>
          <w:shd w:val="clear" w:color="auto" w:fill="FFFFFF"/>
        </w:rPr>
        <w:fldChar w:fldCharType="end"/>
      </w:r>
      <w:r>
        <w:rPr>
          <w:rFonts w:hint="eastAsia" w:ascii="宋体" w:hAnsi="宋体" w:eastAsia="宋体" w:cs="宋体"/>
          <w:sz w:val="24"/>
          <w:shd w:val="clear" w:color="auto" w:fill="FFFFFF"/>
        </w:rPr>
        <w:t xml:space="preserve">；具有履行合同所必需的设备和专业技术能力；具有依法缴纳税收和社会保障资金的良好记录。   </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（二）我方与参加本项目的其他供应商不存在控股、管理、关联关系，或者与其他供应商法定代表人（或者负责人）为同一人。</w:t>
      </w:r>
    </w:p>
    <w:p>
      <w:pPr>
        <w:snapToGrid w:val="0"/>
        <w:spacing w:line="400" w:lineRule="exact"/>
        <w:ind w:firstLine="480" w:firstLineChars="200"/>
        <w:rPr>
          <w:rFonts w:ascii="宋体" w:hAnsi="宋体" w:eastAsia="宋体" w:cs="宋体"/>
          <w:sz w:val="24"/>
        </w:rPr>
      </w:pPr>
      <w:r>
        <w:rPr>
          <w:rFonts w:hint="eastAsia" w:ascii="宋体" w:hAnsi="宋体" w:eastAsia="宋体" w:cs="宋体"/>
          <w:sz w:val="24"/>
        </w:rPr>
        <w:t>（三）我方以及任何附属机构（单位）没有为本项目提供整体设计、规范编制或者项目管理、监理、检测等服务。</w:t>
      </w:r>
    </w:p>
    <w:p>
      <w:pPr>
        <w:snapToGrid w:val="0"/>
        <w:spacing w:line="400" w:lineRule="exact"/>
        <w:ind w:firstLine="480" w:firstLineChars="200"/>
        <w:rPr>
          <w:rFonts w:ascii="宋体" w:hAnsi="宋体" w:eastAsia="宋体" w:cs="宋体"/>
          <w:sz w:val="24"/>
        </w:rPr>
      </w:pPr>
      <w:r>
        <w:rPr>
          <w:rFonts w:hint="eastAsia" w:ascii="宋体" w:hAnsi="宋体" w:eastAsia="宋体" w:cs="宋体"/>
          <w:sz w:val="24"/>
        </w:rPr>
        <w:t>（四）我方经营及资信状况良好，没有处于财务被接管、破产或其他关、停、并、转状态，具有足够的流动资金承担本项目。</w:t>
      </w:r>
    </w:p>
    <w:p>
      <w:pPr>
        <w:snapToGrid w:val="0"/>
        <w:spacing w:line="400" w:lineRule="exact"/>
        <w:ind w:firstLine="480" w:firstLineChars="200"/>
        <w:rPr>
          <w:rFonts w:ascii="宋体" w:hAnsi="宋体" w:eastAsia="宋体" w:cs="宋体"/>
          <w:sz w:val="24"/>
        </w:rPr>
      </w:pPr>
      <w:r>
        <w:rPr>
          <w:rFonts w:hint="eastAsia" w:ascii="宋体" w:hAnsi="宋体" w:eastAsia="宋体" w:cs="宋体"/>
          <w:sz w:val="24"/>
        </w:rPr>
        <w:t>（五）我方未被列入中国政府采购网发布的“政府采购严重违法失信行为记录名单”（以本项目磋商会议当天正在公示的名单为准）</w:t>
      </w:r>
    </w:p>
    <w:p>
      <w:pPr>
        <w:snapToGrid w:val="0"/>
        <w:spacing w:line="400" w:lineRule="exact"/>
        <w:ind w:firstLine="480" w:firstLineChars="200"/>
        <w:rPr>
          <w:rFonts w:ascii="宋体" w:hAnsi="宋体" w:eastAsia="宋体" w:cs="宋体"/>
          <w:sz w:val="24"/>
        </w:rPr>
      </w:pPr>
      <w:r>
        <w:rPr>
          <w:rFonts w:hint="eastAsia" w:ascii="宋体" w:hAnsi="宋体" w:eastAsia="宋体" w:cs="宋体"/>
          <w:sz w:val="24"/>
        </w:rPr>
        <w:t>（六）到本项目磋商会议当天，我方未因违法经营被禁止参加政府采购活动。</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（七）到本项目磋商会议当天，我方未被列入全国企业信用信息公示系统中的经营异常名录或者严重违法企业名单。</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二、我方声明参加此次政府采购活动前3年内（以本项目磋商会议日期往前计算）在经营活动中没有下列重大违法记录：</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（一）因违法经营受到刑事处罚或者责令停产停业、吊销许可证或者执照、较大数额罚款等行政处罚。</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（二）财政部门等相关行政主管部门认定的其他重大违法记录。</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三、我方以上声明都是真实、有效的。否则将承担《政府采购法》第七十七条的法律责任。</w:t>
      </w:r>
    </w:p>
    <w:p>
      <w:pPr>
        <w:snapToGrid w:val="0"/>
        <w:spacing w:line="400" w:lineRule="exact"/>
        <w:ind w:firstLine="3000" w:firstLineChars="1250"/>
        <w:rPr>
          <w:rFonts w:ascii="宋体" w:hAnsi="宋体" w:eastAsia="宋体" w:cs="宋体"/>
          <w:sz w:val="24"/>
        </w:rPr>
      </w:pPr>
    </w:p>
    <w:p>
      <w:pPr>
        <w:snapToGrid w:val="0"/>
        <w:spacing w:line="400" w:lineRule="exact"/>
        <w:ind w:firstLine="3000" w:firstLineChars="1250"/>
        <w:rPr>
          <w:rFonts w:ascii="宋体" w:hAnsi="宋体" w:eastAsia="宋体" w:cs="宋体"/>
          <w:sz w:val="24"/>
          <w:u w:val="single"/>
        </w:rPr>
      </w:pPr>
      <w:r>
        <w:rPr>
          <w:rFonts w:hint="eastAsia" w:ascii="宋体" w:hAnsi="宋体" w:eastAsia="宋体" w:cs="宋体"/>
          <w:sz w:val="24"/>
        </w:rPr>
        <w:t>供应商名称（盖单位公章）：</w:t>
      </w:r>
      <w:r>
        <w:rPr>
          <w:rFonts w:hint="eastAsia" w:ascii="宋体" w:hAnsi="宋体" w:eastAsia="宋体" w:cs="宋体"/>
          <w:sz w:val="24"/>
          <w:u w:val="single"/>
        </w:rPr>
        <w:t xml:space="preserve">                    </w:t>
      </w:r>
    </w:p>
    <w:p>
      <w:pPr>
        <w:snapToGrid w:val="0"/>
        <w:spacing w:line="400" w:lineRule="exact"/>
        <w:rPr>
          <w:rFonts w:ascii="宋体" w:hAnsi="宋体" w:eastAsia="宋体" w:cs="宋体"/>
          <w:sz w:val="24"/>
          <w:u w:val="single"/>
        </w:rPr>
      </w:pPr>
      <w:r>
        <w:rPr>
          <w:rFonts w:hint="eastAsia" w:ascii="宋体" w:hAnsi="宋体" w:eastAsia="宋体" w:cs="宋体"/>
          <w:sz w:val="24"/>
        </w:rPr>
        <w:t xml:space="preserve">                         法定代表人或委托代理人（签字）：</w:t>
      </w:r>
      <w:r>
        <w:rPr>
          <w:rFonts w:hint="eastAsia" w:ascii="宋体" w:hAnsi="宋体" w:eastAsia="宋体" w:cs="宋体"/>
          <w:sz w:val="24"/>
          <w:u w:val="single"/>
        </w:rPr>
        <w:t xml:space="preserve">                </w:t>
      </w:r>
    </w:p>
    <w:p>
      <w:pPr>
        <w:snapToGrid w:val="0"/>
        <w:spacing w:line="400" w:lineRule="exact"/>
        <w:ind w:firstLine="3000" w:firstLineChars="1250"/>
        <w:rPr>
          <w:rFonts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cs="宋体"/>
          <w:sz w:val="28"/>
        </w:rPr>
        <w:sectPr>
          <w:footerReference r:id="rId14" w:type="first"/>
          <w:footerReference r:id="rId13" w:type="default"/>
          <w:pgSz w:w="11906" w:h="16838"/>
          <w:pgMar w:top="935" w:right="986" w:bottom="1091" w:left="1365" w:header="964" w:footer="850" w:gutter="0"/>
          <w:cols w:space="720" w:num="1"/>
          <w:titlePg/>
          <w:docGrid w:type="lines" w:linePitch="312" w:charSpace="0"/>
        </w:sectPr>
      </w:pPr>
    </w:p>
    <w:bookmarkEnd w:id="237"/>
    <w:bookmarkEnd w:id="238"/>
    <w:bookmarkEnd w:id="239"/>
    <w:p>
      <w:pPr>
        <w:spacing w:line="360" w:lineRule="auto"/>
        <w:ind w:firstLine="548" w:firstLineChars="196"/>
        <w:jc w:val="center"/>
        <w:rPr>
          <w:rFonts w:hint="eastAsia" w:ascii="宋体" w:hAnsi="宋体" w:eastAsia="仿宋_GB2312" w:cs="宋体"/>
          <w:b/>
          <w:color w:val="auto"/>
          <w:sz w:val="28"/>
          <w:szCs w:val="28"/>
          <w:highlight w:val="none"/>
          <w:lang w:val="en-US" w:eastAsia="zh-CN"/>
        </w:rPr>
      </w:pPr>
      <w:r>
        <w:rPr>
          <w:rFonts w:hint="eastAsia" w:ascii="宋体" w:hAnsi="宋体" w:eastAsia="宋体" w:cs="宋体"/>
          <w:b/>
          <w:color w:val="auto"/>
          <w:sz w:val="28"/>
          <w:szCs w:val="28"/>
          <w:highlight w:val="none"/>
        </w:rPr>
        <w:t>二、</w:t>
      </w:r>
      <w:r>
        <w:rPr>
          <w:rFonts w:hint="eastAsia" w:ascii="Times New Roman" w:eastAsia="宋体"/>
          <w:color w:val="auto"/>
          <w:highlight w:val="none"/>
        </w:rPr>
        <w:t>磋商</w:t>
      </w:r>
      <w:r>
        <w:rPr>
          <w:rFonts w:ascii="Times New Roman"/>
          <w:color w:val="auto"/>
          <w:highlight w:val="none"/>
        </w:rPr>
        <w:t>一览表</w:t>
      </w:r>
      <w:r>
        <w:rPr>
          <w:rFonts w:hint="eastAsia" w:ascii="Times New Roman"/>
          <w:color w:val="auto"/>
          <w:highlight w:val="none"/>
          <w:lang w:eastAsia="zh-CN"/>
        </w:rPr>
        <w:t>（</w:t>
      </w:r>
      <w:r>
        <w:rPr>
          <w:rFonts w:hint="eastAsia" w:ascii="Times New Roman"/>
          <w:color w:val="auto"/>
          <w:highlight w:val="none"/>
          <w:lang w:val="en-US" w:eastAsia="zh-CN"/>
        </w:rPr>
        <w:t>根据所投包号，自拟格式）</w:t>
      </w:r>
    </w:p>
    <w:p>
      <w:pPr>
        <w:pStyle w:val="5"/>
        <w:ind w:firstLine="482"/>
        <w:rPr>
          <w:rFonts w:ascii="Times New Roman" w:hAnsi="Times New Roman"/>
          <w:color w:val="auto"/>
          <w:highlight w:val="none"/>
        </w:rPr>
      </w:pPr>
      <w:bookmarkStart w:id="240" w:name="_Toc480963871"/>
      <w:r>
        <w:rPr>
          <w:rFonts w:hint="eastAsia" w:cs="宋体"/>
          <w:color w:val="auto"/>
          <w:sz w:val="24"/>
          <w:szCs w:val="24"/>
          <w:highlight w:val="none"/>
        </w:rPr>
        <w:t>首轮报价□</w:t>
      </w:r>
      <w:bookmarkEnd w:id="240"/>
      <w:bookmarkStart w:id="241" w:name="_Toc2324"/>
      <w:bookmarkStart w:id="242" w:name="_Toc1453"/>
      <w:bookmarkStart w:id="243" w:name="_Toc26882"/>
      <w:bookmarkStart w:id="244" w:name="_Toc509511561"/>
    </w:p>
    <w:p>
      <w:pPr>
        <w:spacing w:before="100" w:beforeAutospacing="1" w:after="100" w:afterAutospacing="1" w:line="276" w:lineRule="auto"/>
        <w:rPr>
          <w:rFonts w:ascii="Times New Roman"/>
          <w:b/>
          <w:color w:val="auto"/>
          <w:spacing w:val="10"/>
          <w:highlight w:val="none"/>
          <w:u w:val="single"/>
        </w:rPr>
      </w:pPr>
      <w:r>
        <w:rPr>
          <w:rFonts w:ascii="Times New Roman"/>
          <w:color w:val="auto"/>
          <w:spacing w:val="4"/>
          <w:highlight w:val="none"/>
        </w:rPr>
        <w:t>项目名称：</w:t>
      </w:r>
      <w:r>
        <w:rPr>
          <w:rFonts w:ascii="Times New Roman"/>
          <w:b/>
          <w:color w:val="auto"/>
          <w:spacing w:val="10"/>
          <w:highlight w:val="none"/>
          <w:u w:val="single"/>
        </w:rPr>
        <w:t>　　　　　　</w:t>
      </w:r>
      <w:r>
        <w:rPr>
          <w:rFonts w:ascii="Times New Roman"/>
          <w:color w:val="auto"/>
          <w:highlight w:val="none"/>
        </w:rPr>
        <w:t>项目编号</w:t>
      </w:r>
      <w:r>
        <w:rPr>
          <w:rFonts w:ascii="Times New Roman"/>
          <w:bCs/>
          <w:color w:val="auto"/>
          <w:highlight w:val="none"/>
        </w:rPr>
        <w:t>：</w:t>
      </w:r>
      <w:r>
        <w:rPr>
          <w:rFonts w:ascii="Times New Roman"/>
          <w:b/>
          <w:color w:val="auto"/>
          <w:spacing w:val="10"/>
          <w:highlight w:val="none"/>
          <w:u w:val="single"/>
        </w:rPr>
        <w:t>　　　　　　</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18"/>
        <w:gridCol w:w="53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3718" w:type="dxa"/>
            <w:vAlign w:val="center"/>
          </w:tcPr>
          <w:p>
            <w:pPr>
              <w:spacing w:line="360" w:lineRule="auto"/>
              <w:jc w:val="center"/>
              <w:rPr>
                <w:rFonts w:ascii="新宋体" w:hAnsi="新宋体" w:eastAsia="新宋体"/>
                <w:color w:val="auto"/>
                <w:spacing w:val="20"/>
                <w:sz w:val="24"/>
                <w:highlight w:val="none"/>
              </w:rPr>
            </w:pPr>
            <w:r>
              <w:rPr>
                <w:rFonts w:hint="eastAsia" w:ascii="Times New Roman" w:eastAsia="新宋体"/>
                <w:color w:val="auto"/>
                <w:highlight w:val="none"/>
              </w:rPr>
              <w:t>供应商名称</w:t>
            </w:r>
          </w:p>
        </w:tc>
        <w:tc>
          <w:tcPr>
            <w:tcW w:w="5390" w:type="dxa"/>
            <w:vAlign w:val="center"/>
          </w:tcPr>
          <w:p>
            <w:pPr>
              <w:spacing w:line="360" w:lineRule="auto"/>
              <w:jc w:val="center"/>
              <w:rPr>
                <w:rFonts w:ascii="新宋体" w:hAnsi="新宋体" w:eastAsia="新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3718" w:type="dxa"/>
            <w:vAlign w:val="center"/>
          </w:tcPr>
          <w:p>
            <w:pPr>
              <w:spacing w:line="360" w:lineRule="auto"/>
              <w:jc w:val="center"/>
              <w:rPr>
                <w:rFonts w:ascii="Times New Roman" w:eastAsia="新宋体"/>
                <w:color w:val="auto"/>
                <w:highlight w:val="none"/>
              </w:rPr>
            </w:pPr>
            <w:r>
              <w:rPr>
                <w:rFonts w:hint="eastAsia" w:ascii="Times New Roman" w:eastAsia="新宋体"/>
                <w:color w:val="auto"/>
                <w:highlight w:val="none"/>
              </w:rPr>
              <w:t>投标报价</w:t>
            </w:r>
            <w:r>
              <w:rPr>
                <w:rFonts w:hint="eastAsia" w:ascii="Times New Roman" w:eastAsia="新宋体"/>
                <w:color w:val="auto"/>
                <w:highlight w:val="none"/>
                <w:lang w:eastAsia="zh-CN"/>
              </w:rPr>
              <w:t>（综合折扣率）</w:t>
            </w:r>
            <w:r>
              <w:rPr>
                <w:rFonts w:hint="eastAsia" w:ascii="Times New Roman" w:eastAsia="新宋体"/>
                <w:color w:val="auto"/>
                <w:highlight w:val="none"/>
              </w:rPr>
              <w:t xml:space="preserve"> </w:t>
            </w:r>
          </w:p>
        </w:tc>
        <w:tc>
          <w:tcPr>
            <w:tcW w:w="5390" w:type="dxa"/>
            <w:vAlign w:val="center"/>
          </w:tcPr>
          <w:p>
            <w:pPr>
              <w:spacing w:line="360" w:lineRule="auto"/>
              <w:jc w:val="center"/>
              <w:rPr>
                <w:rFonts w:ascii="新宋体" w:hAnsi="新宋体" w:eastAsia="新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3718" w:type="dxa"/>
            <w:vAlign w:val="center"/>
          </w:tcPr>
          <w:p>
            <w:pPr>
              <w:spacing w:line="360" w:lineRule="auto"/>
              <w:jc w:val="center"/>
              <w:rPr>
                <w:rFonts w:ascii="Times New Roman" w:eastAsia="新宋体"/>
                <w:color w:val="auto"/>
                <w:highlight w:val="none"/>
              </w:rPr>
            </w:pPr>
            <w:r>
              <w:rPr>
                <w:rFonts w:hint="eastAsia" w:ascii="Times New Roman" w:eastAsia="新宋体"/>
                <w:color w:val="auto"/>
                <w:highlight w:val="none"/>
              </w:rPr>
              <w:t>供货期</w:t>
            </w:r>
          </w:p>
        </w:tc>
        <w:tc>
          <w:tcPr>
            <w:tcW w:w="5390" w:type="dxa"/>
            <w:vAlign w:val="center"/>
          </w:tcPr>
          <w:p>
            <w:pPr>
              <w:spacing w:line="360" w:lineRule="auto"/>
              <w:jc w:val="center"/>
              <w:rPr>
                <w:rFonts w:ascii="新宋体" w:hAnsi="新宋体" w:eastAsia="新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3718" w:type="dxa"/>
            <w:vAlign w:val="center"/>
          </w:tcPr>
          <w:p>
            <w:pPr>
              <w:spacing w:line="360" w:lineRule="auto"/>
              <w:jc w:val="center"/>
              <w:rPr>
                <w:rFonts w:ascii="Times New Roman" w:eastAsia="新宋体"/>
                <w:color w:val="auto"/>
                <w:highlight w:val="none"/>
              </w:rPr>
            </w:pPr>
            <w:r>
              <w:rPr>
                <w:rFonts w:hint="eastAsia" w:ascii="Times New Roman" w:eastAsia="新宋体"/>
                <w:color w:val="auto"/>
                <w:highlight w:val="none"/>
              </w:rPr>
              <w:t>质保期</w:t>
            </w:r>
          </w:p>
        </w:tc>
        <w:tc>
          <w:tcPr>
            <w:tcW w:w="5390" w:type="dxa"/>
            <w:vAlign w:val="center"/>
          </w:tcPr>
          <w:p>
            <w:pPr>
              <w:spacing w:line="360" w:lineRule="auto"/>
              <w:jc w:val="center"/>
              <w:rPr>
                <w:rFonts w:ascii="新宋体" w:hAnsi="新宋体" w:eastAsia="新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371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拟派项目负责人</w:t>
            </w:r>
          </w:p>
          <w:p>
            <w:pPr>
              <w:spacing w:line="360" w:lineRule="auto"/>
              <w:jc w:val="center"/>
              <w:rPr>
                <w:rFonts w:ascii="Times New Roman" w:eastAsia="新宋体"/>
                <w:color w:val="auto"/>
                <w:highlight w:val="none"/>
              </w:rPr>
            </w:pPr>
            <w:r>
              <w:rPr>
                <w:rFonts w:hint="eastAsia" w:ascii="宋体" w:hAnsi="宋体"/>
                <w:color w:val="auto"/>
                <w:sz w:val="24"/>
                <w:highlight w:val="none"/>
              </w:rPr>
              <w:t>（</w:t>
            </w:r>
            <w:r>
              <w:rPr>
                <w:rFonts w:hint="eastAsia"/>
                <w:color w:val="auto"/>
                <w:highlight w:val="none"/>
              </w:rPr>
              <w:t>姓名及身份证</w:t>
            </w:r>
            <w:r>
              <w:rPr>
                <w:rFonts w:hint="eastAsia" w:ascii="宋体" w:hAnsi="宋体"/>
                <w:color w:val="auto"/>
                <w:sz w:val="24"/>
                <w:highlight w:val="none"/>
              </w:rPr>
              <w:t>）</w:t>
            </w:r>
          </w:p>
        </w:tc>
        <w:tc>
          <w:tcPr>
            <w:tcW w:w="5390" w:type="dxa"/>
            <w:vAlign w:val="center"/>
          </w:tcPr>
          <w:p>
            <w:pPr>
              <w:widowControl/>
              <w:jc w:val="center"/>
              <w:rPr>
                <w:rFonts w:ascii="新宋体" w:hAnsi="新宋体" w:eastAsia="新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3718" w:type="dxa"/>
            <w:vAlign w:val="center"/>
          </w:tcPr>
          <w:p>
            <w:pPr>
              <w:spacing w:line="360" w:lineRule="auto"/>
              <w:jc w:val="center"/>
              <w:rPr>
                <w:rFonts w:ascii="Times New Roman" w:eastAsia="新宋体"/>
                <w:color w:val="auto"/>
                <w:highlight w:val="none"/>
              </w:rPr>
            </w:pPr>
            <w:r>
              <w:rPr>
                <w:rFonts w:hint="eastAsia" w:ascii="Times New Roman" w:eastAsia="新宋体"/>
                <w:color w:val="auto"/>
                <w:highlight w:val="none"/>
              </w:rPr>
              <w:t>所投包号</w:t>
            </w:r>
          </w:p>
        </w:tc>
        <w:tc>
          <w:tcPr>
            <w:tcW w:w="5390" w:type="dxa"/>
            <w:vAlign w:val="center"/>
          </w:tcPr>
          <w:p>
            <w:pPr>
              <w:spacing w:line="360" w:lineRule="auto"/>
              <w:jc w:val="left"/>
              <w:rPr>
                <w:rFonts w:ascii="宋体" w:hAnsi="宋体" w:eastAsia="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3718" w:type="dxa"/>
            <w:vAlign w:val="center"/>
          </w:tcPr>
          <w:p>
            <w:pPr>
              <w:spacing w:line="360" w:lineRule="auto"/>
              <w:jc w:val="center"/>
              <w:rPr>
                <w:rFonts w:ascii="Times New Roman" w:eastAsia="新宋体"/>
                <w:color w:val="auto"/>
                <w:highlight w:val="none"/>
              </w:rPr>
            </w:pPr>
            <w:r>
              <w:rPr>
                <w:rFonts w:hint="eastAsia" w:ascii="Times New Roman" w:eastAsia="新宋体"/>
                <w:color w:val="auto"/>
                <w:highlight w:val="none"/>
              </w:rPr>
              <w:t>备注</w:t>
            </w:r>
          </w:p>
        </w:tc>
        <w:tc>
          <w:tcPr>
            <w:tcW w:w="5390" w:type="dxa"/>
            <w:vAlign w:val="center"/>
          </w:tcPr>
          <w:p>
            <w:pPr>
              <w:widowControl/>
              <w:jc w:val="center"/>
              <w:rPr>
                <w:rFonts w:ascii="新宋体" w:hAnsi="新宋体" w:eastAsia="新宋体"/>
                <w:color w:val="auto"/>
                <w:spacing w:val="20"/>
                <w:sz w:val="24"/>
                <w:highlight w:val="none"/>
              </w:rPr>
            </w:pPr>
          </w:p>
        </w:tc>
      </w:tr>
    </w:tbl>
    <w:p>
      <w:pPr>
        <w:tabs>
          <w:tab w:val="left" w:pos="375"/>
        </w:tabs>
        <w:spacing w:line="360" w:lineRule="auto"/>
        <w:rPr>
          <w:rFonts w:ascii="Times New Roman"/>
          <w:color w:val="auto"/>
          <w:highlight w:val="none"/>
        </w:rPr>
      </w:pPr>
    </w:p>
    <w:p>
      <w:pPr>
        <w:widowControl/>
        <w:jc w:val="left"/>
        <w:rPr>
          <w:color w:val="auto"/>
          <w:highlight w:val="none"/>
        </w:rPr>
      </w:pPr>
      <w:r>
        <w:rPr>
          <w:rFonts w:hint="eastAsia" w:ascii="宋体" w:hAnsi="宋体" w:eastAsia="宋体" w:cs="宋体"/>
          <w:color w:val="auto"/>
          <w:sz w:val="20"/>
          <w:highlight w:val="none"/>
          <w:lang w:bidi="ar"/>
        </w:rPr>
        <w:t xml:space="preserve">说明： </w:t>
      </w:r>
    </w:p>
    <w:p>
      <w:pPr>
        <w:widowControl/>
        <w:numPr>
          <w:ilvl w:val="0"/>
          <w:numId w:val="7"/>
        </w:numPr>
        <w:jc w:val="left"/>
        <w:rPr>
          <w:rFonts w:hint="eastAsia" w:ascii="宋体" w:hAnsi="宋体" w:eastAsia="宋体" w:cs="宋体"/>
          <w:color w:val="auto"/>
          <w:sz w:val="20"/>
          <w:highlight w:val="none"/>
          <w:lang w:bidi="ar"/>
        </w:rPr>
      </w:pPr>
      <w:r>
        <w:rPr>
          <w:rFonts w:hint="eastAsia" w:ascii="宋体" w:hAnsi="宋体" w:eastAsia="宋体" w:cs="宋体"/>
          <w:color w:val="auto"/>
          <w:sz w:val="20"/>
          <w:highlight w:val="none"/>
          <w:lang w:bidi="ar"/>
        </w:rPr>
        <w:t>价格应按照</w:t>
      </w:r>
      <w:r>
        <w:rPr>
          <w:rFonts w:hint="eastAsia" w:ascii="宋体" w:hAnsi="宋体" w:cs="宋体"/>
          <w:color w:val="auto"/>
          <w:sz w:val="20"/>
          <w:highlight w:val="none"/>
          <w:lang w:bidi="ar"/>
        </w:rPr>
        <w:t>采购</w:t>
      </w:r>
      <w:r>
        <w:rPr>
          <w:rFonts w:hint="eastAsia" w:ascii="宋体" w:hAnsi="宋体" w:eastAsia="宋体" w:cs="宋体"/>
          <w:color w:val="auto"/>
          <w:sz w:val="20"/>
          <w:highlight w:val="none"/>
          <w:lang w:bidi="ar"/>
        </w:rPr>
        <w:t>文件规定的报价要求进行报价。</w:t>
      </w:r>
    </w:p>
    <w:p>
      <w:pPr>
        <w:widowControl/>
        <w:numPr>
          <w:ilvl w:val="0"/>
          <w:numId w:val="7"/>
        </w:numPr>
        <w:jc w:val="left"/>
        <w:rPr>
          <w:rFonts w:hint="eastAsia" w:ascii="宋体" w:hAnsi="宋体" w:eastAsia="宋体" w:cs="宋体"/>
          <w:color w:val="auto"/>
          <w:sz w:val="20"/>
          <w:highlight w:val="none"/>
          <w:lang w:bidi="ar"/>
        </w:rPr>
      </w:pPr>
      <w:r>
        <w:rPr>
          <w:rFonts w:hint="eastAsia" w:ascii="宋体" w:hAnsi="宋体" w:eastAsia="宋体" w:cs="宋体"/>
          <w:color w:val="auto"/>
          <w:sz w:val="20"/>
          <w:highlight w:val="none"/>
          <w:lang w:eastAsia="zh-CN" w:bidi="ar"/>
        </w:rPr>
        <w:t>一包报价为：综合折扣率（</w:t>
      </w:r>
      <w:r>
        <w:rPr>
          <w:rFonts w:hint="eastAsia" w:ascii="宋体" w:hAnsi="宋体" w:eastAsia="宋体" w:cs="宋体"/>
          <w:color w:val="auto"/>
          <w:sz w:val="20"/>
          <w:highlight w:val="none"/>
          <w:lang w:val="en-US" w:eastAsia="zh-CN" w:bidi="ar"/>
        </w:rPr>
        <w:t>%）</w:t>
      </w:r>
    </w:p>
    <w:p>
      <w:pPr>
        <w:widowControl/>
        <w:numPr>
          <w:ilvl w:val="0"/>
          <w:numId w:val="7"/>
        </w:numPr>
        <w:jc w:val="left"/>
        <w:rPr>
          <w:rFonts w:hint="default" w:ascii="宋体" w:hAnsi="宋体" w:eastAsia="宋体" w:cs="宋体"/>
          <w:color w:val="auto"/>
          <w:sz w:val="20"/>
          <w:highlight w:val="none"/>
          <w:u w:val="none"/>
          <w:lang w:val="en-US" w:eastAsia="zh-CN" w:bidi="ar"/>
        </w:rPr>
      </w:pPr>
      <w:r>
        <w:rPr>
          <w:rFonts w:hint="eastAsia" w:ascii="宋体" w:hAnsi="宋体" w:eastAsia="宋体" w:cs="宋体"/>
          <w:color w:val="auto"/>
          <w:sz w:val="20"/>
          <w:highlight w:val="none"/>
          <w:lang w:val="en-US" w:eastAsia="zh-CN" w:bidi="ar"/>
        </w:rPr>
        <w:t>二包为：投标报价人民币</w:t>
      </w:r>
      <w:r>
        <w:rPr>
          <w:rFonts w:hint="eastAsia" w:ascii="宋体" w:hAnsi="宋体" w:eastAsia="宋体" w:cs="宋体"/>
          <w:color w:val="auto"/>
          <w:sz w:val="20"/>
          <w:highlight w:val="none"/>
          <w:u w:val="single"/>
          <w:lang w:val="en-US" w:eastAsia="zh-CN" w:bidi="ar"/>
        </w:rPr>
        <w:t xml:space="preserve">      </w:t>
      </w:r>
      <w:r>
        <w:rPr>
          <w:rFonts w:hint="eastAsia" w:ascii="宋体" w:hAnsi="宋体" w:eastAsia="宋体" w:cs="宋体"/>
          <w:color w:val="auto"/>
          <w:sz w:val="20"/>
          <w:highlight w:val="none"/>
          <w:u w:val="none"/>
          <w:lang w:val="en-US" w:eastAsia="zh-CN" w:bidi="ar"/>
        </w:rPr>
        <w:t>元。</w:t>
      </w:r>
    </w:p>
    <w:p>
      <w:pPr>
        <w:ind w:left="2"/>
        <w:rPr>
          <w:rFonts w:ascii="Times New Roman"/>
          <w:color w:val="auto"/>
          <w:spacing w:val="4"/>
          <w:highlight w:val="none"/>
        </w:rPr>
      </w:pPr>
    </w:p>
    <w:p>
      <w:pPr>
        <w:spacing w:line="500" w:lineRule="exact"/>
        <w:ind w:firstLine="960" w:firstLineChars="300"/>
        <w:jc w:val="both"/>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spacing w:line="500" w:lineRule="exact"/>
        <w:jc w:val="right"/>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w:t>
      </w:r>
      <w:r>
        <w:rPr>
          <w:rFonts w:ascii="宋体" w:hAnsi="宋体"/>
          <w:color w:val="auto"/>
          <w:szCs w:val="21"/>
          <w:highlight w:val="none"/>
        </w:rPr>
        <w:t>人</w:t>
      </w:r>
      <w:r>
        <w:rPr>
          <w:rFonts w:hint="eastAsia" w:ascii="宋体" w:hAnsi="宋体"/>
          <w:color w:val="auto"/>
          <w:szCs w:val="21"/>
          <w:highlight w:val="none"/>
        </w:rPr>
        <w:t>或其委托代理人：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widowControl/>
        <w:spacing w:line="500" w:lineRule="exact"/>
        <w:jc w:val="right"/>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bookmarkStart w:id="245" w:name="_Toc494470443"/>
      <w:bookmarkStart w:id="246" w:name="_Toc533498079"/>
    </w:p>
    <w:bookmarkEnd w:id="245"/>
    <w:bookmarkEnd w:id="246"/>
    <w:p>
      <w:pPr>
        <w:pStyle w:val="5"/>
        <w:ind w:firstLine="643"/>
        <w:rPr>
          <w:rFonts w:ascii="Times New Roman" w:hAnsi="Times New Roman"/>
          <w:highlight w:val="none"/>
        </w:rPr>
      </w:pPr>
      <w:bookmarkStart w:id="247" w:name="_Toc533498080"/>
      <w:r>
        <w:rPr>
          <w:rFonts w:ascii="Times New Roman" w:hAnsi="Times New Roman"/>
          <w:highlight w:val="none"/>
        </w:rPr>
        <w:t>3、</w:t>
      </w:r>
      <w:bookmarkEnd w:id="247"/>
      <w:r>
        <w:rPr>
          <w:rFonts w:hint="eastAsia" w:ascii="Times New Roman" w:hAnsi="Times New Roman"/>
          <w:highlight w:val="none"/>
        </w:rPr>
        <w:t>分项报价表（如有）</w:t>
      </w:r>
    </w:p>
    <w:p>
      <w:pPr>
        <w:widowControl/>
        <w:jc w:val="left"/>
        <w:rPr>
          <w:rFonts w:ascii="宋体" w:hAnsi="宋体" w:eastAsia="宋体" w:cs="宋体"/>
          <w:color w:val="000000"/>
          <w:sz w:val="21"/>
          <w:szCs w:val="21"/>
          <w:highlight w:val="none"/>
          <w:lang w:bidi="ar"/>
        </w:rPr>
      </w:pPr>
    </w:p>
    <w:p>
      <w:pPr>
        <w:widowControl/>
        <w:spacing w:line="500" w:lineRule="exact"/>
        <w:rPr>
          <w:rFonts w:ascii="宋体" w:hAnsi="宋体"/>
          <w:szCs w:val="21"/>
          <w:highlight w:val="none"/>
          <w:u w:val="single"/>
        </w:rPr>
      </w:pPr>
      <w:r>
        <w:rPr>
          <w:rFonts w:hint="eastAsia" w:ascii="宋体" w:hAnsi="宋体"/>
          <w:szCs w:val="21"/>
          <w:highlight w:val="none"/>
        </w:rPr>
        <w:t>项目</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widowControl/>
        <w:spacing w:line="500" w:lineRule="exact"/>
        <w:rPr>
          <w:rFonts w:ascii="宋体" w:hAnsi="宋体"/>
          <w:szCs w:val="21"/>
          <w:highlight w:val="none"/>
        </w:rPr>
      </w:pPr>
      <w:r>
        <w:rPr>
          <w:rFonts w:hint="eastAsia" w:ascii="宋体" w:hAnsi="宋体"/>
          <w:szCs w:val="21"/>
          <w:highlight w:val="none"/>
        </w:rPr>
        <w:t>项目</w:t>
      </w:r>
      <w:r>
        <w:rPr>
          <w:rFonts w:ascii="宋体" w:hAnsi="宋体"/>
          <w:szCs w:val="21"/>
          <w:highlight w:val="none"/>
        </w:rPr>
        <w:t>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货币单位：元人民币</w:t>
      </w:r>
    </w:p>
    <w:tbl>
      <w:tblPr>
        <w:tblStyle w:val="18"/>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36"/>
        <w:gridCol w:w="1050"/>
        <w:gridCol w:w="976"/>
        <w:gridCol w:w="914"/>
        <w:gridCol w:w="864"/>
        <w:gridCol w:w="865"/>
        <w:gridCol w:w="901"/>
        <w:gridCol w:w="86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848" w:type="dxa"/>
            <w:vAlign w:val="center"/>
          </w:tcPr>
          <w:p>
            <w:pPr>
              <w:widowControl/>
              <w:spacing w:line="500" w:lineRule="exact"/>
              <w:jc w:val="center"/>
              <w:rPr>
                <w:rFonts w:ascii="宋体" w:hAnsi="宋体"/>
                <w:szCs w:val="21"/>
                <w:highlight w:val="none"/>
              </w:rPr>
            </w:pPr>
            <w:bookmarkStart w:id="248" w:name="_Toc16907"/>
            <w:bookmarkStart w:id="249" w:name="_Toc5286"/>
            <w:bookmarkStart w:id="250" w:name="_Toc17492"/>
            <w:bookmarkStart w:id="251" w:name="_Toc15565"/>
            <w:r>
              <w:rPr>
                <w:rFonts w:hint="eastAsia" w:ascii="宋体" w:hAnsi="宋体"/>
                <w:szCs w:val="21"/>
                <w:highlight w:val="none"/>
              </w:rPr>
              <w:t>序号</w:t>
            </w:r>
            <w:bookmarkEnd w:id="248"/>
            <w:bookmarkEnd w:id="249"/>
            <w:bookmarkEnd w:id="250"/>
            <w:bookmarkEnd w:id="251"/>
          </w:p>
        </w:tc>
        <w:tc>
          <w:tcPr>
            <w:tcW w:w="1236" w:type="dxa"/>
            <w:vAlign w:val="center"/>
          </w:tcPr>
          <w:p>
            <w:pPr>
              <w:widowControl/>
              <w:spacing w:line="500" w:lineRule="exact"/>
              <w:jc w:val="center"/>
              <w:rPr>
                <w:rFonts w:ascii="宋体" w:hAnsi="宋体"/>
                <w:szCs w:val="21"/>
                <w:highlight w:val="none"/>
              </w:rPr>
            </w:pPr>
            <w:bookmarkStart w:id="252" w:name="_Toc14668"/>
            <w:r>
              <w:rPr>
                <w:rFonts w:hint="eastAsia" w:ascii="宋体" w:hAnsi="宋体"/>
                <w:szCs w:val="21"/>
                <w:highlight w:val="none"/>
              </w:rPr>
              <w:t>货物名称</w:t>
            </w:r>
            <w:bookmarkEnd w:id="252"/>
          </w:p>
        </w:tc>
        <w:tc>
          <w:tcPr>
            <w:tcW w:w="1050" w:type="dxa"/>
            <w:vAlign w:val="center"/>
          </w:tcPr>
          <w:p>
            <w:pPr>
              <w:widowControl/>
              <w:spacing w:line="500" w:lineRule="exact"/>
              <w:jc w:val="center"/>
              <w:rPr>
                <w:rFonts w:ascii="宋体" w:hAnsi="宋体" w:eastAsia="宋体"/>
                <w:szCs w:val="21"/>
                <w:highlight w:val="none"/>
              </w:rPr>
            </w:pPr>
            <w:bookmarkStart w:id="253" w:name="_Toc8147"/>
            <w:bookmarkStart w:id="254" w:name="_Toc21577"/>
            <w:bookmarkStart w:id="255" w:name="_Toc17019"/>
            <w:bookmarkStart w:id="256" w:name="_Toc15338"/>
            <w:r>
              <w:rPr>
                <w:rFonts w:hint="eastAsia" w:ascii="宋体" w:hAnsi="宋体"/>
                <w:szCs w:val="21"/>
                <w:highlight w:val="none"/>
              </w:rPr>
              <w:t>规格</w:t>
            </w:r>
            <w:bookmarkEnd w:id="253"/>
            <w:bookmarkEnd w:id="254"/>
            <w:bookmarkEnd w:id="255"/>
            <w:bookmarkEnd w:id="256"/>
            <w:r>
              <w:rPr>
                <w:rFonts w:hint="eastAsia" w:ascii="宋体" w:hAnsi="宋体"/>
                <w:szCs w:val="21"/>
                <w:highlight w:val="none"/>
              </w:rPr>
              <w:t>型号</w:t>
            </w:r>
          </w:p>
        </w:tc>
        <w:tc>
          <w:tcPr>
            <w:tcW w:w="976" w:type="dxa"/>
            <w:vAlign w:val="center"/>
          </w:tcPr>
          <w:p>
            <w:pPr>
              <w:widowControl/>
              <w:spacing w:line="500" w:lineRule="exact"/>
              <w:jc w:val="center"/>
              <w:rPr>
                <w:rFonts w:ascii="宋体" w:hAnsi="宋体"/>
                <w:szCs w:val="21"/>
                <w:highlight w:val="none"/>
              </w:rPr>
            </w:pPr>
            <w:bookmarkStart w:id="257" w:name="_Toc22574"/>
            <w:bookmarkStart w:id="258" w:name="_Toc29569"/>
            <w:bookmarkStart w:id="259" w:name="_Toc15829"/>
            <w:bookmarkStart w:id="260" w:name="_Toc4756"/>
            <w:r>
              <w:rPr>
                <w:rFonts w:hint="eastAsia" w:ascii="宋体" w:hAnsi="宋体" w:eastAsia="宋体"/>
                <w:szCs w:val="21"/>
                <w:highlight w:val="none"/>
              </w:rPr>
              <w:t>技术规格、参数</w:t>
            </w:r>
          </w:p>
          <w:bookmarkEnd w:id="257"/>
          <w:bookmarkEnd w:id="258"/>
          <w:bookmarkEnd w:id="259"/>
          <w:bookmarkEnd w:id="260"/>
        </w:tc>
        <w:tc>
          <w:tcPr>
            <w:tcW w:w="914" w:type="dxa"/>
            <w:vAlign w:val="center"/>
          </w:tcPr>
          <w:p>
            <w:pPr>
              <w:widowControl/>
              <w:spacing w:line="500" w:lineRule="exact"/>
              <w:jc w:val="center"/>
              <w:rPr>
                <w:rFonts w:ascii="宋体" w:hAnsi="宋体"/>
                <w:szCs w:val="21"/>
                <w:highlight w:val="none"/>
              </w:rPr>
            </w:pPr>
            <w:r>
              <w:rPr>
                <w:rFonts w:hint="eastAsia" w:ascii="宋体" w:hAnsi="宋体"/>
                <w:szCs w:val="21"/>
                <w:highlight w:val="none"/>
              </w:rPr>
              <w:t>来源地</w:t>
            </w:r>
          </w:p>
        </w:tc>
        <w:tc>
          <w:tcPr>
            <w:tcW w:w="864" w:type="dxa"/>
            <w:vAlign w:val="center"/>
          </w:tcPr>
          <w:p>
            <w:pPr>
              <w:widowControl/>
              <w:spacing w:line="500" w:lineRule="exact"/>
              <w:jc w:val="center"/>
              <w:rPr>
                <w:rFonts w:ascii="宋体" w:hAnsi="宋体"/>
                <w:szCs w:val="21"/>
                <w:highlight w:val="none"/>
              </w:rPr>
            </w:pPr>
            <w:bookmarkStart w:id="261" w:name="_Toc8822"/>
            <w:bookmarkStart w:id="262" w:name="_Toc2993"/>
            <w:bookmarkStart w:id="263" w:name="_Toc11313"/>
            <w:bookmarkStart w:id="264" w:name="_Toc8746"/>
            <w:r>
              <w:rPr>
                <w:rFonts w:hint="eastAsia" w:ascii="宋体" w:hAnsi="宋体"/>
                <w:szCs w:val="21"/>
                <w:highlight w:val="none"/>
              </w:rPr>
              <w:t>单价</w:t>
            </w:r>
            <w:bookmarkEnd w:id="261"/>
            <w:bookmarkEnd w:id="262"/>
            <w:bookmarkEnd w:id="263"/>
            <w:bookmarkEnd w:id="264"/>
          </w:p>
        </w:tc>
        <w:tc>
          <w:tcPr>
            <w:tcW w:w="865" w:type="dxa"/>
            <w:vAlign w:val="center"/>
          </w:tcPr>
          <w:p>
            <w:pPr>
              <w:widowControl/>
              <w:spacing w:line="500" w:lineRule="exact"/>
              <w:jc w:val="center"/>
              <w:rPr>
                <w:rFonts w:ascii="宋体" w:hAnsi="宋体"/>
                <w:szCs w:val="21"/>
                <w:highlight w:val="none"/>
              </w:rPr>
            </w:pPr>
            <w:bookmarkStart w:id="265" w:name="_Toc23651"/>
            <w:bookmarkStart w:id="266" w:name="_Toc26846"/>
            <w:bookmarkStart w:id="267" w:name="_Toc27468"/>
            <w:r>
              <w:rPr>
                <w:rFonts w:hint="eastAsia" w:ascii="宋体" w:hAnsi="宋体"/>
                <w:szCs w:val="21"/>
                <w:highlight w:val="none"/>
              </w:rPr>
              <w:t>数量</w:t>
            </w:r>
            <w:bookmarkEnd w:id="265"/>
            <w:bookmarkEnd w:id="266"/>
            <w:bookmarkEnd w:id="267"/>
          </w:p>
        </w:tc>
        <w:tc>
          <w:tcPr>
            <w:tcW w:w="901" w:type="dxa"/>
            <w:vAlign w:val="center"/>
          </w:tcPr>
          <w:p>
            <w:pPr>
              <w:widowControl/>
              <w:spacing w:line="500" w:lineRule="exact"/>
              <w:jc w:val="center"/>
              <w:rPr>
                <w:rFonts w:ascii="宋体" w:hAnsi="宋体"/>
                <w:szCs w:val="21"/>
                <w:highlight w:val="none"/>
              </w:rPr>
            </w:pPr>
            <w:bookmarkStart w:id="268" w:name="_Toc19333"/>
            <w:bookmarkStart w:id="269" w:name="_Toc26029"/>
            <w:bookmarkStart w:id="270" w:name="_Toc28500"/>
            <w:bookmarkStart w:id="271" w:name="_Toc24171"/>
            <w:r>
              <w:rPr>
                <w:rFonts w:hint="eastAsia" w:ascii="宋体" w:hAnsi="宋体"/>
                <w:szCs w:val="21"/>
                <w:highlight w:val="none"/>
              </w:rPr>
              <w:t>总价</w:t>
            </w:r>
            <w:bookmarkEnd w:id="268"/>
            <w:bookmarkEnd w:id="269"/>
            <w:bookmarkEnd w:id="270"/>
            <w:bookmarkEnd w:id="271"/>
          </w:p>
        </w:tc>
        <w:tc>
          <w:tcPr>
            <w:tcW w:w="867" w:type="dxa"/>
            <w:vAlign w:val="center"/>
          </w:tcPr>
          <w:p>
            <w:pPr>
              <w:widowControl/>
              <w:spacing w:line="500" w:lineRule="exact"/>
              <w:jc w:val="center"/>
              <w:rPr>
                <w:rFonts w:ascii="宋体" w:hAnsi="宋体"/>
                <w:szCs w:val="21"/>
                <w:highlight w:val="none"/>
              </w:rPr>
            </w:pPr>
            <w:bookmarkStart w:id="272" w:name="_Toc10705"/>
            <w:bookmarkStart w:id="273" w:name="_Toc13760"/>
            <w:bookmarkStart w:id="274" w:name="_Toc6428"/>
            <w:bookmarkStart w:id="275" w:name="_Toc21298"/>
            <w:r>
              <w:rPr>
                <w:rFonts w:hint="eastAsia" w:ascii="宋体" w:hAnsi="宋体"/>
                <w:szCs w:val="21"/>
                <w:highlight w:val="none"/>
              </w:rPr>
              <w:t>备注</w:t>
            </w:r>
            <w:bookmarkEnd w:id="272"/>
            <w:bookmarkEnd w:id="273"/>
            <w:bookmarkEnd w:id="274"/>
            <w:bookmarkEnd w:id="275"/>
          </w:p>
        </w:tc>
        <w:tc>
          <w:tcPr>
            <w:tcW w:w="1361" w:type="dxa"/>
            <w:vAlign w:val="center"/>
          </w:tcPr>
          <w:p>
            <w:pPr>
              <w:widowControl/>
              <w:jc w:val="center"/>
              <w:rPr>
                <w:rFonts w:ascii="宋体" w:hAnsi="宋体"/>
                <w:szCs w:val="21"/>
                <w:highlight w:val="none"/>
              </w:rPr>
            </w:pPr>
            <w:r>
              <w:rPr>
                <w:rFonts w:hint="eastAsia" w:ascii="宋体" w:hAnsi="宋体"/>
                <w:szCs w:val="21"/>
                <w:highlight w:val="none"/>
              </w:rPr>
              <w:t>企业类型</w:t>
            </w:r>
          </w:p>
          <w:p>
            <w:pPr>
              <w:widowControl/>
              <w:jc w:val="center"/>
              <w:rPr>
                <w:rFonts w:ascii="宋体" w:hAnsi="宋体" w:eastAsia="宋体"/>
                <w:szCs w:val="21"/>
                <w:highlight w:val="none"/>
              </w:rPr>
            </w:pPr>
            <w:r>
              <w:rPr>
                <w:rFonts w:hint="eastAsia" w:ascii="宋体" w:hAnsi="宋体"/>
                <w:sz w:val="20"/>
                <w:highlight w:val="none"/>
              </w:rPr>
              <w:t>（中型/小型/微型企业）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48" w:type="dxa"/>
            <w:vAlign w:val="center"/>
          </w:tcPr>
          <w:p>
            <w:pPr>
              <w:widowControl/>
              <w:spacing w:line="500" w:lineRule="exact"/>
              <w:ind w:firstLine="627" w:firstLineChars="196"/>
              <w:jc w:val="left"/>
              <w:rPr>
                <w:rFonts w:ascii="宋体" w:hAnsi="宋体"/>
                <w:szCs w:val="21"/>
                <w:highlight w:val="none"/>
              </w:rPr>
            </w:pPr>
          </w:p>
        </w:tc>
        <w:tc>
          <w:tcPr>
            <w:tcW w:w="1236" w:type="dxa"/>
            <w:vAlign w:val="center"/>
          </w:tcPr>
          <w:p>
            <w:pPr>
              <w:widowControl/>
              <w:spacing w:line="500" w:lineRule="exact"/>
              <w:ind w:firstLine="627" w:firstLineChars="196"/>
              <w:jc w:val="left"/>
              <w:rPr>
                <w:rFonts w:ascii="宋体" w:hAnsi="宋体"/>
                <w:szCs w:val="21"/>
                <w:highlight w:val="none"/>
              </w:rPr>
            </w:pPr>
          </w:p>
        </w:tc>
        <w:tc>
          <w:tcPr>
            <w:tcW w:w="1050" w:type="dxa"/>
            <w:vAlign w:val="center"/>
          </w:tcPr>
          <w:p>
            <w:pPr>
              <w:widowControl/>
              <w:spacing w:line="500" w:lineRule="exact"/>
              <w:ind w:firstLine="627" w:firstLineChars="196"/>
              <w:jc w:val="left"/>
              <w:rPr>
                <w:rFonts w:ascii="宋体" w:hAnsi="宋体"/>
                <w:szCs w:val="21"/>
                <w:highlight w:val="none"/>
              </w:rPr>
            </w:pPr>
          </w:p>
        </w:tc>
        <w:tc>
          <w:tcPr>
            <w:tcW w:w="976" w:type="dxa"/>
            <w:vAlign w:val="center"/>
          </w:tcPr>
          <w:p>
            <w:pPr>
              <w:widowControl/>
              <w:spacing w:line="500" w:lineRule="exact"/>
              <w:jc w:val="center"/>
              <w:rPr>
                <w:rFonts w:ascii="宋体" w:hAnsi="宋体"/>
                <w:szCs w:val="21"/>
                <w:highlight w:val="none"/>
              </w:rPr>
            </w:pPr>
          </w:p>
        </w:tc>
        <w:tc>
          <w:tcPr>
            <w:tcW w:w="914" w:type="dxa"/>
            <w:vAlign w:val="center"/>
          </w:tcPr>
          <w:p>
            <w:pPr>
              <w:widowControl/>
              <w:spacing w:line="500" w:lineRule="exact"/>
              <w:ind w:firstLine="627" w:firstLineChars="196"/>
              <w:jc w:val="left"/>
              <w:rPr>
                <w:rFonts w:ascii="宋体" w:hAnsi="宋体"/>
                <w:szCs w:val="21"/>
                <w:highlight w:val="none"/>
              </w:rPr>
            </w:pPr>
          </w:p>
        </w:tc>
        <w:tc>
          <w:tcPr>
            <w:tcW w:w="864" w:type="dxa"/>
            <w:vAlign w:val="center"/>
          </w:tcPr>
          <w:p>
            <w:pPr>
              <w:widowControl/>
              <w:spacing w:line="500" w:lineRule="exact"/>
              <w:ind w:firstLine="627" w:firstLineChars="196"/>
              <w:jc w:val="left"/>
              <w:rPr>
                <w:rFonts w:ascii="宋体" w:hAnsi="宋体"/>
                <w:szCs w:val="21"/>
                <w:highlight w:val="none"/>
              </w:rPr>
            </w:pPr>
          </w:p>
        </w:tc>
        <w:tc>
          <w:tcPr>
            <w:tcW w:w="865" w:type="dxa"/>
            <w:vAlign w:val="center"/>
          </w:tcPr>
          <w:p>
            <w:pPr>
              <w:widowControl/>
              <w:spacing w:line="500" w:lineRule="exact"/>
              <w:ind w:firstLine="627" w:firstLineChars="196"/>
              <w:jc w:val="left"/>
              <w:rPr>
                <w:rFonts w:ascii="宋体" w:hAnsi="宋体"/>
                <w:szCs w:val="21"/>
                <w:highlight w:val="none"/>
              </w:rPr>
            </w:pPr>
          </w:p>
        </w:tc>
        <w:tc>
          <w:tcPr>
            <w:tcW w:w="901" w:type="dxa"/>
            <w:vAlign w:val="center"/>
          </w:tcPr>
          <w:p>
            <w:pPr>
              <w:widowControl/>
              <w:spacing w:line="500" w:lineRule="exact"/>
              <w:ind w:firstLine="627" w:firstLineChars="196"/>
              <w:jc w:val="left"/>
              <w:rPr>
                <w:rFonts w:ascii="宋体" w:hAnsi="宋体"/>
                <w:szCs w:val="21"/>
                <w:highlight w:val="none"/>
              </w:rPr>
            </w:pPr>
          </w:p>
        </w:tc>
        <w:tc>
          <w:tcPr>
            <w:tcW w:w="867" w:type="dxa"/>
            <w:vAlign w:val="center"/>
          </w:tcPr>
          <w:p>
            <w:pPr>
              <w:widowControl/>
              <w:spacing w:line="500" w:lineRule="exact"/>
              <w:ind w:firstLine="627" w:firstLineChars="196"/>
              <w:jc w:val="left"/>
              <w:rPr>
                <w:rFonts w:ascii="宋体" w:hAnsi="宋体"/>
                <w:szCs w:val="21"/>
                <w:highlight w:val="none"/>
              </w:rPr>
            </w:pPr>
          </w:p>
        </w:tc>
        <w:tc>
          <w:tcPr>
            <w:tcW w:w="1361" w:type="dxa"/>
            <w:vAlign w:val="center"/>
          </w:tcPr>
          <w:p>
            <w:pPr>
              <w:widowControl/>
              <w:spacing w:line="500" w:lineRule="exact"/>
              <w:ind w:firstLine="627" w:firstLineChars="196"/>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48" w:type="dxa"/>
            <w:vAlign w:val="center"/>
          </w:tcPr>
          <w:p>
            <w:pPr>
              <w:widowControl/>
              <w:spacing w:line="500" w:lineRule="exact"/>
              <w:ind w:firstLine="627" w:firstLineChars="196"/>
              <w:jc w:val="left"/>
              <w:rPr>
                <w:rFonts w:ascii="宋体" w:hAnsi="宋体"/>
                <w:szCs w:val="21"/>
                <w:highlight w:val="none"/>
              </w:rPr>
            </w:pPr>
          </w:p>
        </w:tc>
        <w:tc>
          <w:tcPr>
            <w:tcW w:w="1236" w:type="dxa"/>
            <w:vAlign w:val="center"/>
          </w:tcPr>
          <w:p>
            <w:pPr>
              <w:widowControl/>
              <w:spacing w:line="500" w:lineRule="exact"/>
              <w:ind w:firstLine="627" w:firstLineChars="196"/>
              <w:jc w:val="left"/>
              <w:rPr>
                <w:rFonts w:ascii="宋体" w:hAnsi="宋体"/>
                <w:szCs w:val="21"/>
                <w:highlight w:val="none"/>
              </w:rPr>
            </w:pPr>
          </w:p>
        </w:tc>
        <w:tc>
          <w:tcPr>
            <w:tcW w:w="1050" w:type="dxa"/>
            <w:vAlign w:val="center"/>
          </w:tcPr>
          <w:p>
            <w:pPr>
              <w:widowControl/>
              <w:spacing w:line="500" w:lineRule="exact"/>
              <w:ind w:firstLine="627" w:firstLineChars="196"/>
              <w:jc w:val="left"/>
              <w:rPr>
                <w:rFonts w:ascii="宋体" w:hAnsi="宋体"/>
                <w:szCs w:val="21"/>
                <w:highlight w:val="none"/>
              </w:rPr>
            </w:pPr>
          </w:p>
        </w:tc>
        <w:tc>
          <w:tcPr>
            <w:tcW w:w="976" w:type="dxa"/>
            <w:vAlign w:val="center"/>
          </w:tcPr>
          <w:p>
            <w:pPr>
              <w:widowControl/>
              <w:spacing w:line="500" w:lineRule="exact"/>
              <w:jc w:val="center"/>
              <w:rPr>
                <w:rFonts w:ascii="宋体" w:hAnsi="宋体"/>
                <w:szCs w:val="21"/>
                <w:highlight w:val="none"/>
              </w:rPr>
            </w:pPr>
          </w:p>
        </w:tc>
        <w:tc>
          <w:tcPr>
            <w:tcW w:w="914" w:type="dxa"/>
            <w:vAlign w:val="center"/>
          </w:tcPr>
          <w:p>
            <w:pPr>
              <w:widowControl/>
              <w:spacing w:line="500" w:lineRule="exact"/>
              <w:ind w:firstLine="627" w:firstLineChars="196"/>
              <w:jc w:val="left"/>
              <w:rPr>
                <w:rFonts w:ascii="宋体" w:hAnsi="宋体"/>
                <w:szCs w:val="21"/>
                <w:highlight w:val="none"/>
              </w:rPr>
            </w:pPr>
          </w:p>
        </w:tc>
        <w:tc>
          <w:tcPr>
            <w:tcW w:w="864" w:type="dxa"/>
            <w:vAlign w:val="center"/>
          </w:tcPr>
          <w:p>
            <w:pPr>
              <w:widowControl/>
              <w:spacing w:line="500" w:lineRule="exact"/>
              <w:ind w:firstLine="627" w:firstLineChars="196"/>
              <w:jc w:val="left"/>
              <w:rPr>
                <w:rFonts w:ascii="宋体" w:hAnsi="宋体"/>
                <w:szCs w:val="21"/>
                <w:highlight w:val="none"/>
              </w:rPr>
            </w:pPr>
          </w:p>
        </w:tc>
        <w:tc>
          <w:tcPr>
            <w:tcW w:w="865" w:type="dxa"/>
            <w:vAlign w:val="center"/>
          </w:tcPr>
          <w:p>
            <w:pPr>
              <w:widowControl/>
              <w:spacing w:line="500" w:lineRule="exact"/>
              <w:ind w:firstLine="627" w:firstLineChars="196"/>
              <w:jc w:val="left"/>
              <w:rPr>
                <w:rFonts w:ascii="宋体" w:hAnsi="宋体"/>
                <w:szCs w:val="21"/>
                <w:highlight w:val="none"/>
              </w:rPr>
            </w:pPr>
          </w:p>
        </w:tc>
        <w:tc>
          <w:tcPr>
            <w:tcW w:w="901" w:type="dxa"/>
            <w:vAlign w:val="center"/>
          </w:tcPr>
          <w:p>
            <w:pPr>
              <w:widowControl/>
              <w:spacing w:line="500" w:lineRule="exact"/>
              <w:ind w:firstLine="627" w:firstLineChars="196"/>
              <w:jc w:val="left"/>
              <w:rPr>
                <w:rFonts w:ascii="宋体" w:hAnsi="宋体"/>
                <w:szCs w:val="21"/>
                <w:highlight w:val="none"/>
              </w:rPr>
            </w:pPr>
          </w:p>
        </w:tc>
        <w:tc>
          <w:tcPr>
            <w:tcW w:w="867" w:type="dxa"/>
            <w:vAlign w:val="center"/>
          </w:tcPr>
          <w:p>
            <w:pPr>
              <w:widowControl/>
              <w:spacing w:line="500" w:lineRule="exact"/>
              <w:ind w:firstLine="627" w:firstLineChars="196"/>
              <w:jc w:val="left"/>
              <w:rPr>
                <w:rFonts w:ascii="宋体" w:hAnsi="宋体"/>
                <w:szCs w:val="21"/>
                <w:highlight w:val="none"/>
              </w:rPr>
            </w:pPr>
          </w:p>
        </w:tc>
        <w:tc>
          <w:tcPr>
            <w:tcW w:w="1361" w:type="dxa"/>
            <w:vAlign w:val="center"/>
          </w:tcPr>
          <w:p>
            <w:pPr>
              <w:widowControl/>
              <w:spacing w:line="500" w:lineRule="exact"/>
              <w:ind w:firstLine="627" w:firstLineChars="196"/>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48" w:type="dxa"/>
            <w:vAlign w:val="center"/>
          </w:tcPr>
          <w:p>
            <w:pPr>
              <w:widowControl/>
              <w:spacing w:line="500" w:lineRule="exact"/>
              <w:ind w:firstLine="627" w:firstLineChars="196"/>
              <w:jc w:val="left"/>
              <w:rPr>
                <w:rFonts w:ascii="宋体" w:hAnsi="宋体"/>
                <w:szCs w:val="21"/>
                <w:highlight w:val="none"/>
              </w:rPr>
            </w:pPr>
          </w:p>
        </w:tc>
        <w:tc>
          <w:tcPr>
            <w:tcW w:w="1236" w:type="dxa"/>
            <w:vAlign w:val="center"/>
          </w:tcPr>
          <w:p>
            <w:pPr>
              <w:widowControl/>
              <w:spacing w:line="500" w:lineRule="exact"/>
              <w:ind w:firstLine="627" w:firstLineChars="196"/>
              <w:jc w:val="left"/>
              <w:rPr>
                <w:rFonts w:ascii="宋体" w:hAnsi="宋体"/>
                <w:szCs w:val="21"/>
                <w:highlight w:val="none"/>
              </w:rPr>
            </w:pPr>
          </w:p>
        </w:tc>
        <w:tc>
          <w:tcPr>
            <w:tcW w:w="1050" w:type="dxa"/>
            <w:vAlign w:val="center"/>
          </w:tcPr>
          <w:p>
            <w:pPr>
              <w:widowControl/>
              <w:spacing w:line="500" w:lineRule="exact"/>
              <w:ind w:firstLine="627" w:firstLineChars="196"/>
              <w:jc w:val="left"/>
              <w:rPr>
                <w:rFonts w:ascii="宋体" w:hAnsi="宋体"/>
                <w:szCs w:val="21"/>
                <w:highlight w:val="none"/>
              </w:rPr>
            </w:pPr>
          </w:p>
        </w:tc>
        <w:tc>
          <w:tcPr>
            <w:tcW w:w="976" w:type="dxa"/>
            <w:vAlign w:val="center"/>
          </w:tcPr>
          <w:p>
            <w:pPr>
              <w:widowControl/>
              <w:spacing w:line="500" w:lineRule="exact"/>
              <w:jc w:val="center"/>
              <w:rPr>
                <w:rFonts w:ascii="宋体" w:hAnsi="宋体"/>
                <w:szCs w:val="21"/>
                <w:highlight w:val="none"/>
              </w:rPr>
            </w:pPr>
          </w:p>
        </w:tc>
        <w:tc>
          <w:tcPr>
            <w:tcW w:w="914" w:type="dxa"/>
            <w:vAlign w:val="center"/>
          </w:tcPr>
          <w:p>
            <w:pPr>
              <w:widowControl/>
              <w:spacing w:line="500" w:lineRule="exact"/>
              <w:ind w:firstLine="627" w:firstLineChars="196"/>
              <w:jc w:val="left"/>
              <w:rPr>
                <w:rFonts w:ascii="宋体" w:hAnsi="宋体"/>
                <w:szCs w:val="21"/>
                <w:highlight w:val="none"/>
              </w:rPr>
            </w:pPr>
          </w:p>
        </w:tc>
        <w:tc>
          <w:tcPr>
            <w:tcW w:w="864" w:type="dxa"/>
            <w:vAlign w:val="center"/>
          </w:tcPr>
          <w:p>
            <w:pPr>
              <w:widowControl/>
              <w:spacing w:line="500" w:lineRule="exact"/>
              <w:ind w:firstLine="627" w:firstLineChars="196"/>
              <w:jc w:val="left"/>
              <w:rPr>
                <w:rFonts w:ascii="宋体" w:hAnsi="宋体"/>
                <w:szCs w:val="21"/>
                <w:highlight w:val="none"/>
              </w:rPr>
            </w:pPr>
          </w:p>
        </w:tc>
        <w:tc>
          <w:tcPr>
            <w:tcW w:w="865" w:type="dxa"/>
            <w:vAlign w:val="center"/>
          </w:tcPr>
          <w:p>
            <w:pPr>
              <w:widowControl/>
              <w:spacing w:line="500" w:lineRule="exact"/>
              <w:ind w:firstLine="627" w:firstLineChars="196"/>
              <w:jc w:val="left"/>
              <w:rPr>
                <w:rFonts w:ascii="宋体" w:hAnsi="宋体"/>
                <w:szCs w:val="21"/>
                <w:highlight w:val="none"/>
              </w:rPr>
            </w:pPr>
          </w:p>
        </w:tc>
        <w:tc>
          <w:tcPr>
            <w:tcW w:w="901" w:type="dxa"/>
            <w:vAlign w:val="center"/>
          </w:tcPr>
          <w:p>
            <w:pPr>
              <w:widowControl/>
              <w:spacing w:line="500" w:lineRule="exact"/>
              <w:ind w:firstLine="627" w:firstLineChars="196"/>
              <w:jc w:val="left"/>
              <w:rPr>
                <w:rFonts w:ascii="宋体" w:hAnsi="宋体"/>
                <w:szCs w:val="21"/>
                <w:highlight w:val="none"/>
              </w:rPr>
            </w:pPr>
          </w:p>
        </w:tc>
        <w:tc>
          <w:tcPr>
            <w:tcW w:w="867" w:type="dxa"/>
            <w:vAlign w:val="center"/>
          </w:tcPr>
          <w:p>
            <w:pPr>
              <w:widowControl/>
              <w:spacing w:line="500" w:lineRule="exact"/>
              <w:ind w:firstLine="627" w:firstLineChars="196"/>
              <w:jc w:val="left"/>
              <w:rPr>
                <w:rFonts w:ascii="宋体" w:hAnsi="宋体"/>
                <w:szCs w:val="21"/>
                <w:highlight w:val="none"/>
              </w:rPr>
            </w:pPr>
          </w:p>
        </w:tc>
        <w:tc>
          <w:tcPr>
            <w:tcW w:w="1361" w:type="dxa"/>
            <w:vAlign w:val="center"/>
          </w:tcPr>
          <w:p>
            <w:pPr>
              <w:widowControl/>
              <w:spacing w:line="500" w:lineRule="exact"/>
              <w:ind w:firstLine="627" w:firstLineChars="196"/>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48" w:type="dxa"/>
          </w:tcPr>
          <w:p>
            <w:pPr>
              <w:widowControl/>
              <w:spacing w:line="500" w:lineRule="exact"/>
              <w:jc w:val="center"/>
              <w:rPr>
                <w:rFonts w:ascii="宋体" w:hAnsi="宋体" w:eastAsia="宋体"/>
                <w:szCs w:val="21"/>
                <w:highlight w:val="none"/>
              </w:rPr>
            </w:pPr>
            <w:bookmarkStart w:id="276" w:name="_Toc23486"/>
            <w:bookmarkStart w:id="277" w:name="_Toc23645"/>
            <w:bookmarkStart w:id="278" w:name="_Toc27227"/>
            <w:bookmarkStart w:id="279" w:name="_Toc8274"/>
            <w:bookmarkStart w:id="280" w:name="_Toc6950"/>
            <w:r>
              <w:rPr>
                <w:rFonts w:hint="eastAsia" w:ascii="宋体" w:hAnsi="宋体"/>
                <w:szCs w:val="21"/>
                <w:highlight w:val="none"/>
                <w:lang w:eastAsia="zh-CN"/>
              </w:rPr>
              <w:t>……</w:t>
            </w:r>
          </w:p>
        </w:tc>
        <w:tc>
          <w:tcPr>
            <w:tcW w:w="1236" w:type="dxa"/>
            <w:vAlign w:val="center"/>
          </w:tcPr>
          <w:p>
            <w:pPr>
              <w:widowControl/>
              <w:spacing w:line="500" w:lineRule="exact"/>
              <w:ind w:firstLine="627" w:firstLineChars="196"/>
              <w:jc w:val="left"/>
              <w:rPr>
                <w:rFonts w:ascii="宋体" w:hAnsi="宋体"/>
                <w:szCs w:val="21"/>
                <w:highlight w:val="none"/>
              </w:rPr>
            </w:pPr>
          </w:p>
        </w:tc>
        <w:tc>
          <w:tcPr>
            <w:tcW w:w="1050" w:type="dxa"/>
            <w:vAlign w:val="center"/>
          </w:tcPr>
          <w:p>
            <w:pPr>
              <w:widowControl/>
              <w:spacing w:line="500" w:lineRule="exact"/>
              <w:ind w:firstLine="627" w:firstLineChars="196"/>
              <w:jc w:val="left"/>
              <w:rPr>
                <w:rFonts w:ascii="宋体" w:hAnsi="宋体"/>
                <w:szCs w:val="21"/>
                <w:highlight w:val="none"/>
              </w:rPr>
            </w:pPr>
          </w:p>
        </w:tc>
        <w:tc>
          <w:tcPr>
            <w:tcW w:w="976" w:type="dxa"/>
            <w:vAlign w:val="center"/>
          </w:tcPr>
          <w:p>
            <w:pPr>
              <w:widowControl/>
              <w:spacing w:line="500" w:lineRule="exact"/>
              <w:jc w:val="center"/>
              <w:rPr>
                <w:rFonts w:ascii="宋体" w:hAnsi="宋体"/>
                <w:szCs w:val="21"/>
                <w:highlight w:val="none"/>
              </w:rPr>
            </w:pPr>
          </w:p>
        </w:tc>
        <w:tc>
          <w:tcPr>
            <w:tcW w:w="914" w:type="dxa"/>
            <w:vAlign w:val="center"/>
          </w:tcPr>
          <w:p>
            <w:pPr>
              <w:widowControl/>
              <w:spacing w:line="500" w:lineRule="exact"/>
              <w:ind w:firstLine="627" w:firstLineChars="196"/>
              <w:jc w:val="left"/>
              <w:rPr>
                <w:rFonts w:ascii="宋体" w:hAnsi="宋体"/>
                <w:szCs w:val="21"/>
                <w:highlight w:val="none"/>
              </w:rPr>
            </w:pPr>
          </w:p>
        </w:tc>
        <w:tc>
          <w:tcPr>
            <w:tcW w:w="864" w:type="dxa"/>
            <w:vAlign w:val="center"/>
          </w:tcPr>
          <w:p>
            <w:pPr>
              <w:widowControl/>
              <w:spacing w:line="500" w:lineRule="exact"/>
              <w:ind w:firstLine="627" w:firstLineChars="196"/>
              <w:jc w:val="left"/>
              <w:rPr>
                <w:rFonts w:ascii="宋体" w:hAnsi="宋体"/>
                <w:szCs w:val="21"/>
                <w:highlight w:val="none"/>
              </w:rPr>
            </w:pPr>
          </w:p>
        </w:tc>
        <w:tc>
          <w:tcPr>
            <w:tcW w:w="865" w:type="dxa"/>
            <w:vAlign w:val="center"/>
          </w:tcPr>
          <w:p>
            <w:pPr>
              <w:widowControl/>
              <w:spacing w:line="500" w:lineRule="exact"/>
              <w:ind w:firstLine="627" w:firstLineChars="196"/>
              <w:jc w:val="left"/>
              <w:rPr>
                <w:rFonts w:ascii="宋体" w:hAnsi="宋体"/>
                <w:szCs w:val="21"/>
                <w:highlight w:val="none"/>
              </w:rPr>
            </w:pPr>
          </w:p>
        </w:tc>
        <w:tc>
          <w:tcPr>
            <w:tcW w:w="901" w:type="dxa"/>
            <w:vAlign w:val="center"/>
          </w:tcPr>
          <w:p>
            <w:pPr>
              <w:widowControl/>
              <w:spacing w:line="500" w:lineRule="exact"/>
              <w:ind w:firstLine="627" w:firstLineChars="196"/>
              <w:jc w:val="left"/>
              <w:rPr>
                <w:rFonts w:ascii="宋体" w:hAnsi="宋体"/>
                <w:szCs w:val="21"/>
                <w:highlight w:val="none"/>
              </w:rPr>
            </w:pPr>
          </w:p>
        </w:tc>
        <w:tc>
          <w:tcPr>
            <w:tcW w:w="867" w:type="dxa"/>
            <w:vAlign w:val="center"/>
          </w:tcPr>
          <w:p>
            <w:pPr>
              <w:widowControl/>
              <w:spacing w:line="500" w:lineRule="exact"/>
              <w:ind w:firstLine="627" w:firstLineChars="196"/>
              <w:jc w:val="left"/>
              <w:rPr>
                <w:rFonts w:ascii="宋体" w:hAnsi="宋体"/>
                <w:szCs w:val="21"/>
                <w:highlight w:val="none"/>
              </w:rPr>
            </w:pPr>
          </w:p>
        </w:tc>
        <w:tc>
          <w:tcPr>
            <w:tcW w:w="1361" w:type="dxa"/>
            <w:vAlign w:val="center"/>
          </w:tcPr>
          <w:p>
            <w:pPr>
              <w:widowControl/>
              <w:spacing w:line="500" w:lineRule="exact"/>
              <w:ind w:firstLine="627" w:firstLineChars="196"/>
              <w:jc w:val="left"/>
              <w:rPr>
                <w:rFonts w:ascii="宋体" w:hAnsi="宋体"/>
                <w:szCs w:val="21"/>
                <w:highlight w:val="none"/>
              </w:rPr>
            </w:pPr>
          </w:p>
        </w:tc>
      </w:tr>
    </w:tbl>
    <w:p>
      <w:pPr>
        <w:widowControl/>
        <w:spacing w:line="500" w:lineRule="exact"/>
        <w:rPr>
          <w:rFonts w:ascii="宋体" w:hAnsi="宋体"/>
          <w:sz w:val="21"/>
          <w:szCs w:val="21"/>
          <w:highlight w:val="none"/>
        </w:rPr>
      </w:pPr>
      <w:r>
        <w:rPr>
          <w:rFonts w:hint="eastAsia" w:ascii="宋体" w:hAnsi="宋体"/>
          <w:sz w:val="21"/>
          <w:szCs w:val="21"/>
          <w:highlight w:val="none"/>
        </w:rPr>
        <w:t>注：</w:t>
      </w:r>
      <w:bookmarkEnd w:id="276"/>
      <w:bookmarkEnd w:id="277"/>
      <w:bookmarkEnd w:id="278"/>
      <w:bookmarkEnd w:id="279"/>
      <w:bookmarkEnd w:id="280"/>
    </w:p>
    <w:p>
      <w:pPr>
        <w:widowControl/>
        <w:numPr>
          <w:ilvl w:val="0"/>
          <w:numId w:val="8"/>
        </w:numPr>
        <w:spacing w:line="500" w:lineRule="exact"/>
        <w:ind w:firstLine="411" w:firstLineChars="196"/>
        <w:jc w:val="left"/>
        <w:rPr>
          <w:rFonts w:ascii="宋体" w:hAnsi="宋体"/>
          <w:sz w:val="21"/>
          <w:szCs w:val="21"/>
          <w:highlight w:val="none"/>
        </w:rPr>
      </w:pPr>
      <w:bookmarkStart w:id="281" w:name="_Toc8713"/>
      <w:bookmarkStart w:id="282" w:name="_Toc31550"/>
      <w:bookmarkStart w:id="283" w:name="_Toc30670"/>
      <w:bookmarkStart w:id="284" w:name="_Toc25718"/>
      <w:bookmarkStart w:id="285" w:name="_Toc3"/>
      <w:bookmarkStart w:id="286" w:name="_Toc16326"/>
      <w:bookmarkStart w:id="287" w:name="_Toc4800"/>
      <w:r>
        <w:rPr>
          <w:rFonts w:hint="eastAsia" w:ascii="宋体" w:hAnsi="宋体"/>
          <w:sz w:val="21"/>
          <w:szCs w:val="21"/>
          <w:highlight w:val="none"/>
        </w:rPr>
        <w:t>供应商必须按“分项报价表”的格式详细报出总价的各个组成部分的报价。</w:t>
      </w:r>
      <w:bookmarkEnd w:id="281"/>
      <w:bookmarkEnd w:id="282"/>
      <w:bookmarkEnd w:id="283"/>
      <w:bookmarkEnd w:id="284"/>
      <w:bookmarkEnd w:id="285"/>
      <w:bookmarkEnd w:id="286"/>
      <w:bookmarkEnd w:id="287"/>
    </w:p>
    <w:p>
      <w:pPr>
        <w:widowControl/>
        <w:numPr>
          <w:ilvl w:val="0"/>
          <w:numId w:val="8"/>
        </w:numPr>
        <w:spacing w:line="500" w:lineRule="exact"/>
        <w:ind w:firstLine="411" w:firstLineChars="196"/>
        <w:jc w:val="left"/>
        <w:rPr>
          <w:rFonts w:ascii="宋体" w:hAnsi="宋体"/>
          <w:sz w:val="21"/>
          <w:szCs w:val="21"/>
          <w:highlight w:val="none"/>
        </w:rPr>
      </w:pPr>
      <w:bookmarkStart w:id="288" w:name="_Toc29283"/>
      <w:bookmarkStart w:id="289" w:name="_Toc28008"/>
      <w:bookmarkStart w:id="290" w:name="_Toc25281"/>
      <w:bookmarkStart w:id="291" w:name="_Toc31846"/>
      <w:bookmarkStart w:id="292" w:name="_Toc31376"/>
      <w:bookmarkStart w:id="293" w:name="_Toc2848"/>
      <w:bookmarkStart w:id="294" w:name="_Toc12906"/>
      <w:r>
        <w:rPr>
          <w:rFonts w:hint="eastAsia" w:ascii="宋体" w:hAnsi="宋体"/>
          <w:sz w:val="21"/>
          <w:szCs w:val="21"/>
          <w:highlight w:val="none"/>
        </w:rPr>
        <w:t>“分项报价表”各分项报价合计应当与“开标一览表”报价相等。</w:t>
      </w:r>
      <w:bookmarkEnd w:id="288"/>
      <w:bookmarkEnd w:id="289"/>
      <w:bookmarkEnd w:id="290"/>
      <w:bookmarkEnd w:id="291"/>
      <w:bookmarkEnd w:id="292"/>
      <w:bookmarkEnd w:id="293"/>
      <w:bookmarkEnd w:id="294"/>
    </w:p>
    <w:p>
      <w:pPr>
        <w:widowControl/>
        <w:numPr>
          <w:ilvl w:val="0"/>
          <w:numId w:val="8"/>
        </w:numPr>
        <w:spacing w:line="500" w:lineRule="exact"/>
        <w:ind w:firstLine="411" w:firstLineChars="196"/>
        <w:jc w:val="left"/>
        <w:rPr>
          <w:rFonts w:ascii="宋体" w:hAnsi="宋体"/>
          <w:sz w:val="21"/>
          <w:szCs w:val="21"/>
          <w:highlight w:val="none"/>
        </w:rPr>
      </w:pPr>
      <w:bookmarkStart w:id="295" w:name="_Toc20349"/>
      <w:bookmarkStart w:id="296" w:name="_Toc777"/>
      <w:bookmarkStart w:id="297" w:name="_Toc29712"/>
      <w:bookmarkStart w:id="298" w:name="_Toc22945"/>
      <w:bookmarkStart w:id="299" w:name="_Toc31650"/>
      <w:bookmarkStart w:id="300" w:name="_Toc17170"/>
      <w:bookmarkStart w:id="301" w:name="_Toc24463"/>
      <w:r>
        <w:rPr>
          <w:rFonts w:hint="eastAsia" w:ascii="宋体" w:hAnsi="宋体"/>
          <w:sz w:val="21"/>
          <w:szCs w:val="21"/>
          <w:highlight w:val="none"/>
        </w:rPr>
        <w:t>“规格型号”项下应填写货物制造厂商赋予的品牌（属于节能、环保清单产品的货物，填写的品牌名称应与清单载明的品牌名称保持一致）及具体型号。“来源地”应填写货物的原产地。</w:t>
      </w:r>
      <w:bookmarkEnd w:id="295"/>
      <w:bookmarkEnd w:id="296"/>
      <w:bookmarkEnd w:id="297"/>
      <w:bookmarkEnd w:id="298"/>
      <w:bookmarkEnd w:id="299"/>
      <w:bookmarkEnd w:id="300"/>
      <w:bookmarkEnd w:id="301"/>
    </w:p>
    <w:p>
      <w:pPr>
        <w:widowControl/>
        <w:numPr>
          <w:ilvl w:val="0"/>
          <w:numId w:val="8"/>
        </w:numPr>
        <w:spacing w:line="500" w:lineRule="exact"/>
        <w:ind w:firstLine="411" w:firstLineChars="196"/>
        <w:jc w:val="left"/>
        <w:rPr>
          <w:rFonts w:ascii="宋体" w:hAnsi="宋体"/>
          <w:sz w:val="21"/>
          <w:szCs w:val="21"/>
          <w:highlight w:val="none"/>
        </w:rPr>
      </w:pPr>
      <w:bookmarkStart w:id="302" w:name="_Toc14241"/>
      <w:bookmarkStart w:id="303" w:name="_Toc10736"/>
      <w:bookmarkStart w:id="304" w:name="_Toc10363"/>
      <w:bookmarkStart w:id="305" w:name="_Toc1050"/>
      <w:bookmarkStart w:id="306" w:name="_Toc5239"/>
      <w:bookmarkStart w:id="307" w:name="_Toc3582"/>
      <w:bookmarkStart w:id="308" w:name="_Toc11553"/>
      <w:r>
        <w:rPr>
          <w:rFonts w:hint="eastAsia" w:ascii="宋体" w:hAnsi="宋体"/>
          <w:sz w:val="21"/>
          <w:szCs w:val="21"/>
          <w:highlight w:val="none"/>
        </w:rPr>
        <w:t>同一合同包中，“单价”×“数量”=“总价”，全部品目号的合计金额应与“开标一览表”中相应列示的“总报价”保持一致。</w:t>
      </w:r>
      <w:bookmarkEnd w:id="302"/>
      <w:bookmarkEnd w:id="303"/>
      <w:bookmarkEnd w:id="304"/>
      <w:bookmarkEnd w:id="305"/>
      <w:bookmarkEnd w:id="306"/>
      <w:bookmarkEnd w:id="307"/>
      <w:bookmarkEnd w:id="308"/>
    </w:p>
    <w:p>
      <w:pPr>
        <w:widowControl/>
        <w:numPr>
          <w:ilvl w:val="0"/>
          <w:numId w:val="8"/>
        </w:numPr>
        <w:spacing w:line="500" w:lineRule="exact"/>
        <w:ind w:firstLine="411" w:firstLineChars="196"/>
        <w:jc w:val="left"/>
        <w:rPr>
          <w:rFonts w:ascii="宋体" w:hAnsi="宋体"/>
          <w:sz w:val="21"/>
          <w:szCs w:val="21"/>
          <w:highlight w:val="none"/>
        </w:rPr>
      </w:pPr>
      <w:bookmarkStart w:id="309" w:name="_Toc3692"/>
      <w:bookmarkStart w:id="310" w:name="_Toc32402"/>
      <w:bookmarkStart w:id="311" w:name="_Toc6284"/>
      <w:bookmarkStart w:id="312" w:name="_Toc23322"/>
      <w:bookmarkStart w:id="313" w:name="_Toc28405"/>
      <w:bookmarkStart w:id="314" w:name="_Toc28752"/>
      <w:bookmarkStart w:id="315" w:name="_Toc8479"/>
      <w:r>
        <w:rPr>
          <w:rFonts w:hint="eastAsia" w:ascii="宋体" w:hAnsi="宋体"/>
          <w:sz w:val="21"/>
          <w:szCs w:val="21"/>
          <w:highlight w:val="none"/>
        </w:rPr>
        <w:t>若采购文件要求供应商对“备品备件价格、专用工具价格、技术服务费、安装调试费、检验培训费、运输费、保险费、税收”等进行报价的，请在本表的“备注”项下填写。</w:t>
      </w:r>
      <w:bookmarkEnd w:id="309"/>
      <w:bookmarkEnd w:id="310"/>
      <w:bookmarkEnd w:id="311"/>
      <w:bookmarkEnd w:id="312"/>
      <w:bookmarkEnd w:id="313"/>
      <w:bookmarkEnd w:id="314"/>
      <w:bookmarkEnd w:id="315"/>
    </w:p>
    <w:p>
      <w:pPr>
        <w:widowControl/>
        <w:spacing w:line="500" w:lineRule="exact"/>
        <w:ind w:firstLine="411" w:firstLineChars="196"/>
        <w:jc w:val="left"/>
        <w:rPr>
          <w:rFonts w:ascii="宋体" w:hAnsi="宋体"/>
          <w:sz w:val="21"/>
          <w:szCs w:val="21"/>
          <w:highlight w:val="none"/>
        </w:rPr>
      </w:pPr>
    </w:p>
    <w:p>
      <w:pPr>
        <w:widowControl/>
        <w:spacing w:line="500" w:lineRule="exact"/>
        <w:ind w:firstLine="411" w:firstLineChars="196"/>
        <w:jc w:val="left"/>
        <w:rPr>
          <w:rFonts w:ascii="宋体" w:hAnsi="宋体"/>
          <w:sz w:val="21"/>
          <w:szCs w:val="21"/>
          <w:highlight w:val="none"/>
        </w:rPr>
      </w:pPr>
    </w:p>
    <w:p>
      <w:pPr>
        <w:spacing w:line="500" w:lineRule="exact"/>
        <w:jc w:val="right"/>
        <w:rPr>
          <w:rFonts w:ascii="宋体" w:hAnsi="宋体"/>
          <w:sz w:val="21"/>
          <w:szCs w:val="21"/>
          <w:highlight w:val="none"/>
        </w:rPr>
      </w:pPr>
      <w:r>
        <w:rPr>
          <w:rFonts w:hint="eastAsia" w:ascii="宋体" w:hAnsi="宋体"/>
          <w:sz w:val="21"/>
          <w:szCs w:val="21"/>
          <w:highlight w:val="none"/>
        </w:rPr>
        <w:t>供应商：</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（盖单位章）</w:t>
      </w:r>
    </w:p>
    <w:p>
      <w:pPr>
        <w:spacing w:line="500" w:lineRule="exact"/>
        <w:jc w:val="right"/>
        <w:rPr>
          <w:rFonts w:ascii="宋体" w:hAnsi="宋体"/>
          <w:sz w:val="21"/>
          <w:szCs w:val="21"/>
          <w:highlight w:val="none"/>
        </w:rPr>
      </w:pPr>
      <w:r>
        <w:rPr>
          <w:rFonts w:hint="eastAsia" w:ascii="宋体" w:hAnsi="宋体"/>
          <w:sz w:val="21"/>
          <w:szCs w:val="21"/>
          <w:highlight w:val="none"/>
        </w:rPr>
        <w:t>法定代表</w:t>
      </w:r>
      <w:r>
        <w:rPr>
          <w:rFonts w:ascii="宋体" w:hAnsi="宋体"/>
          <w:sz w:val="21"/>
          <w:szCs w:val="21"/>
          <w:highlight w:val="none"/>
        </w:rPr>
        <w:t>人</w:t>
      </w:r>
      <w:r>
        <w:rPr>
          <w:rFonts w:hint="eastAsia" w:ascii="宋体" w:hAnsi="宋体"/>
          <w:sz w:val="21"/>
          <w:szCs w:val="21"/>
          <w:highlight w:val="none"/>
        </w:rPr>
        <w:t>或其委托代理人：</w:t>
      </w:r>
      <w:r>
        <w:rPr>
          <w:rFonts w:ascii="宋体" w:hAnsi="宋体"/>
          <w:sz w:val="21"/>
          <w:szCs w:val="21"/>
          <w:highlight w:val="none"/>
          <w:u w:val="single"/>
        </w:rPr>
        <w:t xml:space="preserve">           </w:t>
      </w:r>
      <w:r>
        <w:rPr>
          <w:rFonts w:hint="eastAsia" w:ascii="宋体" w:hAnsi="宋体"/>
          <w:sz w:val="21"/>
          <w:szCs w:val="21"/>
          <w:highlight w:val="none"/>
        </w:rPr>
        <w:t>（签字或盖章）</w:t>
      </w:r>
    </w:p>
    <w:p>
      <w:pPr>
        <w:widowControl/>
        <w:spacing w:line="500" w:lineRule="exact"/>
        <w:jc w:val="right"/>
        <w:rPr>
          <w:rFonts w:ascii="宋体" w:hAnsi="宋体"/>
          <w:sz w:val="21"/>
          <w:szCs w:val="21"/>
          <w:highlight w:val="yellow"/>
        </w:rPr>
      </w:pPr>
      <w:r>
        <w:rPr>
          <w:rFonts w:ascii="宋体" w:hAnsi="宋体"/>
          <w:sz w:val="21"/>
          <w:szCs w:val="21"/>
          <w:highlight w:val="none"/>
          <w:u w:val="single"/>
        </w:rPr>
        <w:t xml:space="preserve">       </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rPr>
        <w:t>日</w:t>
      </w:r>
    </w:p>
    <w:p>
      <w:pPr>
        <w:pStyle w:val="4"/>
        <w:snapToGrid w:val="0"/>
        <w:spacing w:before="100" w:beforeAutospacing="1" w:after="100" w:afterAutospacing="1" w:line="400" w:lineRule="exact"/>
        <w:rPr>
          <w:rFonts w:cs="宋体"/>
          <w:color w:val="000000"/>
          <w:sz w:val="28"/>
        </w:rPr>
      </w:pPr>
      <w:r>
        <w:rPr>
          <w:rFonts w:hint="eastAsia" w:cs="宋体"/>
          <w:color w:val="000000"/>
          <w:sz w:val="28"/>
        </w:rPr>
        <w:t>四、资格性符合性检查对照表</w:t>
      </w:r>
      <w:bookmarkEnd w:id="241"/>
    </w:p>
    <w:p>
      <w:pPr>
        <w:pStyle w:val="39"/>
      </w:pPr>
      <w:bookmarkStart w:id="316" w:name="_Toc13159"/>
      <w:bookmarkStart w:id="317" w:name="_Toc256000096"/>
      <w:r>
        <w:rPr>
          <w:rFonts w:hint="eastAsia"/>
        </w:rPr>
        <w:t>1、资格性审查对照表</w:t>
      </w:r>
      <w:bookmarkEnd w:id="316"/>
      <w:bookmarkEnd w:id="317"/>
    </w:p>
    <w:p>
      <w:pPr>
        <w:pStyle w:val="40"/>
        <w:adjustRightInd w:val="0"/>
        <w:snapToGrid w:val="0"/>
        <w:spacing w:line="500" w:lineRule="exact"/>
        <w:rPr>
          <w:rFonts w:ascii="宋体" w:hAnsi="宋体"/>
          <w:szCs w:val="28"/>
        </w:rPr>
      </w:pPr>
      <w:r>
        <w:rPr>
          <w:rFonts w:hint="eastAsia" w:ascii="宋体" w:hAnsi="宋体"/>
          <w:szCs w:val="28"/>
        </w:rPr>
        <w:t>项目编号：</w:t>
      </w:r>
      <w:r>
        <w:rPr>
          <w:rFonts w:hint="eastAsia" w:ascii="宋体" w:hAnsi="宋体"/>
          <w:szCs w:val="28"/>
          <w:u w:val="single"/>
        </w:rPr>
        <w:t xml:space="preserve">                              </w:t>
      </w:r>
      <w:r>
        <w:rPr>
          <w:rFonts w:hint="eastAsia" w:ascii="宋体" w:hAnsi="宋体"/>
          <w:szCs w:val="28"/>
        </w:rPr>
        <w:t xml:space="preserve">     </w:t>
      </w:r>
    </w:p>
    <w:p>
      <w:pPr>
        <w:pStyle w:val="40"/>
        <w:adjustRightInd w:val="0"/>
        <w:snapToGrid w:val="0"/>
        <w:spacing w:line="500" w:lineRule="exact"/>
        <w:rPr>
          <w:rFonts w:ascii="宋体" w:hAnsi="宋体"/>
          <w:szCs w:val="28"/>
        </w:rPr>
      </w:pPr>
      <w:r>
        <w:rPr>
          <w:rFonts w:hint="eastAsia" w:ascii="宋体" w:hAnsi="宋体"/>
          <w:szCs w:val="28"/>
        </w:rPr>
        <w:t>项目名称：</w:t>
      </w:r>
      <w:r>
        <w:rPr>
          <w:rFonts w:hint="eastAsia" w:ascii="宋体" w:hAnsi="宋体"/>
          <w:szCs w:val="28"/>
          <w:u w:val="single"/>
        </w:rPr>
        <w:t xml:space="preserve">                              </w:t>
      </w:r>
      <w:r>
        <w:rPr>
          <w:rFonts w:hint="eastAsia" w:ascii="宋体" w:hAnsi="宋体"/>
          <w:szCs w:val="28"/>
        </w:rPr>
        <w:t xml:space="preserve">                     </w:t>
      </w:r>
    </w:p>
    <w:tbl>
      <w:tblPr>
        <w:tblStyle w:val="18"/>
        <w:tblW w:w="488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85"/>
        <w:gridCol w:w="2685"/>
        <w:gridCol w:w="157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r>
              <w:rPr>
                <w:rFonts w:hint="eastAsia" w:ascii="宋体" w:hAnsi="宋体"/>
                <w:szCs w:val="28"/>
              </w:rPr>
              <w:t>序号</w:t>
            </w:r>
          </w:p>
        </w:tc>
        <w:tc>
          <w:tcPr>
            <w:tcW w:w="2556" w:type="dxa"/>
            <w:vAlign w:val="center"/>
          </w:tcPr>
          <w:p>
            <w:pPr>
              <w:jc w:val="center"/>
              <w:rPr>
                <w:rFonts w:ascii="宋体" w:hAnsi="宋体" w:eastAsia="宋体" w:cs="宋体"/>
                <w:sz w:val="28"/>
                <w:szCs w:val="28"/>
              </w:rPr>
            </w:pPr>
            <w:r>
              <w:rPr>
                <w:rFonts w:hint="eastAsia" w:ascii="宋体" w:hAnsi="宋体" w:eastAsia="宋体" w:cs="宋体"/>
                <w:sz w:val="28"/>
                <w:szCs w:val="28"/>
              </w:rPr>
              <w:t>磋商文件</w:t>
            </w:r>
          </w:p>
          <w:p>
            <w:pPr>
              <w:pStyle w:val="40"/>
              <w:jc w:val="center"/>
              <w:rPr>
                <w:rFonts w:ascii="宋体" w:hAnsi="宋体" w:cs="仿宋_GB2312"/>
                <w:szCs w:val="28"/>
              </w:rPr>
            </w:pPr>
            <w:r>
              <w:rPr>
                <w:rFonts w:hint="eastAsia" w:ascii="宋体" w:hAnsi="宋体" w:cs="宋体"/>
                <w:szCs w:val="28"/>
              </w:rPr>
              <w:t>资格性审查条款</w:t>
            </w:r>
          </w:p>
        </w:tc>
        <w:tc>
          <w:tcPr>
            <w:tcW w:w="2556" w:type="dxa"/>
            <w:vAlign w:val="center"/>
          </w:tcPr>
          <w:p>
            <w:pPr>
              <w:jc w:val="center"/>
              <w:rPr>
                <w:rFonts w:ascii="宋体" w:hAnsi="宋体" w:eastAsia="宋体" w:cs="宋体"/>
                <w:sz w:val="28"/>
                <w:szCs w:val="28"/>
              </w:rPr>
            </w:pPr>
            <w:r>
              <w:rPr>
                <w:rFonts w:hint="eastAsia" w:ascii="宋体" w:hAnsi="宋体" w:eastAsia="宋体" w:cs="宋体"/>
                <w:sz w:val="28"/>
                <w:szCs w:val="28"/>
              </w:rPr>
              <w:t>响应性文件</w:t>
            </w:r>
          </w:p>
          <w:p>
            <w:pPr>
              <w:jc w:val="center"/>
              <w:rPr>
                <w:rFonts w:ascii="宋体" w:hAnsi="宋体" w:cs="仿宋_GB2312"/>
                <w:szCs w:val="28"/>
              </w:rPr>
            </w:pPr>
            <w:r>
              <w:rPr>
                <w:rFonts w:hint="eastAsia" w:ascii="宋体" w:hAnsi="宋体" w:eastAsia="宋体" w:cs="宋体"/>
                <w:sz w:val="28"/>
                <w:szCs w:val="28"/>
              </w:rPr>
              <w:t>响应部分</w:t>
            </w:r>
          </w:p>
        </w:tc>
        <w:tc>
          <w:tcPr>
            <w:tcW w:w="1497" w:type="dxa"/>
            <w:vAlign w:val="center"/>
          </w:tcPr>
          <w:p>
            <w:pPr>
              <w:pStyle w:val="40"/>
              <w:jc w:val="center"/>
              <w:rPr>
                <w:rFonts w:ascii="宋体" w:hAnsi="宋体" w:cs="仿宋_GB2312"/>
                <w:szCs w:val="28"/>
              </w:rPr>
            </w:pPr>
            <w:r>
              <w:rPr>
                <w:rFonts w:hint="eastAsia" w:ascii="宋体" w:hAnsi="宋体"/>
                <w:szCs w:val="28"/>
              </w:rPr>
              <w:t>偏离说明</w:t>
            </w:r>
          </w:p>
        </w:tc>
        <w:tc>
          <w:tcPr>
            <w:tcW w:w="1497" w:type="dxa"/>
            <w:vAlign w:val="center"/>
          </w:tcPr>
          <w:p>
            <w:pPr>
              <w:pStyle w:val="40"/>
              <w:jc w:val="center"/>
              <w:rPr>
                <w:rFonts w:ascii="宋体" w:hAnsi="宋体" w:cs="仿宋_GB2312"/>
                <w:szCs w:val="28"/>
              </w:rPr>
            </w:pPr>
            <w:r>
              <w:rPr>
                <w:rFonts w:hint="eastAsia" w:ascii="宋体" w:hAnsi="宋体" w:cs="宋体"/>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vAlign w:val="center"/>
          </w:tcPr>
          <w:p>
            <w:pPr>
              <w:pStyle w:val="40"/>
              <w:rPr>
                <w:rFonts w:ascii="宋体" w:hAnsi="宋体" w:cs="仿宋_GB2312"/>
                <w:szCs w:val="28"/>
              </w:rPr>
            </w:pPr>
            <w:r>
              <w:rPr>
                <w:rFonts w:hint="eastAsia" w:ascii="宋体" w:hAnsi="宋体" w:cs="仿宋_GB2312"/>
                <w:szCs w:val="28"/>
              </w:rPr>
              <w:t>…</w:t>
            </w:r>
          </w:p>
        </w:tc>
        <w:tc>
          <w:tcPr>
            <w:tcW w:w="2556" w:type="dxa"/>
            <w:vAlign w:val="center"/>
          </w:tcPr>
          <w:p>
            <w:pPr>
              <w:pStyle w:val="40"/>
              <w:jc w:val="center"/>
              <w:rPr>
                <w:rFonts w:ascii="宋体" w:hAnsi="宋体" w:cs="仿宋_GB2312"/>
                <w:szCs w:val="28"/>
              </w:rPr>
            </w:pPr>
          </w:p>
        </w:tc>
        <w:tc>
          <w:tcPr>
            <w:tcW w:w="2556"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c>
          <w:tcPr>
            <w:tcW w:w="1497" w:type="dxa"/>
            <w:vAlign w:val="center"/>
          </w:tcPr>
          <w:p>
            <w:pPr>
              <w:pStyle w:val="40"/>
              <w:jc w:val="center"/>
              <w:rPr>
                <w:rFonts w:ascii="宋体" w:hAnsi="宋体" w:cs="仿宋_GB2312"/>
                <w:szCs w:val="28"/>
              </w:rPr>
            </w:pPr>
          </w:p>
        </w:tc>
      </w:tr>
    </w:tbl>
    <w:p>
      <w:pPr>
        <w:pStyle w:val="40"/>
        <w:adjustRightInd w:val="0"/>
        <w:snapToGrid w:val="0"/>
        <w:spacing w:line="360" w:lineRule="auto"/>
        <w:ind w:left="840" w:hanging="840" w:hangingChars="300"/>
        <w:rPr>
          <w:rFonts w:ascii="宋体" w:hAnsi="宋体" w:cs="Corbel"/>
          <w:szCs w:val="28"/>
        </w:rPr>
      </w:pPr>
      <w:r>
        <w:rPr>
          <w:rFonts w:hint="eastAsia" w:ascii="宋体" w:hAnsi="宋体" w:cs="Corbel"/>
          <w:szCs w:val="28"/>
        </w:rPr>
        <w:t>注：1.投标人须对照招标文件第六部分</w:t>
      </w:r>
      <w:r>
        <w:rPr>
          <w:rFonts w:hint="eastAsia" w:ascii="宋体" w:hAnsi="宋体" w:cs="Corbel"/>
          <w:szCs w:val="28"/>
          <w:lang w:val="zh-CN"/>
        </w:rPr>
        <w:t>磋商办法前附表</w:t>
      </w:r>
      <w:r>
        <w:rPr>
          <w:rFonts w:hint="eastAsia" w:ascii="宋体" w:hAnsi="宋体" w:cs="Corbel"/>
          <w:szCs w:val="28"/>
        </w:rPr>
        <w:t>中“资格性审查”的条款逐项说明是否满足要求，如有偏离</w:t>
      </w:r>
      <w:r>
        <w:rPr>
          <w:rFonts w:hint="eastAsia" w:ascii="宋体" w:hAnsi="宋体" w:cs="Corbel"/>
          <w:szCs w:val="28"/>
          <w:lang w:eastAsia="zh-CN"/>
        </w:rPr>
        <w:t>，</w:t>
      </w:r>
      <w:r>
        <w:rPr>
          <w:rFonts w:hint="eastAsia" w:ascii="宋体" w:hAnsi="宋体" w:cs="Corbel"/>
          <w:szCs w:val="28"/>
        </w:rPr>
        <w:t>投标人必须详细说明。</w:t>
      </w:r>
    </w:p>
    <w:p>
      <w:pPr>
        <w:pStyle w:val="40"/>
        <w:adjustRightInd w:val="0"/>
        <w:snapToGrid w:val="0"/>
        <w:spacing w:line="300" w:lineRule="auto"/>
        <w:ind w:firstLine="560" w:firstLineChars="200"/>
        <w:rPr>
          <w:rFonts w:ascii="宋体" w:hAnsi="宋体" w:cs="Corbel"/>
          <w:szCs w:val="28"/>
          <w:highlight w:val="yellow"/>
        </w:rPr>
      </w:pPr>
    </w:p>
    <w:p>
      <w:pPr>
        <w:pStyle w:val="40"/>
        <w:widowControl/>
        <w:jc w:val="left"/>
        <w:rPr>
          <w:rFonts w:ascii="宋体" w:hAnsi="宋体"/>
          <w:b/>
          <w:szCs w:val="28"/>
        </w:rPr>
      </w:pPr>
    </w:p>
    <w:p>
      <w:pPr>
        <w:snapToGrid w:val="0"/>
        <w:spacing w:line="400" w:lineRule="exact"/>
        <w:ind w:firstLine="3000" w:firstLineChars="1250"/>
        <w:rPr>
          <w:rFonts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39"/>
      </w:pPr>
    </w:p>
    <w:p>
      <w:pPr>
        <w:jc w:val="left"/>
        <w:rPr>
          <w:rFonts w:ascii="宋体" w:hAnsi="宋体" w:eastAsia="宋体" w:cs="宋体"/>
          <w:b/>
          <w:bCs/>
          <w:sz w:val="28"/>
          <w:szCs w:val="28"/>
        </w:rPr>
      </w:pPr>
      <w:r>
        <w:rPr>
          <w:rFonts w:hint="eastAsia" w:ascii="宋体" w:hAnsi="宋体" w:eastAsia="宋体" w:cs="宋体"/>
          <w:b/>
          <w:bCs/>
          <w:sz w:val="28"/>
          <w:szCs w:val="28"/>
        </w:rPr>
        <w:t>附件：供应商基本情况表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法定代表人</w:t>
            </w:r>
          </w:p>
        </w:tc>
        <w:tc>
          <w:tcPr>
            <w:tcW w:w="2078"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社会信用代码</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邮政编码</w:t>
            </w:r>
          </w:p>
        </w:tc>
        <w:tc>
          <w:tcPr>
            <w:tcW w:w="2078"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公司联系电话</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电子邮箱</w:t>
            </w:r>
          </w:p>
        </w:tc>
        <w:tc>
          <w:tcPr>
            <w:tcW w:w="2078"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员工总人数</w:t>
            </w:r>
          </w:p>
        </w:tc>
        <w:tc>
          <w:tcPr>
            <w:tcW w:w="2078"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eastAsia="宋体" w:cs="宋体"/>
                <w:sz w:val="21"/>
              </w:rPr>
            </w:pPr>
            <w:r>
              <w:rPr>
                <w:rFonts w:hint="eastAsia" w:ascii="宋体" w:hAnsi="宋体" w:eastAsia="宋体" w:cs="宋体"/>
                <w:sz w:val="21"/>
              </w:rPr>
              <w:t>注册地址</w:t>
            </w:r>
          </w:p>
        </w:tc>
        <w:tc>
          <w:tcPr>
            <w:tcW w:w="340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eastAsia="宋体" w:cs="宋体"/>
                <w:sz w:val="21"/>
              </w:rPr>
            </w:pPr>
            <w:r>
              <w:rPr>
                <w:rFonts w:hint="eastAsia" w:ascii="宋体" w:hAnsi="宋体" w:eastAsia="宋体" w:cs="宋体"/>
                <w:sz w:val="21"/>
              </w:rPr>
              <w:t>发证日期</w:t>
            </w:r>
          </w:p>
        </w:tc>
        <w:tc>
          <w:tcPr>
            <w:tcW w:w="340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营业范围（主营）</w:t>
            </w:r>
          </w:p>
        </w:tc>
        <w:tc>
          <w:tcPr>
            <w:tcW w:w="6224"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营业范围（兼营）</w:t>
            </w:r>
          </w:p>
        </w:tc>
        <w:tc>
          <w:tcPr>
            <w:tcW w:w="6224"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基本账户开户行</w:t>
            </w:r>
            <w:r>
              <w:rPr>
                <w:rFonts w:hint="eastAsia" w:ascii="宋体" w:hAnsi="宋体" w:eastAsia="宋体" w:cs="宋体"/>
                <w:sz w:val="21"/>
                <w:lang w:eastAsia="zh-CN"/>
              </w:rPr>
              <w:t>及账号</w:t>
            </w:r>
          </w:p>
        </w:tc>
        <w:tc>
          <w:tcPr>
            <w:tcW w:w="6224"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税务登记机关</w:t>
            </w:r>
          </w:p>
        </w:tc>
        <w:tc>
          <w:tcPr>
            <w:tcW w:w="6224"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发证机关</w:t>
            </w:r>
          </w:p>
        </w:tc>
        <w:tc>
          <w:tcPr>
            <w:tcW w:w="340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340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340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sz w:val="21"/>
              </w:rPr>
            </w:pPr>
          </w:p>
        </w:tc>
        <w:tc>
          <w:tcPr>
            <w:tcW w:w="3407"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hAnsi="宋体" w:eastAsia="宋体" w:cs="宋体"/>
                <w:sz w:val="21"/>
              </w:rPr>
            </w:pPr>
            <w:r>
              <w:rPr>
                <w:rFonts w:hint="eastAsia" w:ascii="宋体" w:hAnsi="宋体" w:eastAsia="宋体" w:cs="宋体"/>
                <w:sz w:val="21"/>
              </w:rPr>
              <w:t>供应商综合文字情况简介</w:t>
            </w:r>
          </w:p>
        </w:tc>
        <w:tc>
          <w:tcPr>
            <w:tcW w:w="7729"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宋体" w:hAnsi="宋体" w:eastAsia="宋体" w:cs="宋体"/>
                <w:sz w:val="21"/>
              </w:rPr>
            </w:pPr>
          </w:p>
        </w:tc>
      </w:tr>
    </w:tbl>
    <w:p>
      <w:pPr>
        <w:adjustRightInd w:val="0"/>
        <w:snapToGrid w:val="0"/>
        <w:spacing w:line="360" w:lineRule="auto"/>
        <w:ind w:right="-432" w:rightChars="-135" w:firstLine="470" w:firstLineChars="196"/>
        <w:jc w:val="left"/>
        <w:rPr>
          <w:rFonts w:ascii="宋体" w:hAnsi="宋体" w:eastAsia="宋体" w:cs="宋体"/>
          <w:b/>
          <w:sz w:val="24"/>
        </w:rPr>
      </w:pPr>
    </w:p>
    <w:p>
      <w:pPr>
        <w:adjustRightInd w:val="0"/>
        <w:snapToGrid w:val="0"/>
        <w:spacing w:line="360" w:lineRule="auto"/>
        <w:ind w:right="-432" w:rightChars="-135" w:firstLine="470" w:firstLineChars="196"/>
        <w:jc w:val="left"/>
      </w:pPr>
      <w:r>
        <w:rPr>
          <w:rFonts w:hint="eastAsia" w:ascii="宋体" w:hAnsi="宋体" w:eastAsia="宋体" w:cs="宋体"/>
          <w:b/>
          <w:sz w:val="24"/>
        </w:rPr>
        <w:t>后附企业营业执照等竞争性磋商文件第一章要求的证件复印件</w:t>
      </w:r>
      <w:r>
        <w:rPr>
          <w:rFonts w:hint="eastAsia" w:ascii="宋体" w:hAnsi="宋体" w:eastAsia="宋体" w:cs="宋体"/>
          <w:b/>
          <w:sz w:val="24"/>
          <w:szCs w:val="22"/>
        </w:rPr>
        <w:t>（</w:t>
      </w:r>
      <w:r>
        <w:rPr>
          <w:rFonts w:hint="eastAsia" w:ascii="宋体" w:hAnsi="宋体" w:eastAsia="宋体" w:cs="宋体"/>
          <w:b/>
          <w:sz w:val="24"/>
          <w:szCs w:val="22"/>
          <w:lang w:val="zh-CN"/>
        </w:rPr>
        <w:t>包含但不限于竞争性磋商公告中要求的所有证件）</w:t>
      </w:r>
      <w:r>
        <w:rPr>
          <w:rFonts w:hint="eastAsia" w:ascii="宋体" w:hAnsi="宋体" w:eastAsia="宋体" w:cs="宋体"/>
          <w:b/>
          <w:sz w:val="24"/>
          <w:szCs w:val="22"/>
        </w:rPr>
        <w:t>。</w:t>
      </w:r>
    </w:p>
    <w:p>
      <w:pPr>
        <w:ind w:left="3000"/>
        <w:rPr>
          <w:rFonts w:ascii="宋体" w:hAnsi="宋体" w:eastAsia="宋体" w:cs="宋体"/>
          <w:sz w:val="24"/>
          <w:u w:val="single"/>
        </w:rPr>
      </w:pPr>
      <w:r>
        <w:rPr>
          <w:rFonts w:hint="eastAsia" w:ascii="宋体" w:hAnsi="宋体" w:eastAsia="宋体" w:cs="宋体"/>
          <w:sz w:val="24"/>
        </w:rPr>
        <w:t>供应商名称（盖单位公章）：</w:t>
      </w:r>
      <w:r>
        <w:rPr>
          <w:rFonts w:hint="eastAsia" w:ascii="宋体" w:hAnsi="宋体" w:eastAsia="宋体" w:cs="宋体"/>
          <w:sz w:val="24"/>
          <w:u w:val="single"/>
        </w:rPr>
        <w:t xml:space="preserve">                    </w:t>
      </w:r>
    </w:p>
    <w:p>
      <w:pPr>
        <w:ind w:left="3000"/>
        <w:rPr>
          <w:rFonts w:ascii="宋体" w:hAnsi="宋体" w:eastAsia="宋体" w:cs="宋体"/>
          <w:sz w:val="24"/>
        </w:rPr>
      </w:pPr>
      <w:r>
        <w:rPr>
          <w:rFonts w:hint="eastAsia" w:ascii="宋体" w:hAnsi="宋体" w:eastAsia="宋体" w:cs="宋体"/>
          <w:sz w:val="24"/>
        </w:rPr>
        <w:t xml:space="preserve">法定代表人或委托代理人（签字）：                </w:t>
      </w:r>
    </w:p>
    <w:p>
      <w:pPr>
        <w:ind w:left="3000"/>
        <w:rPr>
          <w:rFonts w:ascii="宋体" w:hAnsi="宋体" w:eastAsia="宋体" w:cs="宋体"/>
          <w:sz w:val="24"/>
        </w:rPr>
        <w:sectPr>
          <w:pgSz w:w="11906" w:h="16838"/>
          <w:pgMar w:top="1134" w:right="1247" w:bottom="851" w:left="1418" w:header="964" w:footer="851" w:gutter="0"/>
          <w:cols w:space="720" w:num="1"/>
          <w:titlePg/>
          <w:docGrid w:type="linesAndChars" w:linePitch="435" w:charSpace="0"/>
        </w:sectPr>
      </w:pPr>
    </w:p>
    <w:p>
      <w:pPr>
        <w:spacing w:line="360" w:lineRule="auto"/>
        <w:jc w:val="left"/>
        <w:rPr>
          <w:rFonts w:ascii="宋体" w:hAnsi="宋体" w:eastAsia="宋体" w:cs="宋体"/>
          <w:b/>
          <w:bCs/>
          <w:sz w:val="28"/>
          <w:szCs w:val="28"/>
        </w:rPr>
      </w:pPr>
      <w:r>
        <w:rPr>
          <w:rFonts w:hint="eastAsia" w:ascii="宋体" w:hAnsi="宋体" w:eastAsia="宋体" w:cs="宋体"/>
          <w:b/>
          <w:bCs/>
          <w:sz w:val="28"/>
          <w:szCs w:val="28"/>
        </w:rPr>
        <w:t>项目负责人简历表：</w:t>
      </w:r>
    </w:p>
    <w:tbl>
      <w:tblPr>
        <w:tblStyle w:val="18"/>
        <w:tblpPr w:leftFromText="180" w:rightFromText="180" w:vertAnchor="text" w:horzAnchor="page" w:tblpX="1424" w:tblpY="8"/>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utoSpaceDE w:val="0"/>
              <w:autoSpaceDN w:val="0"/>
              <w:adjustRightInd w:val="0"/>
              <w:spacing w:line="360" w:lineRule="auto"/>
              <w:jc w:val="center"/>
              <w:rPr>
                <w:rFonts w:ascii="宋体" w:hAnsi="宋体" w:eastAsia="宋体" w:cs="宋体"/>
                <w:sz w:val="24"/>
                <w:szCs w:val="28"/>
              </w:rPr>
            </w:pPr>
            <w:r>
              <w:rPr>
                <w:rFonts w:hint="eastAsia" w:ascii="宋体" w:hAnsi="宋体" w:eastAsia="宋体" w:cs="宋体"/>
                <w:sz w:val="24"/>
                <w:szCs w:val="28"/>
              </w:rPr>
              <w:t>姓    名</w:t>
            </w:r>
          </w:p>
        </w:tc>
        <w:tc>
          <w:tcPr>
            <w:tcW w:w="1530" w:type="dxa"/>
            <w:gridSpan w:val="2"/>
            <w:vAlign w:val="center"/>
          </w:tcPr>
          <w:p>
            <w:pPr>
              <w:autoSpaceDE w:val="0"/>
              <w:autoSpaceDN w:val="0"/>
              <w:adjustRightInd w:val="0"/>
              <w:spacing w:line="360" w:lineRule="auto"/>
              <w:ind w:right="435" w:rightChars="136"/>
              <w:jc w:val="center"/>
              <w:rPr>
                <w:rFonts w:ascii="宋体" w:hAnsi="宋体" w:eastAsia="宋体" w:cs="宋体"/>
                <w:sz w:val="24"/>
                <w:szCs w:val="28"/>
              </w:rPr>
            </w:pPr>
          </w:p>
        </w:tc>
        <w:tc>
          <w:tcPr>
            <w:tcW w:w="1530" w:type="dxa"/>
            <w:gridSpan w:val="2"/>
            <w:vAlign w:val="center"/>
          </w:tcPr>
          <w:p>
            <w:pPr>
              <w:autoSpaceDE w:val="0"/>
              <w:autoSpaceDN w:val="0"/>
              <w:adjustRightInd w:val="0"/>
              <w:spacing w:line="360" w:lineRule="auto"/>
              <w:ind w:right="-195" w:rightChars="-61"/>
              <w:jc w:val="center"/>
              <w:rPr>
                <w:rFonts w:ascii="宋体" w:hAnsi="宋体" w:eastAsia="宋体" w:cs="宋体"/>
                <w:sz w:val="24"/>
                <w:szCs w:val="28"/>
              </w:rPr>
            </w:pPr>
            <w:r>
              <w:rPr>
                <w:rFonts w:hint="eastAsia" w:ascii="宋体" w:hAnsi="宋体" w:eastAsia="宋体" w:cs="宋体"/>
                <w:sz w:val="24"/>
                <w:szCs w:val="28"/>
              </w:rPr>
              <w:t>性    别</w:t>
            </w:r>
          </w:p>
        </w:tc>
        <w:tc>
          <w:tcPr>
            <w:tcW w:w="1530" w:type="dxa"/>
            <w:gridSpan w:val="2"/>
            <w:vAlign w:val="center"/>
          </w:tcPr>
          <w:p>
            <w:pPr>
              <w:autoSpaceDE w:val="0"/>
              <w:autoSpaceDN w:val="0"/>
              <w:adjustRightInd w:val="0"/>
              <w:spacing w:line="360" w:lineRule="auto"/>
              <w:ind w:right="435" w:rightChars="136"/>
              <w:jc w:val="center"/>
              <w:rPr>
                <w:rFonts w:ascii="宋体" w:hAnsi="宋体" w:eastAsia="宋体" w:cs="宋体"/>
                <w:sz w:val="24"/>
                <w:szCs w:val="28"/>
              </w:rPr>
            </w:pPr>
          </w:p>
        </w:tc>
        <w:tc>
          <w:tcPr>
            <w:tcW w:w="1530" w:type="dxa"/>
            <w:gridSpan w:val="2"/>
            <w:vAlign w:val="center"/>
          </w:tcPr>
          <w:p>
            <w:pPr>
              <w:autoSpaceDE w:val="0"/>
              <w:autoSpaceDN w:val="0"/>
              <w:adjustRightInd w:val="0"/>
              <w:spacing w:line="360" w:lineRule="auto"/>
              <w:ind w:right="3" w:rightChars="1"/>
              <w:jc w:val="center"/>
              <w:rPr>
                <w:rFonts w:ascii="宋体" w:hAnsi="宋体" w:eastAsia="宋体" w:cs="宋体"/>
                <w:sz w:val="24"/>
                <w:szCs w:val="28"/>
              </w:rPr>
            </w:pPr>
            <w:r>
              <w:rPr>
                <w:rFonts w:hint="eastAsia" w:ascii="宋体" w:hAnsi="宋体" w:eastAsia="宋体" w:cs="宋体"/>
                <w:sz w:val="24"/>
                <w:szCs w:val="28"/>
              </w:rPr>
              <w:t>年    龄</w:t>
            </w:r>
          </w:p>
        </w:tc>
        <w:tc>
          <w:tcPr>
            <w:tcW w:w="1530" w:type="dxa"/>
            <w:vAlign w:val="center"/>
          </w:tcPr>
          <w:p>
            <w:pPr>
              <w:autoSpaceDE w:val="0"/>
              <w:autoSpaceDN w:val="0"/>
              <w:adjustRightInd w:val="0"/>
              <w:spacing w:line="360" w:lineRule="auto"/>
              <w:ind w:right="435" w:rightChars="136"/>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autoSpaceDE w:val="0"/>
              <w:autoSpaceDN w:val="0"/>
              <w:adjustRightInd w:val="0"/>
              <w:spacing w:line="360" w:lineRule="auto"/>
              <w:jc w:val="center"/>
              <w:rPr>
                <w:rFonts w:ascii="宋体" w:hAnsi="宋体" w:eastAsia="宋体" w:cs="宋体"/>
                <w:sz w:val="24"/>
                <w:szCs w:val="28"/>
              </w:rPr>
            </w:pPr>
            <w:r>
              <w:rPr>
                <w:rFonts w:hint="eastAsia" w:ascii="宋体" w:hAnsi="宋体" w:eastAsia="宋体" w:cs="宋体"/>
                <w:sz w:val="24"/>
                <w:szCs w:val="28"/>
              </w:rPr>
              <w:t>职    务</w:t>
            </w:r>
          </w:p>
        </w:tc>
        <w:tc>
          <w:tcPr>
            <w:tcW w:w="1530" w:type="dxa"/>
            <w:gridSpan w:val="2"/>
            <w:vAlign w:val="center"/>
          </w:tcPr>
          <w:p>
            <w:pPr>
              <w:autoSpaceDE w:val="0"/>
              <w:autoSpaceDN w:val="0"/>
              <w:adjustRightInd w:val="0"/>
              <w:spacing w:line="360" w:lineRule="auto"/>
              <w:ind w:right="435" w:rightChars="136"/>
              <w:jc w:val="center"/>
              <w:rPr>
                <w:rFonts w:ascii="宋体" w:hAnsi="宋体" w:eastAsia="宋体" w:cs="宋体"/>
                <w:sz w:val="24"/>
                <w:szCs w:val="28"/>
              </w:rPr>
            </w:pPr>
          </w:p>
        </w:tc>
        <w:tc>
          <w:tcPr>
            <w:tcW w:w="1530" w:type="dxa"/>
            <w:gridSpan w:val="2"/>
            <w:vAlign w:val="center"/>
          </w:tcPr>
          <w:p>
            <w:pPr>
              <w:autoSpaceDE w:val="0"/>
              <w:autoSpaceDN w:val="0"/>
              <w:adjustRightInd w:val="0"/>
              <w:spacing w:line="360" w:lineRule="auto"/>
              <w:ind w:right="-128" w:rightChars="-40"/>
              <w:jc w:val="center"/>
              <w:rPr>
                <w:rFonts w:ascii="宋体" w:hAnsi="宋体" w:eastAsia="宋体" w:cs="宋体"/>
                <w:sz w:val="24"/>
                <w:szCs w:val="28"/>
              </w:rPr>
            </w:pPr>
            <w:r>
              <w:rPr>
                <w:rFonts w:hint="eastAsia" w:ascii="宋体" w:hAnsi="宋体" w:eastAsia="宋体" w:cs="宋体"/>
                <w:sz w:val="24"/>
                <w:szCs w:val="28"/>
              </w:rPr>
              <w:t>职    称</w:t>
            </w:r>
          </w:p>
        </w:tc>
        <w:tc>
          <w:tcPr>
            <w:tcW w:w="1530" w:type="dxa"/>
            <w:gridSpan w:val="2"/>
            <w:vAlign w:val="center"/>
          </w:tcPr>
          <w:p>
            <w:pPr>
              <w:autoSpaceDE w:val="0"/>
              <w:autoSpaceDN w:val="0"/>
              <w:adjustRightInd w:val="0"/>
              <w:spacing w:line="360" w:lineRule="auto"/>
              <w:ind w:right="435" w:rightChars="136"/>
              <w:jc w:val="center"/>
              <w:rPr>
                <w:rFonts w:ascii="宋体" w:hAnsi="宋体" w:eastAsia="宋体" w:cs="宋体"/>
                <w:sz w:val="24"/>
                <w:szCs w:val="28"/>
              </w:rPr>
            </w:pPr>
          </w:p>
        </w:tc>
        <w:tc>
          <w:tcPr>
            <w:tcW w:w="1530" w:type="dxa"/>
            <w:gridSpan w:val="2"/>
            <w:vAlign w:val="center"/>
          </w:tcPr>
          <w:p>
            <w:pPr>
              <w:autoSpaceDE w:val="0"/>
              <w:autoSpaceDN w:val="0"/>
              <w:adjustRightInd w:val="0"/>
              <w:spacing w:line="360" w:lineRule="auto"/>
              <w:ind w:right="3" w:rightChars="1"/>
              <w:jc w:val="center"/>
              <w:rPr>
                <w:rFonts w:ascii="宋体" w:hAnsi="宋体" w:eastAsia="宋体" w:cs="宋体"/>
                <w:sz w:val="24"/>
                <w:szCs w:val="28"/>
              </w:rPr>
            </w:pPr>
            <w:r>
              <w:rPr>
                <w:rFonts w:hint="eastAsia" w:ascii="宋体" w:hAnsi="宋体" w:eastAsia="宋体" w:cs="宋体"/>
                <w:sz w:val="24"/>
                <w:szCs w:val="28"/>
              </w:rPr>
              <w:t>学    历</w:t>
            </w:r>
          </w:p>
        </w:tc>
        <w:tc>
          <w:tcPr>
            <w:tcW w:w="1530" w:type="dxa"/>
            <w:vAlign w:val="center"/>
          </w:tcPr>
          <w:p>
            <w:pPr>
              <w:autoSpaceDE w:val="0"/>
              <w:autoSpaceDN w:val="0"/>
              <w:adjustRightInd w:val="0"/>
              <w:spacing w:line="360" w:lineRule="auto"/>
              <w:ind w:right="3" w:rightChars="1"/>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2" w:type="dxa"/>
            <w:vAlign w:val="center"/>
          </w:tcPr>
          <w:p>
            <w:pPr>
              <w:autoSpaceDE w:val="0"/>
              <w:autoSpaceDN w:val="0"/>
              <w:adjustRightInd w:val="0"/>
              <w:spacing w:line="360" w:lineRule="auto"/>
              <w:jc w:val="center"/>
              <w:rPr>
                <w:rFonts w:ascii="宋体" w:hAnsi="宋体" w:eastAsia="宋体" w:cs="宋体"/>
                <w:sz w:val="24"/>
                <w:szCs w:val="28"/>
              </w:rPr>
            </w:pPr>
            <w:r>
              <w:rPr>
                <w:rFonts w:hint="eastAsia" w:ascii="宋体" w:hAnsi="宋体" w:eastAsia="宋体" w:cs="宋体"/>
                <w:sz w:val="24"/>
                <w:szCs w:val="28"/>
              </w:rPr>
              <w:t>参加工作</w:t>
            </w:r>
          </w:p>
          <w:p>
            <w:pPr>
              <w:autoSpaceDE w:val="0"/>
              <w:autoSpaceDN w:val="0"/>
              <w:adjustRightInd w:val="0"/>
              <w:spacing w:line="360" w:lineRule="auto"/>
              <w:jc w:val="center"/>
              <w:rPr>
                <w:rFonts w:ascii="宋体" w:hAnsi="宋体" w:eastAsia="宋体" w:cs="宋体"/>
                <w:sz w:val="24"/>
                <w:szCs w:val="28"/>
              </w:rPr>
            </w:pPr>
            <w:r>
              <w:rPr>
                <w:rFonts w:hint="eastAsia" w:ascii="宋体" w:hAnsi="宋体" w:eastAsia="宋体" w:cs="宋体"/>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宋体"/>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宋体"/>
                <w:sz w:val="24"/>
                <w:szCs w:val="28"/>
              </w:rPr>
            </w:pPr>
            <w:r>
              <w:rPr>
                <w:rFonts w:hint="eastAsia" w:ascii="宋体" w:hAnsi="宋体" w:eastAsia="宋体" w:cs="宋体"/>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宋体"/>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宋体"/>
                <w:sz w:val="24"/>
                <w:szCs w:val="28"/>
              </w:rPr>
            </w:pPr>
            <w:r>
              <w:rPr>
                <w:rFonts w:hint="eastAsia" w:ascii="宋体" w:hAnsi="宋体" w:eastAsia="宋体" w:cs="宋体"/>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352" w:type="dxa"/>
            <w:gridSpan w:val="10"/>
            <w:vAlign w:val="center"/>
          </w:tcPr>
          <w:p>
            <w:pPr>
              <w:autoSpaceDE w:val="0"/>
              <w:autoSpaceDN w:val="0"/>
              <w:adjustRightInd w:val="0"/>
              <w:spacing w:line="360" w:lineRule="auto"/>
              <w:ind w:right="435" w:rightChars="136"/>
              <w:jc w:val="center"/>
              <w:rPr>
                <w:rFonts w:ascii="宋体" w:hAnsi="宋体" w:eastAsia="宋体" w:cs="宋体"/>
                <w:sz w:val="24"/>
                <w:szCs w:val="28"/>
              </w:rPr>
            </w:pPr>
            <w:r>
              <w:rPr>
                <w:rFonts w:hint="eastAsia" w:ascii="宋体" w:hAnsi="宋体" w:eastAsia="宋体" w:cs="宋体"/>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9352" w:type="dxa"/>
            <w:gridSpan w:val="10"/>
            <w:vAlign w:val="center"/>
          </w:tcPr>
          <w:p>
            <w:pPr>
              <w:autoSpaceDE w:val="0"/>
              <w:autoSpaceDN w:val="0"/>
              <w:adjustRightInd w:val="0"/>
              <w:spacing w:line="360" w:lineRule="auto"/>
              <w:ind w:right="435" w:rightChars="136"/>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352" w:type="dxa"/>
            <w:gridSpan w:val="10"/>
            <w:vAlign w:val="center"/>
          </w:tcPr>
          <w:p>
            <w:pPr>
              <w:autoSpaceDE w:val="0"/>
              <w:autoSpaceDN w:val="0"/>
              <w:adjustRightInd w:val="0"/>
              <w:spacing w:line="360" w:lineRule="auto"/>
              <w:ind w:right="435" w:rightChars="136"/>
              <w:jc w:val="center"/>
              <w:rPr>
                <w:rFonts w:ascii="宋体" w:hAnsi="宋体" w:eastAsia="宋体" w:cs="宋体"/>
                <w:sz w:val="24"/>
                <w:szCs w:val="28"/>
              </w:rPr>
            </w:pPr>
            <w:r>
              <w:rPr>
                <w:rFonts w:hint="eastAsia" w:ascii="宋体" w:hAnsi="宋体" w:eastAsia="宋体" w:cs="宋体"/>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r>
              <w:rPr>
                <w:rFonts w:hint="eastAsia" w:ascii="宋体" w:hAnsi="宋体" w:eastAsia="宋体" w:cs="宋体"/>
                <w:sz w:val="24"/>
                <w:szCs w:val="28"/>
              </w:rPr>
              <w:t>项目单位</w:t>
            </w: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r>
              <w:rPr>
                <w:rFonts w:hint="eastAsia" w:ascii="宋体" w:hAnsi="宋体" w:eastAsia="宋体" w:cs="宋体"/>
                <w:sz w:val="24"/>
                <w:szCs w:val="28"/>
              </w:rPr>
              <w:t>项目名称</w:t>
            </w: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r>
              <w:rPr>
                <w:rFonts w:hint="eastAsia" w:ascii="宋体" w:hAnsi="宋体" w:eastAsia="宋体" w:cs="宋体"/>
                <w:sz w:val="24"/>
                <w:szCs w:val="28"/>
              </w:rPr>
              <w:t>项目内容</w:t>
            </w: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r>
              <w:rPr>
                <w:rFonts w:hint="eastAsia" w:ascii="宋体" w:hAnsi="宋体" w:eastAsia="宋体" w:cs="宋体"/>
                <w:sz w:val="24"/>
                <w:szCs w:val="28"/>
              </w:rPr>
              <w:t>项目金额</w:t>
            </w: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r>
              <w:rPr>
                <w:rFonts w:hint="eastAsia" w:ascii="宋体" w:hAnsi="宋体" w:eastAsia="宋体" w:cs="宋体"/>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c>
          <w:tcPr>
            <w:tcW w:w="1836" w:type="dxa"/>
            <w:gridSpan w:val="2"/>
            <w:vAlign w:val="center"/>
          </w:tcPr>
          <w:p>
            <w:pPr>
              <w:autoSpaceDE w:val="0"/>
              <w:autoSpaceDN w:val="0"/>
              <w:adjustRightInd w:val="0"/>
              <w:spacing w:line="360" w:lineRule="auto"/>
              <w:ind w:right="-121" w:rightChars="-38"/>
              <w:jc w:val="center"/>
              <w:rPr>
                <w:rFonts w:ascii="宋体" w:hAnsi="宋体" w:eastAsia="宋体" w:cs="宋体"/>
                <w:sz w:val="24"/>
                <w:szCs w:val="28"/>
              </w:rPr>
            </w:pPr>
          </w:p>
        </w:tc>
      </w:tr>
    </w:tbl>
    <w:p>
      <w:pPr>
        <w:rPr>
          <w:lang w:val="zh-CN"/>
        </w:rPr>
      </w:pPr>
    </w:p>
    <w:p>
      <w:pPr>
        <w:spacing w:line="360" w:lineRule="auto"/>
        <w:ind w:firstLine="3316" w:firstLineChars="1382"/>
        <w:rPr>
          <w:rFonts w:ascii="宋体" w:hAnsi="宋体" w:cs="宋体"/>
          <w:b/>
          <w:bCs/>
          <w:sz w:val="24"/>
        </w:rPr>
      </w:pPr>
    </w:p>
    <w:p>
      <w:pPr>
        <w:spacing w:line="360" w:lineRule="auto"/>
        <w:ind w:left="3000"/>
        <w:rPr>
          <w:rFonts w:ascii="宋体" w:hAnsi="宋体" w:eastAsia="宋体" w:cs="宋体"/>
          <w:sz w:val="24"/>
          <w:szCs w:val="24"/>
          <w:u w:val="single"/>
        </w:rPr>
      </w:pPr>
      <w:r>
        <w:rPr>
          <w:rFonts w:hint="eastAsia" w:ascii="宋体" w:hAnsi="宋体" w:eastAsia="宋体" w:cs="宋体"/>
          <w:sz w:val="24"/>
          <w:szCs w:val="24"/>
        </w:rPr>
        <w:t>供应商名称（盖单位公章）：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 xml:space="preserve">                         法定代表人或委托代理人（签字）：</w:t>
      </w:r>
      <w:r>
        <w:rPr>
          <w:rFonts w:hint="eastAsia" w:ascii="宋体" w:hAnsi="宋体" w:eastAsia="宋体" w:cs="宋体"/>
          <w:sz w:val="24"/>
          <w:szCs w:val="24"/>
          <w:u w:val="single"/>
        </w:rPr>
        <w:t xml:space="preserve">                </w:t>
      </w:r>
    </w:p>
    <w:p>
      <w:pPr>
        <w:spacing w:line="360" w:lineRule="auto"/>
        <w:ind w:left="3000"/>
        <w:rPr>
          <w:rFonts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left="3000"/>
        <w:rPr>
          <w:rFonts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b/>
          <w:bCs/>
          <w:sz w:val="28"/>
          <w:szCs w:val="28"/>
        </w:rPr>
        <w:t>项目人员安排表：</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318"/>
        <w:gridCol w:w="987"/>
        <w:gridCol w:w="1288"/>
        <w:gridCol w:w="1559"/>
        <w:gridCol w:w="851"/>
        <w:gridCol w:w="1213"/>
        <w:gridCol w:w="7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8"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18"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987"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1288"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拟派项目岗位及职务</w:t>
            </w:r>
          </w:p>
        </w:tc>
        <w:tc>
          <w:tcPr>
            <w:tcW w:w="1559"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技术职称、执业资格</w:t>
            </w:r>
          </w:p>
        </w:tc>
        <w:tc>
          <w:tcPr>
            <w:tcW w:w="851"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工作年限</w:t>
            </w:r>
          </w:p>
        </w:tc>
        <w:tc>
          <w:tcPr>
            <w:tcW w:w="1213"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类似经验工作年限</w:t>
            </w:r>
          </w:p>
        </w:tc>
        <w:tc>
          <w:tcPr>
            <w:tcW w:w="736" w:type="dxa"/>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1</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2</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3</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4</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5</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6</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7</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8</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vAlign w:val="center"/>
          </w:tcPr>
          <w:p>
            <w:pPr>
              <w:spacing w:line="480" w:lineRule="exact"/>
              <w:jc w:val="center"/>
              <w:rPr>
                <w:rFonts w:ascii="宋体" w:hAnsi="宋体" w:eastAsia="宋体" w:cs="宋体"/>
                <w:sz w:val="24"/>
                <w:szCs w:val="24"/>
              </w:rPr>
            </w:pPr>
            <w:r>
              <w:rPr>
                <w:rFonts w:hint="eastAsia" w:ascii="宋体" w:hAnsi="宋体" w:eastAsia="宋体" w:cs="宋体"/>
                <w:sz w:val="24"/>
                <w:szCs w:val="24"/>
              </w:rPr>
              <w:t>……</w:t>
            </w:r>
          </w:p>
        </w:tc>
        <w:tc>
          <w:tcPr>
            <w:tcW w:w="1318" w:type="dxa"/>
            <w:vAlign w:val="center"/>
          </w:tcPr>
          <w:p>
            <w:pPr>
              <w:spacing w:line="480" w:lineRule="exact"/>
              <w:jc w:val="center"/>
              <w:rPr>
                <w:rFonts w:ascii="宋体" w:hAnsi="宋体" w:eastAsia="宋体" w:cs="宋体"/>
                <w:sz w:val="24"/>
                <w:szCs w:val="24"/>
              </w:rPr>
            </w:pPr>
          </w:p>
        </w:tc>
        <w:tc>
          <w:tcPr>
            <w:tcW w:w="987" w:type="dxa"/>
            <w:vAlign w:val="center"/>
          </w:tcPr>
          <w:p>
            <w:pPr>
              <w:spacing w:line="480" w:lineRule="exact"/>
              <w:jc w:val="center"/>
              <w:rPr>
                <w:rFonts w:ascii="宋体" w:hAnsi="宋体" w:eastAsia="宋体" w:cs="宋体"/>
                <w:sz w:val="24"/>
                <w:szCs w:val="24"/>
              </w:rPr>
            </w:pPr>
          </w:p>
        </w:tc>
        <w:tc>
          <w:tcPr>
            <w:tcW w:w="1288" w:type="dxa"/>
            <w:vAlign w:val="center"/>
          </w:tcPr>
          <w:p>
            <w:pPr>
              <w:spacing w:line="480" w:lineRule="exact"/>
              <w:jc w:val="center"/>
              <w:rPr>
                <w:rFonts w:ascii="宋体" w:hAnsi="宋体" w:eastAsia="宋体" w:cs="宋体"/>
                <w:sz w:val="24"/>
                <w:szCs w:val="24"/>
              </w:rPr>
            </w:pPr>
          </w:p>
        </w:tc>
        <w:tc>
          <w:tcPr>
            <w:tcW w:w="1559" w:type="dxa"/>
            <w:vAlign w:val="center"/>
          </w:tcPr>
          <w:p>
            <w:pPr>
              <w:spacing w:line="480" w:lineRule="exact"/>
              <w:jc w:val="center"/>
              <w:rPr>
                <w:rFonts w:ascii="宋体" w:hAnsi="宋体" w:eastAsia="宋体" w:cs="宋体"/>
                <w:sz w:val="24"/>
                <w:szCs w:val="24"/>
              </w:rPr>
            </w:pPr>
          </w:p>
        </w:tc>
        <w:tc>
          <w:tcPr>
            <w:tcW w:w="851" w:type="dxa"/>
            <w:vAlign w:val="center"/>
          </w:tcPr>
          <w:p>
            <w:pPr>
              <w:spacing w:line="480" w:lineRule="exact"/>
              <w:jc w:val="center"/>
              <w:rPr>
                <w:rFonts w:ascii="宋体" w:hAnsi="宋体" w:eastAsia="宋体" w:cs="宋体"/>
                <w:sz w:val="24"/>
                <w:szCs w:val="24"/>
              </w:rPr>
            </w:pPr>
          </w:p>
        </w:tc>
        <w:tc>
          <w:tcPr>
            <w:tcW w:w="1213" w:type="dxa"/>
            <w:vAlign w:val="center"/>
          </w:tcPr>
          <w:p>
            <w:pPr>
              <w:spacing w:line="480" w:lineRule="exact"/>
              <w:jc w:val="center"/>
              <w:rPr>
                <w:rFonts w:ascii="宋体" w:hAnsi="宋体" w:eastAsia="宋体" w:cs="宋体"/>
                <w:sz w:val="24"/>
                <w:szCs w:val="24"/>
              </w:rPr>
            </w:pPr>
          </w:p>
        </w:tc>
        <w:tc>
          <w:tcPr>
            <w:tcW w:w="736" w:type="dxa"/>
            <w:vAlign w:val="center"/>
          </w:tcPr>
          <w:p>
            <w:pPr>
              <w:spacing w:line="480" w:lineRule="exact"/>
              <w:jc w:val="center"/>
              <w:rPr>
                <w:rFonts w:ascii="宋体" w:hAnsi="宋体" w:eastAsia="宋体" w:cs="宋体"/>
                <w:sz w:val="24"/>
                <w:szCs w:val="24"/>
              </w:rPr>
            </w:pPr>
          </w:p>
        </w:tc>
      </w:tr>
    </w:tbl>
    <w:p>
      <w:pPr>
        <w:spacing w:line="480" w:lineRule="exact"/>
        <w:rPr>
          <w:rFonts w:ascii="宋体" w:hAnsi="宋体" w:eastAsia="宋体" w:cs="宋体"/>
          <w:sz w:val="24"/>
          <w:szCs w:val="24"/>
        </w:rPr>
      </w:pPr>
      <w:r>
        <w:rPr>
          <w:rFonts w:hint="eastAsia" w:ascii="宋体" w:hAnsi="宋体" w:eastAsia="宋体" w:cs="宋体"/>
          <w:sz w:val="24"/>
          <w:szCs w:val="24"/>
        </w:rPr>
        <w:t>后附：供应商的项目组团队成员证书等证明材料复印件。</w:t>
      </w:r>
    </w:p>
    <w:p>
      <w:pPr>
        <w:spacing w:line="480" w:lineRule="exact"/>
        <w:rPr>
          <w:rFonts w:ascii="宋体" w:hAnsi="宋体" w:eastAsia="宋体" w:cs="宋体"/>
          <w:sz w:val="24"/>
          <w:szCs w:val="24"/>
        </w:rPr>
      </w:pPr>
    </w:p>
    <w:p>
      <w:pPr>
        <w:spacing w:line="360" w:lineRule="auto"/>
        <w:ind w:left="3000"/>
        <w:rPr>
          <w:rFonts w:ascii="宋体" w:hAnsi="宋体" w:eastAsia="宋体" w:cs="宋体"/>
          <w:sz w:val="24"/>
          <w:szCs w:val="24"/>
          <w:u w:val="single"/>
        </w:rPr>
      </w:pPr>
      <w:r>
        <w:rPr>
          <w:rFonts w:hint="eastAsia" w:ascii="宋体" w:hAnsi="宋体" w:eastAsia="宋体" w:cs="宋体"/>
          <w:sz w:val="24"/>
          <w:szCs w:val="24"/>
        </w:rPr>
        <w:t>供应商名称（盖单位公章）：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 xml:space="preserve">                         法定代表人或委托代理人（签字）：</w:t>
      </w:r>
      <w:r>
        <w:rPr>
          <w:rFonts w:hint="eastAsia" w:ascii="宋体" w:hAnsi="宋体" w:eastAsia="宋体" w:cs="宋体"/>
          <w:sz w:val="24"/>
          <w:szCs w:val="24"/>
          <w:u w:val="single"/>
        </w:rPr>
        <w:t xml:space="preserve">                </w:t>
      </w:r>
    </w:p>
    <w:p>
      <w:pPr>
        <w:spacing w:line="360" w:lineRule="auto"/>
        <w:ind w:left="3000"/>
        <w:rPr>
          <w:rFonts w:ascii="宋体" w:hAnsi="宋体" w:eastAsia="宋体"/>
          <w:sz w:val="24"/>
        </w:rPr>
        <w:sectPr>
          <w:pgSz w:w="11906" w:h="16838"/>
          <w:pgMar w:top="1134" w:right="1247" w:bottom="851" w:left="1418" w:header="964" w:footer="851" w:gutter="0"/>
          <w:cols w:space="720" w:num="1"/>
          <w:titlePg/>
          <w:docGrid w:type="linesAndChars" w:linePitch="435" w:charSpace="0"/>
        </w:sect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9"/>
      </w:pPr>
      <w:bookmarkStart w:id="318" w:name="_Toc31766"/>
      <w:r>
        <w:rPr>
          <w:rFonts w:hint="eastAsia"/>
        </w:rPr>
        <w:t>2、符合性审查对照表</w:t>
      </w:r>
      <w:bookmarkEnd w:id="318"/>
    </w:p>
    <w:p>
      <w:pPr>
        <w:pStyle w:val="40"/>
        <w:adjustRightInd w:val="0"/>
        <w:snapToGrid w:val="0"/>
        <w:spacing w:line="500" w:lineRule="exact"/>
        <w:rPr>
          <w:rFonts w:ascii="宋体" w:hAnsi="宋体"/>
          <w:szCs w:val="28"/>
        </w:rPr>
      </w:pPr>
      <w:r>
        <w:rPr>
          <w:rFonts w:hint="eastAsia" w:ascii="宋体" w:hAnsi="宋体"/>
          <w:szCs w:val="28"/>
        </w:rPr>
        <w:t>项目编号：</w:t>
      </w:r>
      <w:r>
        <w:rPr>
          <w:rFonts w:hint="eastAsia" w:ascii="宋体" w:hAnsi="宋体"/>
          <w:szCs w:val="28"/>
          <w:u w:val="single"/>
        </w:rPr>
        <w:t xml:space="preserve">                              </w:t>
      </w:r>
      <w:r>
        <w:rPr>
          <w:rFonts w:hint="eastAsia" w:ascii="宋体" w:hAnsi="宋体"/>
          <w:szCs w:val="28"/>
        </w:rPr>
        <w:t xml:space="preserve">     </w:t>
      </w:r>
    </w:p>
    <w:p>
      <w:pPr>
        <w:pStyle w:val="40"/>
        <w:adjustRightInd w:val="0"/>
        <w:snapToGrid w:val="0"/>
        <w:spacing w:line="500" w:lineRule="exact"/>
        <w:rPr>
          <w:rFonts w:ascii="宋体" w:hAnsi="宋体"/>
          <w:szCs w:val="28"/>
          <w:u w:val="single"/>
        </w:rPr>
      </w:pPr>
      <w:r>
        <w:rPr>
          <w:rFonts w:hint="eastAsia" w:ascii="宋体" w:hAnsi="宋体"/>
          <w:szCs w:val="28"/>
        </w:rPr>
        <w:t>项目名称：</w:t>
      </w:r>
      <w:r>
        <w:rPr>
          <w:rFonts w:hint="eastAsia" w:ascii="宋体" w:hAnsi="宋体"/>
          <w:szCs w:val="28"/>
          <w:u w:val="single"/>
        </w:rPr>
        <w:t xml:space="preserve">                              </w:t>
      </w:r>
    </w:p>
    <w:tbl>
      <w:tblPr>
        <w:tblStyle w:val="18"/>
        <w:tblW w:w="488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765"/>
        <w:gridCol w:w="2765"/>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rPr>
                <w:rFonts w:ascii="宋体" w:hAnsi="宋体" w:cs="仿宋_GB2312"/>
                <w:szCs w:val="28"/>
              </w:rPr>
            </w:pPr>
            <w:r>
              <w:rPr>
                <w:rFonts w:hint="eastAsia" w:ascii="宋体" w:hAnsi="宋体"/>
                <w:szCs w:val="28"/>
              </w:rPr>
              <w:t>序号</w:t>
            </w:r>
          </w:p>
        </w:tc>
        <w:tc>
          <w:tcPr>
            <w:tcW w:w="1453" w:type="pct"/>
            <w:vAlign w:val="center"/>
          </w:tcPr>
          <w:p>
            <w:pPr>
              <w:jc w:val="center"/>
              <w:rPr>
                <w:rFonts w:ascii="宋体" w:hAnsi="宋体" w:eastAsia="宋体" w:cs="宋体"/>
                <w:sz w:val="28"/>
                <w:szCs w:val="28"/>
              </w:rPr>
            </w:pPr>
            <w:r>
              <w:rPr>
                <w:rFonts w:hint="eastAsia" w:ascii="宋体" w:hAnsi="宋体" w:eastAsia="宋体" w:cs="宋体"/>
                <w:sz w:val="28"/>
                <w:szCs w:val="28"/>
              </w:rPr>
              <w:t>磋商文件</w:t>
            </w:r>
          </w:p>
          <w:p>
            <w:pPr>
              <w:pStyle w:val="40"/>
              <w:jc w:val="center"/>
              <w:rPr>
                <w:rFonts w:ascii="宋体" w:hAnsi="宋体" w:cs="仿宋_GB2312"/>
                <w:szCs w:val="28"/>
              </w:rPr>
            </w:pPr>
            <w:r>
              <w:rPr>
                <w:rFonts w:hint="eastAsia" w:ascii="宋体" w:hAnsi="宋体" w:cs="宋体"/>
                <w:szCs w:val="28"/>
              </w:rPr>
              <w:t>资格性审查条款</w:t>
            </w:r>
          </w:p>
        </w:tc>
        <w:tc>
          <w:tcPr>
            <w:tcW w:w="1453" w:type="pct"/>
            <w:vAlign w:val="center"/>
          </w:tcPr>
          <w:p>
            <w:pPr>
              <w:jc w:val="center"/>
              <w:rPr>
                <w:rFonts w:ascii="宋体" w:hAnsi="宋体" w:eastAsia="宋体" w:cs="宋体"/>
                <w:sz w:val="28"/>
                <w:szCs w:val="28"/>
              </w:rPr>
            </w:pPr>
            <w:r>
              <w:rPr>
                <w:rFonts w:hint="eastAsia" w:ascii="宋体" w:hAnsi="宋体" w:eastAsia="宋体" w:cs="宋体"/>
                <w:sz w:val="28"/>
                <w:szCs w:val="28"/>
              </w:rPr>
              <w:t>响应性文件</w:t>
            </w:r>
          </w:p>
          <w:p>
            <w:pPr>
              <w:jc w:val="center"/>
              <w:rPr>
                <w:rFonts w:ascii="宋体" w:hAnsi="宋体" w:cs="仿宋_GB2312"/>
                <w:szCs w:val="28"/>
              </w:rPr>
            </w:pPr>
            <w:r>
              <w:rPr>
                <w:rFonts w:hint="eastAsia" w:ascii="宋体" w:hAnsi="宋体" w:eastAsia="宋体" w:cs="宋体"/>
                <w:sz w:val="28"/>
                <w:szCs w:val="28"/>
              </w:rPr>
              <w:t>响应部分</w:t>
            </w:r>
          </w:p>
        </w:tc>
        <w:tc>
          <w:tcPr>
            <w:tcW w:w="851" w:type="pct"/>
            <w:vAlign w:val="center"/>
          </w:tcPr>
          <w:p>
            <w:pPr>
              <w:pStyle w:val="40"/>
              <w:jc w:val="center"/>
              <w:rPr>
                <w:rFonts w:ascii="宋体" w:hAnsi="宋体" w:cs="仿宋_GB2312"/>
                <w:szCs w:val="28"/>
              </w:rPr>
            </w:pPr>
            <w:r>
              <w:rPr>
                <w:rFonts w:hint="eastAsia" w:ascii="宋体" w:hAnsi="宋体"/>
                <w:szCs w:val="28"/>
              </w:rPr>
              <w:t>偏离说明</w:t>
            </w:r>
          </w:p>
        </w:tc>
        <w:tc>
          <w:tcPr>
            <w:tcW w:w="851" w:type="pct"/>
            <w:vAlign w:val="center"/>
          </w:tcPr>
          <w:p>
            <w:pPr>
              <w:pStyle w:val="40"/>
              <w:jc w:val="center"/>
              <w:rPr>
                <w:rFonts w:ascii="宋体" w:hAnsi="宋体" w:cs="仿宋_GB2312"/>
                <w:szCs w:val="28"/>
              </w:rPr>
            </w:pPr>
            <w:r>
              <w:rPr>
                <w:rFonts w:hint="eastAsia" w:ascii="宋体" w:hAnsi="宋体" w:cs="宋体"/>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ind w:left="420"/>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vAlign w:val="center"/>
          </w:tcPr>
          <w:p>
            <w:pPr>
              <w:pStyle w:val="40"/>
              <w:jc w:val="center"/>
              <w:rPr>
                <w:rFonts w:ascii="宋体" w:hAnsi="宋体" w:cs="仿宋_GB2312"/>
                <w:szCs w:val="28"/>
              </w:rPr>
            </w:pPr>
            <w:r>
              <w:rPr>
                <w:rFonts w:hint="eastAsia" w:ascii="宋体" w:hAnsi="宋体" w:cs="仿宋_GB2312"/>
                <w:szCs w:val="28"/>
              </w:rPr>
              <w:t>…</w:t>
            </w:r>
          </w:p>
        </w:tc>
        <w:tc>
          <w:tcPr>
            <w:tcW w:w="1453" w:type="pct"/>
            <w:vAlign w:val="center"/>
          </w:tcPr>
          <w:p>
            <w:pPr>
              <w:pStyle w:val="40"/>
              <w:jc w:val="center"/>
              <w:rPr>
                <w:rFonts w:ascii="宋体" w:hAnsi="宋体" w:cs="仿宋_GB2312"/>
                <w:szCs w:val="28"/>
              </w:rPr>
            </w:pPr>
          </w:p>
        </w:tc>
        <w:tc>
          <w:tcPr>
            <w:tcW w:w="1453"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c>
          <w:tcPr>
            <w:tcW w:w="851" w:type="pct"/>
            <w:vAlign w:val="center"/>
          </w:tcPr>
          <w:p>
            <w:pPr>
              <w:pStyle w:val="40"/>
              <w:jc w:val="center"/>
              <w:rPr>
                <w:rFonts w:ascii="宋体" w:hAnsi="宋体" w:cs="仿宋_GB2312"/>
                <w:szCs w:val="28"/>
              </w:rPr>
            </w:pPr>
          </w:p>
        </w:tc>
      </w:tr>
    </w:tbl>
    <w:p>
      <w:pPr>
        <w:pStyle w:val="40"/>
        <w:adjustRightInd w:val="0"/>
        <w:snapToGrid w:val="0"/>
        <w:spacing w:line="360" w:lineRule="auto"/>
        <w:ind w:left="840" w:hanging="840" w:hangingChars="300"/>
        <w:rPr>
          <w:rFonts w:ascii="宋体" w:hAnsi="宋体" w:cs="Corbel"/>
          <w:szCs w:val="28"/>
        </w:rPr>
      </w:pPr>
      <w:r>
        <w:rPr>
          <w:rFonts w:hint="eastAsia" w:ascii="宋体" w:hAnsi="宋体" w:cs="Corbel"/>
          <w:szCs w:val="28"/>
        </w:rPr>
        <w:t>注：1.投标人须对照招标文件第六部分</w:t>
      </w:r>
      <w:r>
        <w:rPr>
          <w:rFonts w:hint="eastAsia" w:ascii="宋体" w:hAnsi="宋体" w:cs="Corbel"/>
          <w:szCs w:val="28"/>
          <w:lang w:val="zh-CN"/>
        </w:rPr>
        <w:t>磋商办法前附表</w:t>
      </w:r>
      <w:r>
        <w:rPr>
          <w:rFonts w:hint="eastAsia" w:ascii="宋体" w:hAnsi="宋体" w:cs="Corbel"/>
          <w:szCs w:val="28"/>
        </w:rPr>
        <w:t>中“符合性审查”的条款逐项说明是否满足要求。</w:t>
      </w:r>
    </w:p>
    <w:p>
      <w:pPr>
        <w:autoSpaceDE w:val="0"/>
        <w:autoSpaceDN w:val="0"/>
        <w:adjustRightInd w:val="0"/>
        <w:spacing w:line="276" w:lineRule="auto"/>
        <w:ind w:firstLine="840"/>
        <w:rPr>
          <w:rFonts w:ascii="宋体" w:hAnsi="宋体" w:eastAsia="宋体" w:cs="宋体"/>
          <w:color w:val="000000"/>
          <w:sz w:val="28"/>
          <w:szCs w:val="28"/>
          <w:lang w:val="zh-CN"/>
        </w:rPr>
      </w:pPr>
    </w:p>
    <w:p>
      <w:pPr>
        <w:autoSpaceDE w:val="0"/>
        <w:autoSpaceDN w:val="0"/>
        <w:adjustRightInd w:val="0"/>
        <w:spacing w:line="276" w:lineRule="auto"/>
        <w:rPr>
          <w:rFonts w:ascii="宋体" w:hAnsi="宋体" w:eastAsia="宋体" w:cs="宋体"/>
          <w:b/>
          <w:bCs/>
          <w:color w:val="000000"/>
          <w:sz w:val="28"/>
          <w:szCs w:val="28"/>
          <w:lang w:val="zh-CN"/>
        </w:rPr>
      </w:pPr>
    </w:p>
    <w:p>
      <w:pPr>
        <w:pStyle w:val="7"/>
        <w:rPr>
          <w:lang w:val="zh-CN"/>
        </w:rPr>
      </w:pPr>
    </w:p>
    <w:p>
      <w:pPr>
        <w:autoSpaceDE w:val="0"/>
        <w:autoSpaceDN w:val="0"/>
        <w:adjustRightInd w:val="0"/>
        <w:spacing w:line="276" w:lineRule="auto"/>
        <w:rPr>
          <w:rFonts w:ascii="宋体" w:hAnsi="宋体" w:eastAsia="宋体" w:cs="宋体"/>
          <w:b/>
          <w:bCs/>
          <w:color w:val="000000"/>
          <w:sz w:val="28"/>
          <w:szCs w:val="28"/>
          <w:lang w:val="zh-CN"/>
        </w:rPr>
      </w:pPr>
    </w:p>
    <w:p>
      <w:pPr>
        <w:snapToGrid w:val="0"/>
        <w:spacing w:line="400" w:lineRule="exact"/>
        <w:ind w:firstLine="3000" w:firstLineChars="1250"/>
        <w:rPr>
          <w:rFonts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bookmarkEnd w:id="242"/>
    <w:bookmarkEnd w:id="243"/>
    <w:bookmarkEnd w:id="244"/>
    <w:p>
      <w:pPr>
        <w:spacing w:line="360" w:lineRule="auto"/>
        <w:ind w:left="3000"/>
        <w:rPr>
          <w:rFonts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ascii="宋体" w:hAnsi="宋体" w:eastAsia="宋体" w:cs="宋体"/>
          <w:sz w:val="24"/>
          <w:szCs w:val="24"/>
        </w:rPr>
      </w:pPr>
      <w:bookmarkStart w:id="319" w:name="_Hlk450185766"/>
      <w:bookmarkEnd w:id="319"/>
      <w:bookmarkStart w:id="320" w:name="_Toc304388439"/>
      <w:bookmarkEnd w:id="320"/>
      <w:bookmarkStart w:id="321" w:name="_Toc341340664"/>
      <w:bookmarkEnd w:id="321"/>
      <w:bookmarkStart w:id="322" w:name="_Toc355787721"/>
      <w:bookmarkEnd w:id="322"/>
      <w:bookmarkStart w:id="323" w:name="_Toc355787722"/>
      <w:bookmarkStart w:id="324" w:name="_Toc341340665"/>
      <w:bookmarkStart w:id="325" w:name="_Toc304388443"/>
      <w:bookmarkStart w:id="326" w:name="_Toc2912"/>
      <w:bookmarkStart w:id="327" w:name="_Toc509511563"/>
      <w:bookmarkStart w:id="328" w:name="_Toc304388440"/>
    </w:p>
    <w:p>
      <w:pPr>
        <w:pStyle w:val="4"/>
        <w:snapToGrid w:val="0"/>
        <w:spacing w:before="100" w:beforeAutospacing="1" w:after="100" w:afterAutospacing="1" w:line="400" w:lineRule="exact"/>
        <w:rPr>
          <w:rFonts w:cs="宋体"/>
          <w:sz w:val="28"/>
        </w:rPr>
      </w:pPr>
      <w:bookmarkStart w:id="329" w:name="_Toc26752"/>
      <w:r>
        <w:rPr>
          <w:rFonts w:hint="eastAsia" w:cs="宋体"/>
          <w:sz w:val="28"/>
        </w:rPr>
        <w:t>五、商务、技术要求响应、偏离情况说明</w:t>
      </w:r>
      <w:bookmarkEnd w:id="329"/>
    </w:p>
    <w:p>
      <w:pPr>
        <w:spacing w:line="360" w:lineRule="auto"/>
        <w:jc w:val="left"/>
        <w:rPr>
          <w:rFonts w:ascii="宋体" w:hAnsi="宋体" w:cs="宋体"/>
          <w:b/>
          <w:sz w:val="24"/>
        </w:rPr>
      </w:pPr>
      <w:r>
        <w:rPr>
          <w:rFonts w:hint="eastAsia" w:ascii="宋体" w:hAnsi="宋体" w:cs="宋体"/>
          <w:b/>
          <w:sz w:val="24"/>
        </w:rPr>
        <w:t>投 标 人：</w:t>
      </w:r>
    </w:p>
    <w:p>
      <w:pPr>
        <w:spacing w:line="360" w:lineRule="auto"/>
        <w:jc w:val="left"/>
        <w:rPr>
          <w:rFonts w:ascii="宋体" w:hAnsi="宋体" w:cs="宋体"/>
          <w:b/>
          <w:sz w:val="24"/>
        </w:rPr>
      </w:pPr>
      <w:r>
        <w:rPr>
          <w:rFonts w:hint="eastAsia" w:ascii="宋体" w:hAnsi="宋体" w:cs="宋体"/>
          <w:b/>
          <w:sz w:val="24"/>
          <w:szCs w:val="21"/>
          <w:lang w:val="zh-CN"/>
        </w:rPr>
        <w:t>项目编号：</w:t>
      </w:r>
      <w:r>
        <w:rPr>
          <w:rFonts w:hint="eastAsia" w:ascii="宋体" w:hAnsi="宋体" w:cs="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3031" w:type="dxa"/>
            <w:shd w:val="clear" w:color="auto" w:fill="F1F1F1"/>
            <w:vAlign w:val="center"/>
          </w:tcPr>
          <w:p>
            <w:pPr>
              <w:jc w:val="center"/>
              <w:rPr>
                <w:rFonts w:ascii="宋体" w:hAnsi="宋体" w:eastAsia="宋体" w:cs="宋体"/>
                <w:sz w:val="21"/>
                <w:szCs w:val="21"/>
              </w:rPr>
            </w:pPr>
            <w:r>
              <w:rPr>
                <w:rFonts w:hint="eastAsia" w:ascii="宋体" w:hAnsi="宋体" w:eastAsia="宋体" w:cs="宋体"/>
                <w:sz w:val="21"/>
                <w:szCs w:val="21"/>
              </w:rPr>
              <w:t>磋商文件商务、技术要求条款</w:t>
            </w:r>
          </w:p>
        </w:tc>
        <w:tc>
          <w:tcPr>
            <w:tcW w:w="2755" w:type="dxa"/>
            <w:shd w:val="clear" w:color="auto" w:fill="F1F1F1"/>
            <w:vAlign w:val="center"/>
          </w:tcPr>
          <w:p>
            <w:pPr>
              <w:jc w:val="center"/>
              <w:rPr>
                <w:rFonts w:ascii="宋体" w:hAnsi="宋体" w:eastAsia="宋体" w:cs="宋体"/>
                <w:sz w:val="21"/>
                <w:szCs w:val="21"/>
              </w:rPr>
            </w:pPr>
            <w:r>
              <w:rPr>
                <w:rFonts w:hint="eastAsia" w:ascii="宋体" w:hAnsi="宋体" w:eastAsia="宋体" w:cs="宋体"/>
                <w:sz w:val="21"/>
                <w:szCs w:val="21"/>
              </w:rPr>
              <w:t>投标响应内容对应简述</w:t>
            </w:r>
          </w:p>
        </w:tc>
        <w:tc>
          <w:tcPr>
            <w:tcW w:w="1364" w:type="dxa"/>
            <w:shd w:val="clear" w:color="auto" w:fill="F1F1F1"/>
            <w:vAlign w:val="center"/>
          </w:tcPr>
          <w:p>
            <w:pPr>
              <w:jc w:val="center"/>
              <w:rPr>
                <w:rFonts w:ascii="宋体" w:hAnsi="宋体" w:eastAsia="宋体" w:cs="宋体"/>
                <w:sz w:val="21"/>
                <w:szCs w:val="21"/>
              </w:rPr>
            </w:pPr>
            <w:r>
              <w:rPr>
                <w:rFonts w:hint="eastAsia" w:ascii="宋体" w:hAnsi="宋体" w:eastAsia="宋体" w:cs="宋体"/>
                <w:sz w:val="21"/>
                <w:szCs w:val="21"/>
              </w:rPr>
              <w:t>偏离说明</w:t>
            </w:r>
          </w:p>
        </w:tc>
        <w:tc>
          <w:tcPr>
            <w:tcW w:w="1619" w:type="dxa"/>
            <w:shd w:val="clear" w:color="auto" w:fill="F1F1F1"/>
          </w:tcPr>
          <w:p>
            <w:pPr>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1"/>
                <w:szCs w:val="21"/>
              </w:rPr>
            </w:pPr>
            <w:r>
              <w:rPr>
                <w:rFonts w:hint="eastAsia" w:ascii="宋体" w:hAnsi="宋体" w:eastAsia="宋体" w:cs="宋体"/>
                <w:sz w:val="21"/>
                <w:szCs w:val="21"/>
              </w:rPr>
              <w:t>…</w:t>
            </w:r>
          </w:p>
        </w:tc>
        <w:tc>
          <w:tcPr>
            <w:tcW w:w="3031" w:type="dxa"/>
            <w:vAlign w:val="center"/>
          </w:tcPr>
          <w:p>
            <w:pPr>
              <w:jc w:val="center"/>
              <w:rPr>
                <w:rFonts w:ascii="宋体" w:hAnsi="宋体" w:eastAsia="宋体" w:cs="宋体"/>
                <w:sz w:val="21"/>
                <w:szCs w:val="21"/>
              </w:rPr>
            </w:pPr>
          </w:p>
        </w:tc>
        <w:tc>
          <w:tcPr>
            <w:tcW w:w="2755" w:type="dxa"/>
            <w:vAlign w:val="center"/>
          </w:tcPr>
          <w:p>
            <w:pPr>
              <w:jc w:val="center"/>
              <w:rPr>
                <w:rFonts w:ascii="宋体" w:hAnsi="宋体" w:eastAsia="宋体" w:cs="宋体"/>
                <w:sz w:val="21"/>
                <w:szCs w:val="21"/>
              </w:rPr>
            </w:pPr>
          </w:p>
        </w:tc>
        <w:tc>
          <w:tcPr>
            <w:tcW w:w="1364" w:type="dxa"/>
            <w:vAlign w:val="center"/>
          </w:tcPr>
          <w:p>
            <w:pPr>
              <w:jc w:val="center"/>
              <w:rPr>
                <w:rFonts w:ascii="宋体" w:hAnsi="宋体" w:eastAsia="宋体" w:cs="宋体"/>
                <w:sz w:val="21"/>
                <w:szCs w:val="21"/>
              </w:rPr>
            </w:pPr>
          </w:p>
        </w:tc>
        <w:tc>
          <w:tcPr>
            <w:tcW w:w="1619" w:type="dxa"/>
            <w:vAlign w:val="center"/>
          </w:tcPr>
          <w:p>
            <w:pPr>
              <w:jc w:val="center"/>
              <w:rPr>
                <w:rFonts w:ascii="宋体" w:hAnsi="宋体" w:eastAsia="宋体" w:cs="宋体"/>
                <w:sz w:val="21"/>
                <w:szCs w:val="21"/>
              </w:rPr>
            </w:pPr>
          </w:p>
        </w:tc>
      </w:tr>
    </w:tbl>
    <w:p>
      <w:pPr>
        <w:ind w:left="955" w:hanging="955" w:hangingChars="455"/>
        <w:jc w:val="left"/>
        <w:rPr>
          <w:rFonts w:ascii="宋体" w:hAnsi="宋体" w:eastAsia="宋体" w:cs="宋体"/>
          <w:sz w:val="21"/>
          <w:szCs w:val="21"/>
        </w:rPr>
      </w:pPr>
      <w:r>
        <w:rPr>
          <w:rFonts w:hint="eastAsia" w:ascii="宋体" w:hAnsi="宋体" w:eastAsia="宋体" w:cs="宋体"/>
          <w:sz w:val="21"/>
          <w:szCs w:val="21"/>
        </w:rPr>
        <w:t>说明：1．投标人应按磋商文件第五部采购要求及内容详细说明。未按照要求填写此表或仅注明“符合</w:t>
      </w:r>
      <w:r>
        <w:rPr>
          <w:rFonts w:hint="eastAsia" w:ascii="宋体" w:hAnsi="宋体" w:eastAsia="宋体" w:cs="宋体"/>
          <w:sz w:val="21"/>
          <w:szCs w:val="21"/>
          <w:lang w:eastAsia="zh-CN"/>
        </w:rPr>
        <w:t>”“</w:t>
      </w:r>
      <w:r>
        <w:rPr>
          <w:rFonts w:hint="eastAsia" w:ascii="宋体" w:hAnsi="宋体" w:eastAsia="宋体" w:cs="宋体"/>
          <w:sz w:val="21"/>
          <w:szCs w:val="21"/>
        </w:rPr>
        <w:t>满足”的，导致的后果由投标人自行承担。</w:t>
      </w:r>
    </w:p>
    <w:p>
      <w:pPr>
        <w:spacing w:before="100" w:beforeAutospacing="1" w:after="100" w:afterAutospacing="1" w:line="200" w:lineRule="exact"/>
        <w:ind w:firstLine="5835" w:firstLineChars="2779"/>
        <w:rPr>
          <w:rFonts w:ascii="宋体" w:hAnsi="宋体" w:eastAsia="宋体" w:cs="宋体"/>
          <w:sz w:val="21"/>
          <w:szCs w:val="21"/>
        </w:rPr>
      </w:pPr>
    </w:p>
    <w:p>
      <w:pPr>
        <w:spacing w:before="100" w:beforeAutospacing="1" w:after="100" w:afterAutospacing="1" w:line="200" w:lineRule="exact"/>
        <w:ind w:firstLine="5835" w:firstLineChars="2779"/>
        <w:rPr>
          <w:rFonts w:ascii="宋体" w:hAnsi="宋体" w:eastAsia="宋体" w:cs="宋体"/>
          <w:sz w:val="21"/>
          <w:szCs w:val="21"/>
        </w:rPr>
      </w:pPr>
    </w:p>
    <w:p>
      <w:pPr>
        <w:snapToGrid w:val="0"/>
        <w:spacing w:line="400" w:lineRule="exact"/>
        <w:ind w:firstLine="3000" w:firstLineChars="1250"/>
        <w:rPr>
          <w:rFonts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ind w:left="3000"/>
        <w:rPr>
          <w:rFonts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before="100" w:beforeAutospacing="1" w:after="100" w:afterAutospacing="1" w:line="200" w:lineRule="exact"/>
        <w:ind w:firstLine="6045" w:firstLineChars="2879"/>
        <w:rPr>
          <w:rFonts w:ascii="宋体" w:hAnsi="宋体" w:eastAsia="宋体" w:cs="宋体"/>
          <w:sz w:val="21"/>
          <w:szCs w:val="21"/>
        </w:rPr>
      </w:pPr>
    </w:p>
    <w:p>
      <w:pPr>
        <w:pStyle w:val="2"/>
        <w:rPr>
          <w:rFonts w:ascii="宋体" w:hAnsi="宋体" w:eastAsia="宋体" w:cs="宋体"/>
          <w:b w:val="0"/>
          <w:bCs w:val="0"/>
          <w:sz w:val="21"/>
          <w:szCs w:val="21"/>
        </w:rPr>
      </w:pPr>
    </w:p>
    <w:p>
      <w:pPr>
        <w:ind w:firstLine="2640" w:firstLineChars="1100"/>
        <w:rPr>
          <w:rFonts w:ascii="宋体" w:hAnsi="宋体" w:eastAsia="宋体" w:cs="宋体"/>
          <w:sz w:val="24"/>
          <w:szCs w:val="24"/>
        </w:rPr>
      </w:pPr>
    </w:p>
    <w:p>
      <w:pPr>
        <w:pStyle w:val="4"/>
        <w:numPr>
          <w:ilvl w:val="0"/>
          <w:numId w:val="9"/>
        </w:numPr>
        <w:snapToGrid w:val="0"/>
        <w:spacing w:before="100" w:beforeAutospacing="1" w:after="100" w:afterAutospacing="1" w:line="400" w:lineRule="exact"/>
        <w:rPr>
          <w:rFonts w:cs="宋体"/>
          <w:color w:val="000000"/>
          <w:sz w:val="28"/>
        </w:rPr>
      </w:pPr>
      <w:bookmarkStart w:id="330" w:name="_Toc14225"/>
      <w:bookmarkStart w:id="331" w:name="_Toc10538"/>
      <w:r>
        <w:rPr>
          <w:rFonts w:hint="eastAsia" w:cs="宋体"/>
          <w:color w:val="000000"/>
          <w:sz w:val="28"/>
        </w:rPr>
        <w:t>法人（负责人）代表授权书</w:t>
      </w:r>
      <w:bookmarkEnd w:id="330"/>
    </w:p>
    <w:p>
      <w:pPr>
        <w:spacing w:line="360" w:lineRule="auto"/>
        <w:ind w:firstLine="560" w:firstLineChars="200"/>
        <w:jc w:val="center"/>
        <w:rPr>
          <w:rFonts w:ascii="宋体" w:hAnsi="宋体" w:eastAsia="宋体" w:cs="宋体"/>
          <w:color w:val="000000"/>
          <w:sz w:val="28"/>
        </w:rPr>
      </w:pPr>
      <w:r>
        <w:rPr>
          <w:rFonts w:hint="eastAsia" w:ascii="宋体" w:hAnsi="宋体" w:eastAsia="宋体" w:cs="宋体"/>
          <w:color w:val="000000"/>
          <w:sz w:val="28"/>
        </w:rPr>
        <w:t>附件1——法定代表人身份证明</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单位性质：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成立时间：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经营期限：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性别：</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_</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（供应商名称）的法定代表人（单位负责人）。</w:t>
      </w:r>
    </w:p>
    <w:p>
      <w:pPr>
        <w:spacing w:line="360" w:lineRule="auto"/>
        <w:ind w:firstLine="960" w:firstLineChars="400"/>
        <w:rPr>
          <w:rFonts w:ascii="宋体" w:hAnsi="宋体" w:eastAsia="宋体" w:cs="宋体"/>
          <w:color w:val="000000"/>
          <w:sz w:val="24"/>
        </w:rPr>
      </w:pPr>
      <w:r>
        <w:rPr>
          <w:rFonts w:hint="eastAsia" w:ascii="宋体" w:hAnsi="宋体" w:eastAsia="宋体" w:cs="宋体"/>
          <w:color w:val="000000"/>
          <w:sz w:val="24"/>
        </w:rPr>
        <w:t>特此证明。</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left="3000"/>
        <w:rPr>
          <w:rFonts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rPr>
          <w:rFonts w:ascii="宋体" w:hAnsi="宋体" w:eastAsia="宋体" w:cs="宋体"/>
          <w:color w:val="000000"/>
          <w:sz w:val="24"/>
          <w:u w:val="single"/>
        </w:rPr>
      </w:pPr>
    </w:p>
    <w:p>
      <w:pPr>
        <w:spacing w:line="300" w:lineRule="auto"/>
        <w:ind w:firstLine="723" w:firstLineChars="300"/>
        <w:rPr>
          <w:rFonts w:ascii="宋体" w:hAnsi="宋体" w:eastAsia="宋体"/>
          <w:color w:val="000000"/>
          <w:kern w:val="2"/>
          <w:sz w:val="18"/>
          <w:szCs w:val="18"/>
        </w:rPr>
      </w:pPr>
      <w:r>
        <w:rPr>
          <w:rFonts w:hint="eastAsia" w:ascii="宋体" w:hAnsi="宋体" w:eastAsia="宋体" w:cs="宋体"/>
          <w:b/>
          <w:color w:val="000000"/>
          <w:sz w:val="24"/>
        </w:rPr>
        <w:t>附法定代表人身份证正反面复印件并加盖供应商公章。</w:t>
      </w:r>
    </w:p>
    <w:p>
      <w:pPr>
        <w:widowControl/>
        <w:tabs>
          <w:tab w:val="left" w:pos="2490"/>
        </w:tabs>
        <w:snapToGrid w:val="0"/>
        <w:spacing w:line="276" w:lineRule="auto"/>
        <w:jc w:val="center"/>
        <w:outlineLvl w:val="0"/>
        <w:rPr>
          <w:rFonts w:ascii="宋体" w:hAnsi="宋体" w:eastAsia="宋体"/>
          <w:color w:val="000000"/>
          <w:lang w:val="zh-CN"/>
        </w:rPr>
      </w:pPr>
    </w:p>
    <w:p>
      <w:pPr>
        <w:pStyle w:val="4"/>
        <w:snapToGrid w:val="0"/>
        <w:spacing w:before="100" w:beforeAutospacing="1" w:after="100" w:afterAutospacing="1" w:line="400" w:lineRule="exact"/>
        <w:rPr>
          <w:rFonts w:cs="宋体"/>
          <w:color w:val="000000"/>
          <w:sz w:val="28"/>
        </w:rPr>
      </w:pPr>
    </w:p>
    <w:p>
      <w:pPr>
        <w:rPr>
          <w:rFonts w:cs="宋体"/>
          <w:color w:val="000000"/>
          <w:sz w:val="28"/>
        </w:rPr>
      </w:pPr>
    </w:p>
    <w:p>
      <w:pPr>
        <w:pStyle w:val="7"/>
      </w:pPr>
    </w:p>
    <w:p/>
    <w:p>
      <w:pPr>
        <w:pStyle w:val="7"/>
      </w:pPr>
    </w:p>
    <w:p>
      <w:pPr>
        <w:rPr>
          <w:rFonts w:cs="宋体"/>
          <w:color w:val="000000"/>
          <w:sz w:val="28"/>
        </w:rPr>
      </w:pPr>
    </w:p>
    <w:p>
      <w:pPr>
        <w:pStyle w:val="4"/>
        <w:snapToGrid w:val="0"/>
        <w:spacing w:before="100" w:beforeAutospacing="1" w:after="100" w:afterAutospacing="1" w:line="400" w:lineRule="exact"/>
        <w:rPr>
          <w:rFonts w:cs="宋体"/>
          <w:color w:val="000000"/>
          <w:sz w:val="28"/>
        </w:rPr>
      </w:pPr>
      <w:bookmarkStart w:id="332" w:name="_Toc20221"/>
      <w:bookmarkStart w:id="333" w:name="_Toc5732"/>
      <w:bookmarkStart w:id="334" w:name="_Toc27459"/>
      <w:r>
        <w:rPr>
          <w:rFonts w:hint="eastAsia" w:cs="宋体"/>
          <w:color w:val="000000"/>
          <w:sz w:val="28"/>
        </w:rPr>
        <w:t>附件2——法定代表人授权委托书</w:t>
      </w:r>
      <w:bookmarkEnd w:id="332"/>
      <w:bookmarkEnd w:id="333"/>
      <w:bookmarkEnd w:id="334"/>
    </w:p>
    <w:p>
      <w:pPr>
        <w:spacing w:line="300" w:lineRule="auto"/>
        <w:rPr>
          <w:rFonts w:ascii="宋体" w:hAnsi="宋体" w:eastAsia="宋体" w:cs="宋体"/>
          <w:color w:val="000000"/>
          <w:sz w:val="21"/>
        </w:rPr>
      </w:pPr>
      <w:r>
        <w:rPr>
          <w:rFonts w:hint="eastAsia" w:ascii="宋体" w:hAnsi="宋体" w:eastAsia="宋体" w:cs="宋体"/>
          <w:color w:val="000000"/>
          <w:sz w:val="21"/>
          <w:u w:val="single"/>
        </w:rPr>
        <w:t>（政府采购代理机构）</w:t>
      </w:r>
      <w:r>
        <w:rPr>
          <w:rFonts w:hint="eastAsia" w:ascii="宋体" w:hAnsi="宋体" w:eastAsia="宋体" w:cs="宋体"/>
          <w:color w:val="000000"/>
          <w:sz w:val="21"/>
        </w:rPr>
        <w:t>：</w:t>
      </w:r>
    </w:p>
    <w:p>
      <w:pPr>
        <w:spacing w:line="300" w:lineRule="auto"/>
        <w:ind w:firstLine="420" w:firstLineChars="200"/>
        <w:rPr>
          <w:rFonts w:ascii="宋体" w:hAnsi="宋体" w:eastAsia="宋体" w:cs="宋体"/>
          <w:color w:val="000000"/>
          <w:sz w:val="21"/>
        </w:rPr>
      </w:pPr>
      <w:r>
        <w:rPr>
          <w:rFonts w:hint="eastAsia" w:ascii="宋体" w:hAnsi="宋体" w:eastAsia="宋体" w:cs="宋体"/>
          <w:color w:val="000000"/>
          <w:sz w:val="21"/>
        </w:rPr>
        <w:t>兹授权</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同志为我公司参加贵单位组织的</w:t>
      </w:r>
      <w:r>
        <w:rPr>
          <w:rFonts w:hint="eastAsia" w:ascii="宋体" w:hAnsi="宋体" w:eastAsia="宋体" w:cs="宋体"/>
          <w:color w:val="000000"/>
          <w:sz w:val="21"/>
          <w:u w:val="single"/>
        </w:rPr>
        <w:t>（项    目    名   称）</w:t>
      </w:r>
      <w:r>
        <w:rPr>
          <w:rFonts w:hint="eastAsia" w:ascii="宋体" w:hAnsi="宋体" w:eastAsia="宋体" w:cs="宋体"/>
          <w:color w:val="000000"/>
          <w:sz w:val="21"/>
        </w:rPr>
        <w:t>采购活动的投标代表人，全权代表我公司处理在该项目采购活动中的一切事宜。代理期限从</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年</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月</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日起至</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年</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月</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日止。 </w:t>
      </w:r>
    </w:p>
    <w:p>
      <w:pPr>
        <w:spacing w:line="300" w:lineRule="auto"/>
        <w:rPr>
          <w:rFonts w:ascii="宋体" w:hAnsi="宋体" w:eastAsia="宋体" w:cs="宋体"/>
          <w:color w:val="000000"/>
          <w:sz w:val="21"/>
        </w:rPr>
      </w:pPr>
    </w:p>
    <w:p>
      <w:pPr>
        <w:spacing w:line="300" w:lineRule="auto"/>
        <w:rPr>
          <w:rFonts w:ascii="宋体" w:hAnsi="宋体" w:eastAsia="宋体" w:cs="宋体"/>
          <w:color w:val="000000"/>
          <w:sz w:val="21"/>
        </w:rPr>
      </w:pPr>
      <w:r>
        <w:rPr>
          <w:rFonts w:hint="eastAsia" w:ascii="宋体" w:hAnsi="宋体" w:eastAsia="宋体" w:cs="宋体"/>
          <w:color w:val="000000"/>
          <w:sz w:val="21"/>
        </w:rPr>
        <w:t>授权单位（签章）：</w:t>
      </w:r>
      <w:r>
        <w:rPr>
          <w:rFonts w:hint="eastAsia" w:ascii="宋体" w:hAnsi="宋体" w:eastAsia="宋体" w:cs="宋体"/>
          <w:color w:val="000000"/>
          <w:sz w:val="21"/>
          <w:u w:val="single"/>
        </w:rPr>
        <w:t xml:space="preserve">               </w:t>
      </w:r>
    </w:p>
    <w:p>
      <w:pPr>
        <w:spacing w:line="300" w:lineRule="auto"/>
        <w:rPr>
          <w:rFonts w:ascii="宋体" w:hAnsi="宋体" w:eastAsia="宋体" w:cs="宋体"/>
          <w:color w:val="000000"/>
          <w:sz w:val="21"/>
        </w:rPr>
      </w:pPr>
      <w:r>
        <w:rPr>
          <w:rFonts w:hint="eastAsia" w:ascii="宋体" w:hAnsi="宋体" w:eastAsia="宋体" w:cs="宋体"/>
          <w:color w:val="000000"/>
          <w:sz w:val="21"/>
        </w:rPr>
        <w:t>法定代表人（签字或盖章）：</w:t>
      </w:r>
      <w:r>
        <w:rPr>
          <w:rFonts w:hint="eastAsia" w:ascii="宋体" w:hAnsi="宋体" w:eastAsia="宋体" w:cs="宋体"/>
          <w:color w:val="000000"/>
          <w:sz w:val="21"/>
          <w:u w:val="single"/>
        </w:rPr>
        <w:t xml:space="preserve">       </w:t>
      </w:r>
    </w:p>
    <w:p>
      <w:pPr>
        <w:spacing w:line="300" w:lineRule="auto"/>
        <w:rPr>
          <w:rFonts w:ascii="宋体" w:hAnsi="宋体" w:eastAsia="宋体" w:cs="宋体"/>
          <w:color w:val="000000"/>
          <w:sz w:val="21"/>
        </w:rPr>
      </w:pPr>
      <w:r>
        <w:rPr>
          <w:rFonts w:hint="eastAsia" w:ascii="宋体" w:hAnsi="宋体" w:eastAsia="宋体" w:cs="宋体"/>
          <w:color w:val="000000"/>
          <w:sz w:val="21"/>
        </w:rPr>
        <w:t>签发日期：</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年</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月</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日</w:t>
      </w:r>
    </w:p>
    <w:p>
      <w:pPr>
        <w:spacing w:line="300" w:lineRule="auto"/>
        <w:rPr>
          <w:rFonts w:ascii="宋体" w:hAnsi="宋体" w:eastAsia="宋体" w:cs="宋体"/>
          <w:color w:val="000000"/>
          <w:sz w:val="21"/>
        </w:rPr>
      </w:pPr>
    </w:p>
    <w:p>
      <w:pPr>
        <w:spacing w:line="300" w:lineRule="auto"/>
        <w:ind w:firstLine="420" w:firstLineChars="200"/>
        <w:rPr>
          <w:rFonts w:ascii="宋体" w:hAnsi="宋体" w:eastAsia="宋体" w:cs="宋体"/>
          <w:color w:val="000000"/>
          <w:sz w:val="21"/>
        </w:rPr>
      </w:pPr>
      <w:r>
        <w:rPr>
          <w:rFonts w:hint="eastAsia" w:ascii="宋体" w:hAnsi="宋体" w:eastAsia="宋体" w:cs="宋体"/>
          <w:color w:val="000000"/>
          <w:sz w:val="21"/>
        </w:rPr>
        <w:t>附：代理人工作单位：</w:t>
      </w:r>
      <w:r>
        <w:rPr>
          <w:rFonts w:hint="eastAsia" w:ascii="宋体" w:hAnsi="宋体" w:eastAsia="宋体" w:cs="宋体"/>
          <w:color w:val="000000"/>
          <w:sz w:val="21"/>
          <w:u w:val="single"/>
        </w:rPr>
        <w:t xml:space="preserve">                     </w:t>
      </w:r>
    </w:p>
    <w:p>
      <w:pPr>
        <w:spacing w:line="300" w:lineRule="auto"/>
        <w:ind w:firstLine="420" w:firstLineChars="200"/>
        <w:rPr>
          <w:rFonts w:ascii="宋体" w:hAnsi="宋体" w:eastAsia="宋体" w:cs="宋体"/>
          <w:color w:val="000000"/>
          <w:sz w:val="21"/>
        </w:rPr>
      </w:pPr>
      <w:r>
        <w:rPr>
          <w:rFonts w:hint="eastAsia" w:ascii="宋体" w:hAnsi="宋体" w:eastAsia="宋体" w:cs="宋体"/>
          <w:color w:val="000000"/>
          <w:sz w:val="21"/>
        </w:rPr>
        <w:t>职务：</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      性别：</w:t>
      </w:r>
      <w:r>
        <w:rPr>
          <w:rFonts w:hint="eastAsia" w:ascii="宋体" w:hAnsi="宋体" w:eastAsia="宋体" w:cs="宋体"/>
          <w:color w:val="000000"/>
          <w:sz w:val="21"/>
          <w:u w:val="single"/>
        </w:rPr>
        <w:t xml:space="preserve">    </w:t>
      </w:r>
    </w:p>
    <w:p>
      <w:pPr>
        <w:adjustRightInd w:val="0"/>
        <w:snapToGrid w:val="0"/>
        <w:spacing w:line="300" w:lineRule="auto"/>
        <w:ind w:left="-134" w:leftChars="-42" w:firstLine="525" w:firstLineChars="250"/>
        <w:rPr>
          <w:rFonts w:ascii="宋体" w:hAnsi="宋体" w:eastAsia="宋体" w:cs="宋体"/>
          <w:color w:val="000000"/>
          <w:sz w:val="21"/>
          <w:u w:val="single"/>
        </w:rPr>
      </w:pPr>
      <w:r>
        <w:rPr>
          <w:rFonts w:hint="eastAsia" w:ascii="宋体" w:hAnsi="宋体" w:eastAsia="宋体" w:cs="宋体"/>
          <w:color w:val="000000"/>
          <w:sz w:val="21"/>
        </w:rPr>
        <w:t>身份证号码：</w:t>
      </w:r>
      <w:r>
        <w:rPr>
          <w:rFonts w:hint="eastAsia" w:ascii="宋体" w:hAnsi="宋体" w:eastAsia="宋体" w:cs="宋体"/>
          <w:color w:val="000000"/>
          <w:sz w:val="21"/>
          <w:u w:val="single"/>
        </w:rPr>
        <w:t xml:space="preserve">                              </w:t>
      </w:r>
    </w:p>
    <w:p>
      <w:pPr>
        <w:adjustRightInd w:val="0"/>
        <w:snapToGrid w:val="0"/>
        <w:spacing w:line="300" w:lineRule="auto"/>
        <w:ind w:left="-134" w:leftChars="-42" w:firstLine="700" w:firstLineChars="250"/>
        <w:rPr>
          <w:rFonts w:ascii="宋体" w:hAnsi="宋体" w:eastAsia="宋体" w:cs="宋体"/>
          <w:color w:val="000000"/>
          <w:sz w:val="28"/>
          <w:u w:val="single"/>
        </w:rPr>
      </w:pPr>
    </w:p>
    <w:tbl>
      <w:tblPr>
        <w:tblStyle w:val="1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eastAsia="宋体" w:cs="宋体"/>
                <w:color w:val="000000"/>
                <w:sz w:val="28"/>
              </w:rPr>
            </w:pPr>
            <w:r>
              <w:rPr>
                <w:rFonts w:hint="eastAsia" w:ascii="宋体" w:hAnsi="宋体" w:eastAsia="宋体" w:cs="宋体"/>
                <w:color w:val="000000"/>
                <w:sz w:val="28"/>
              </w:rPr>
              <w:t>粘贴法定代表人身份证复印件</w:t>
            </w:r>
          </w:p>
          <w:p>
            <w:pPr>
              <w:spacing w:line="300" w:lineRule="auto"/>
              <w:rPr>
                <w:rFonts w:ascii="宋体" w:hAnsi="宋体" w:eastAsia="宋体" w:cs="宋体"/>
                <w:color w:val="000000"/>
                <w:sz w:val="28"/>
              </w:rPr>
            </w:pPr>
          </w:p>
          <w:p>
            <w:pPr>
              <w:spacing w:line="300" w:lineRule="auto"/>
              <w:rPr>
                <w:rFonts w:ascii="宋体" w:hAnsi="宋体" w:eastAsia="宋体" w:cs="宋体"/>
                <w:color w:val="000000"/>
                <w:sz w:val="28"/>
              </w:rPr>
            </w:pPr>
          </w:p>
          <w:p>
            <w:pPr>
              <w:spacing w:line="300" w:lineRule="auto"/>
              <w:rPr>
                <w:rFonts w:ascii="宋体" w:hAnsi="宋体" w:eastAsia="宋体" w:cs="宋体"/>
                <w:color w:val="000000"/>
                <w:sz w:val="28"/>
              </w:rPr>
            </w:pPr>
            <w:r>
              <w:rPr>
                <w:rFonts w:hint="eastAsia" w:ascii="宋体" w:hAnsi="宋体" w:eastAsia="宋体" w:cs="宋体"/>
                <w:color w:val="000000"/>
                <w:sz w:val="28"/>
              </w:rPr>
              <w:t>粘贴被授权人身份证复印件</w:t>
            </w:r>
          </w:p>
          <w:p>
            <w:pPr>
              <w:spacing w:line="300" w:lineRule="auto"/>
              <w:rPr>
                <w:rFonts w:ascii="宋体" w:hAnsi="宋体" w:eastAsia="宋体" w:cs="宋体"/>
                <w:color w:val="000000"/>
                <w:sz w:val="28"/>
              </w:rPr>
            </w:pPr>
          </w:p>
          <w:p>
            <w:pPr>
              <w:spacing w:line="300" w:lineRule="auto"/>
              <w:rPr>
                <w:rFonts w:ascii="宋体" w:hAnsi="宋体" w:eastAsia="宋体" w:cs="宋体"/>
                <w:color w:val="000000"/>
                <w:sz w:val="28"/>
              </w:rPr>
            </w:pPr>
          </w:p>
        </w:tc>
      </w:tr>
    </w:tbl>
    <w:p>
      <w:pPr>
        <w:rPr>
          <w:rFonts w:ascii="宋体" w:hAnsi="宋体" w:eastAsia="宋体" w:cs="宋体"/>
          <w:color w:val="000000"/>
          <w:sz w:val="28"/>
        </w:rPr>
      </w:pPr>
    </w:p>
    <w:p>
      <w:pPr>
        <w:pStyle w:val="2"/>
        <w:rPr>
          <w:rFonts w:ascii="宋体" w:hAnsi="宋体" w:eastAsia="宋体" w:cs="宋体"/>
          <w:color w:val="000000"/>
        </w:rPr>
      </w:pPr>
    </w:p>
    <w:p/>
    <w:p>
      <w:pPr>
        <w:pStyle w:val="7"/>
      </w:pPr>
    </w:p>
    <w:p>
      <w:pPr>
        <w:autoSpaceDE w:val="0"/>
        <w:autoSpaceDN w:val="0"/>
        <w:adjustRightInd w:val="0"/>
        <w:jc w:val="center"/>
        <w:rPr>
          <w:rFonts w:ascii="宋体" w:hAnsi="宋体" w:cs="宋体"/>
          <w:color w:val="000000"/>
          <w:szCs w:val="32"/>
        </w:rPr>
      </w:pPr>
    </w:p>
    <w:p>
      <w:pPr>
        <w:autoSpaceDE w:val="0"/>
        <w:autoSpaceDN w:val="0"/>
        <w:adjustRightInd w:val="0"/>
        <w:spacing w:line="276" w:lineRule="auto"/>
        <w:jc w:val="center"/>
        <w:outlineLvl w:val="0"/>
        <w:rPr>
          <w:rFonts w:ascii="宋体" w:hAnsi="宋体" w:eastAsia="宋体" w:cs="宋体"/>
          <w:b/>
          <w:bCs/>
          <w:color w:val="000000"/>
          <w:szCs w:val="32"/>
          <w:lang w:val="zh-CN"/>
        </w:rPr>
      </w:pPr>
      <w:bookmarkStart w:id="335" w:name="_Toc15108"/>
      <w:r>
        <w:rPr>
          <w:rFonts w:hint="eastAsia" w:ascii="宋体" w:hAnsi="宋体" w:eastAsia="宋体" w:cs="宋体"/>
          <w:b/>
          <w:bCs/>
          <w:color w:val="000000"/>
          <w:szCs w:val="32"/>
          <w:lang w:val="zh-CN"/>
        </w:rPr>
        <w:t>七、法人或者其他组织的营业执照等证明文件，自然人的</w:t>
      </w:r>
      <w:bookmarkEnd w:id="335"/>
    </w:p>
    <w:p>
      <w:pPr>
        <w:autoSpaceDE w:val="0"/>
        <w:autoSpaceDN w:val="0"/>
        <w:adjustRightInd w:val="0"/>
        <w:spacing w:line="276" w:lineRule="auto"/>
        <w:jc w:val="center"/>
        <w:outlineLvl w:val="0"/>
        <w:rPr>
          <w:rFonts w:ascii="宋体" w:hAnsi="宋体" w:eastAsia="宋体" w:cs="宋体"/>
          <w:b/>
          <w:bCs/>
          <w:color w:val="000000"/>
          <w:szCs w:val="32"/>
          <w:lang w:val="zh-CN"/>
        </w:rPr>
      </w:pPr>
      <w:bookmarkStart w:id="336" w:name="_Toc23114"/>
      <w:r>
        <w:rPr>
          <w:rFonts w:hint="eastAsia" w:ascii="宋体" w:hAnsi="宋体" w:eastAsia="宋体" w:cs="宋体"/>
          <w:b/>
          <w:bCs/>
          <w:color w:val="000000"/>
          <w:szCs w:val="32"/>
          <w:lang w:val="zh-CN"/>
        </w:rPr>
        <w:t>身份证明等证明材料</w:t>
      </w:r>
      <w:bookmarkEnd w:id="336"/>
    </w:p>
    <w:p>
      <w:pPr>
        <w:rPr>
          <w:rFonts w:ascii="宋体" w:hAnsi="宋体"/>
          <w:bCs/>
          <w:szCs w:val="28"/>
        </w:rPr>
      </w:pPr>
    </w:p>
    <w:p>
      <w:pPr>
        <w:spacing w:line="440" w:lineRule="exact"/>
        <w:ind w:left="360" w:hanging="360" w:hangingChars="150"/>
        <w:jc w:val="center"/>
        <w:rPr>
          <w:rFonts w:ascii="宋体" w:hAnsi="宋体" w:eastAsia="宋体" w:cs="宋体"/>
          <w:bCs/>
          <w:sz w:val="24"/>
        </w:rPr>
      </w:pPr>
      <w:r>
        <w:rPr>
          <w:rFonts w:hint="eastAsia" w:ascii="宋体" w:hAnsi="宋体" w:eastAsia="宋体" w:cs="宋体"/>
          <w:bCs/>
          <w:sz w:val="24"/>
        </w:rPr>
        <w:t>（企业法人营业执照、银行开户许可证，供应商是自然人的身份证明材料等）</w:t>
      </w:r>
    </w:p>
    <w:p>
      <w:pPr>
        <w:spacing w:line="440" w:lineRule="exact"/>
        <w:ind w:left="360" w:hanging="360" w:hangingChars="150"/>
        <w:rPr>
          <w:rFonts w:ascii="宋体" w:hAnsi="宋体"/>
          <w:bCs/>
          <w:sz w:val="24"/>
        </w:rPr>
      </w:pPr>
    </w:p>
    <w:p>
      <w:pPr>
        <w:autoSpaceDE w:val="0"/>
        <w:autoSpaceDN w:val="0"/>
        <w:adjustRightInd w:val="0"/>
        <w:jc w:val="center"/>
        <w:rPr>
          <w:rFonts w:ascii="宋体" w:hAnsi="宋体" w:cs="宋体"/>
          <w:color w:val="000000"/>
          <w:szCs w:val="32"/>
        </w:rPr>
      </w:pPr>
      <w:r>
        <w:rPr>
          <w:rFonts w:ascii="宋体" w:hAnsi="宋体" w:cs="宋体"/>
          <w:color w:val="000000"/>
          <w:szCs w:val="32"/>
          <w:lang w:bidi="ar"/>
        </w:rPr>
        <w:t xml:space="preserve"> </w:t>
      </w: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r>
        <w:rPr>
          <w:rFonts w:hint="eastAsia" w:cs="宋体"/>
          <w:szCs w:val="24"/>
        </w:rPr>
        <w:t>.</w:t>
      </w: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10"/>
        <w:ind w:left="640"/>
        <w:rPr>
          <w:rFonts w:ascii="宋体" w:hAnsi="宋体" w:cs="宋体"/>
          <w:color w:val="000000"/>
          <w:szCs w:val="32"/>
        </w:rPr>
      </w:pPr>
    </w:p>
    <w:p>
      <w:pPr>
        <w:autoSpaceDE w:val="0"/>
        <w:autoSpaceDN w:val="0"/>
        <w:adjustRightInd w:val="0"/>
        <w:spacing w:line="276" w:lineRule="auto"/>
        <w:jc w:val="center"/>
        <w:outlineLvl w:val="0"/>
        <w:rPr>
          <w:rFonts w:ascii="宋体" w:hAnsi="宋体" w:eastAsia="宋体" w:cs="宋体"/>
          <w:b/>
          <w:bCs/>
          <w:color w:val="000000"/>
          <w:szCs w:val="32"/>
          <w:lang w:val="zh-CN"/>
        </w:rPr>
      </w:pPr>
      <w:bookmarkStart w:id="337" w:name="_Toc9148"/>
      <w:r>
        <w:rPr>
          <w:rFonts w:hint="eastAsia" w:ascii="宋体" w:hAnsi="宋体" w:eastAsia="宋体" w:cs="宋体"/>
          <w:b/>
          <w:bCs/>
          <w:color w:val="000000"/>
          <w:szCs w:val="32"/>
          <w:lang w:val="zh-CN"/>
        </w:rPr>
        <w:t>八、财务状况报告，依法缴纳税收和社会保障资金的相关材料</w:t>
      </w:r>
      <w:bookmarkEnd w:id="337"/>
    </w:p>
    <w:p>
      <w:pPr>
        <w:autoSpaceDE w:val="0"/>
        <w:autoSpaceDN w:val="0"/>
        <w:adjustRightInd w:val="0"/>
        <w:spacing w:line="276" w:lineRule="auto"/>
        <w:jc w:val="center"/>
        <w:outlineLvl w:val="0"/>
        <w:rPr>
          <w:rFonts w:ascii="宋体" w:hAnsi="宋体" w:eastAsia="宋体" w:cs="宋体"/>
          <w:b/>
          <w:bCs/>
          <w:color w:val="000000"/>
          <w:szCs w:val="32"/>
          <w:lang w:val="zh-CN"/>
        </w:rPr>
      </w:pP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一、参加本采购项目前，近期财务状况报告</w:t>
      </w:r>
      <w:r>
        <w:rPr>
          <w:rFonts w:hint="eastAsia" w:ascii="宋体" w:hAnsi="宋体" w:eastAsia="宋体" w:cs="宋体"/>
          <w:bCs/>
          <w:sz w:val="24"/>
          <w:lang w:val="zh-CN"/>
        </w:rPr>
        <w:t>或其基本开户银行出具的资信证明</w:t>
      </w:r>
      <w:r>
        <w:rPr>
          <w:rFonts w:hint="eastAsia" w:ascii="宋体" w:hAnsi="宋体" w:eastAsia="宋体" w:cs="宋体"/>
          <w:bCs/>
          <w:sz w:val="24"/>
        </w:rPr>
        <w:t>；</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二、参加本采购项目前，近期的纳税证明；</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三、参加本采购项目前，近期缴纳社会保障资金证明等。</w:t>
      </w: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autoSpaceDE w:val="0"/>
        <w:autoSpaceDN w:val="0"/>
        <w:adjustRightInd w:val="0"/>
        <w:spacing w:line="276" w:lineRule="auto"/>
        <w:jc w:val="center"/>
        <w:outlineLvl w:val="0"/>
        <w:rPr>
          <w:rFonts w:ascii="宋体" w:hAnsi="宋体" w:eastAsia="宋体" w:cs="宋体"/>
          <w:b/>
          <w:bCs/>
          <w:color w:val="000000"/>
          <w:szCs w:val="32"/>
          <w:lang w:val="zh-CN"/>
        </w:rPr>
      </w:pPr>
      <w:bookmarkStart w:id="338" w:name="_Toc9610"/>
      <w:r>
        <w:rPr>
          <w:rFonts w:hint="eastAsia" w:ascii="宋体" w:hAnsi="宋体" w:eastAsia="宋体" w:cs="宋体"/>
          <w:b/>
          <w:bCs/>
          <w:color w:val="000000"/>
          <w:szCs w:val="32"/>
          <w:lang w:val="zh-CN"/>
        </w:rPr>
        <w:t>九、具备履行合同所必需的设备和专业技术能力的</w:t>
      </w:r>
      <w:bookmarkEnd w:id="338"/>
    </w:p>
    <w:p>
      <w:pPr>
        <w:autoSpaceDE w:val="0"/>
        <w:autoSpaceDN w:val="0"/>
        <w:adjustRightInd w:val="0"/>
        <w:spacing w:line="276" w:lineRule="auto"/>
        <w:jc w:val="center"/>
        <w:outlineLvl w:val="0"/>
        <w:rPr>
          <w:rFonts w:ascii="宋体" w:hAnsi="宋体" w:eastAsia="宋体" w:cs="宋体"/>
          <w:b/>
          <w:bCs/>
          <w:color w:val="000000"/>
          <w:szCs w:val="32"/>
          <w:lang w:val="zh-CN"/>
        </w:rPr>
      </w:pPr>
      <w:bookmarkStart w:id="339" w:name="_Toc18917"/>
      <w:r>
        <w:rPr>
          <w:rFonts w:hint="eastAsia" w:ascii="宋体" w:hAnsi="宋体" w:eastAsia="宋体" w:cs="宋体"/>
          <w:b/>
          <w:bCs/>
          <w:color w:val="000000"/>
          <w:szCs w:val="32"/>
          <w:lang w:val="zh-CN"/>
        </w:rPr>
        <w:t>证明材料</w:t>
      </w:r>
      <w:bookmarkEnd w:id="339"/>
    </w:p>
    <w:p>
      <w:pPr>
        <w:autoSpaceDE w:val="0"/>
        <w:autoSpaceDN w:val="0"/>
        <w:adjustRightInd w:val="0"/>
        <w:spacing w:line="276" w:lineRule="auto"/>
        <w:jc w:val="center"/>
        <w:outlineLvl w:val="0"/>
        <w:rPr>
          <w:rFonts w:ascii="宋体" w:hAnsi="宋体" w:eastAsia="宋体" w:cs="宋体"/>
          <w:b/>
          <w:bCs/>
          <w:color w:val="000000"/>
          <w:szCs w:val="32"/>
          <w:lang w:val="zh-CN"/>
        </w:rPr>
      </w:pP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（一）</w:t>
      </w:r>
      <w:r>
        <w:rPr>
          <w:rFonts w:hint="eastAsia" w:ascii="宋体" w:hAnsi="宋体" w:eastAsia="宋体" w:cs="宋体"/>
          <w:sz w:val="24"/>
          <w:szCs w:val="24"/>
          <w:lang w:val="zh-CN"/>
        </w:rPr>
        <w:t>提供具备足够数量的设施设备的证明材料；</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（二）提供具备足够数量的技术人员的证明材料。</w:t>
      </w:r>
    </w:p>
    <w:p>
      <w:pPr>
        <w:pStyle w:val="6"/>
        <w:ind w:firstLine="480"/>
        <w:rPr>
          <w:rFonts w:cs="宋体"/>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5"/>
        <w:spacing w:before="0" w:after="0" w:line="240" w:lineRule="auto"/>
        <w:ind w:firstLine="482"/>
        <w:rPr>
          <w:rFonts w:cs="宋体"/>
          <w:sz w:val="24"/>
          <w:szCs w:val="24"/>
        </w:rPr>
      </w:pPr>
    </w:p>
    <w:p>
      <w:pPr>
        <w:pStyle w:val="6"/>
        <w:ind w:firstLine="480"/>
      </w:pPr>
    </w:p>
    <w:p>
      <w:pPr>
        <w:pStyle w:val="5"/>
        <w:spacing w:before="0" w:after="0" w:line="240" w:lineRule="auto"/>
        <w:ind w:firstLine="482"/>
        <w:jc w:val="center"/>
        <w:rPr>
          <w:rFonts w:cs="宋体"/>
          <w:sz w:val="24"/>
          <w:szCs w:val="24"/>
        </w:rPr>
      </w:pPr>
    </w:p>
    <w:p>
      <w:pPr>
        <w:pStyle w:val="5"/>
        <w:spacing w:before="0" w:after="0" w:line="240" w:lineRule="auto"/>
        <w:ind w:firstLine="482"/>
        <w:jc w:val="center"/>
        <w:rPr>
          <w:rFonts w:cs="宋体"/>
          <w:sz w:val="24"/>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pStyle w:val="6"/>
        <w:ind w:firstLine="480"/>
        <w:rPr>
          <w:rFonts w:cs="宋体"/>
          <w:szCs w:val="24"/>
        </w:rPr>
      </w:pPr>
    </w:p>
    <w:p>
      <w:pPr>
        <w:autoSpaceDE w:val="0"/>
        <w:autoSpaceDN w:val="0"/>
        <w:adjustRightInd w:val="0"/>
        <w:spacing w:line="276" w:lineRule="auto"/>
        <w:jc w:val="center"/>
        <w:outlineLvl w:val="0"/>
        <w:rPr>
          <w:rFonts w:ascii="宋体" w:hAnsi="宋体"/>
          <w:sz w:val="24"/>
        </w:rPr>
      </w:pPr>
    </w:p>
    <w:p>
      <w:pPr>
        <w:autoSpaceDE w:val="0"/>
        <w:autoSpaceDN w:val="0"/>
        <w:adjustRightInd w:val="0"/>
        <w:spacing w:line="276" w:lineRule="auto"/>
        <w:jc w:val="center"/>
        <w:outlineLvl w:val="0"/>
        <w:rPr>
          <w:rFonts w:ascii="宋体" w:hAnsi="宋体" w:eastAsia="宋体" w:cs="宋体"/>
          <w:b/>
          <w:bCs/>
          <w:color w:val="000000"/>
          <w:szCs w:val="32"/>
          <w:highlight w:val="cyan"/>
          <w:lang w:val="zh-CN"/>
        </w:rPr>
      </w:pPr>
      <w:bookmarkStart w:id="340" w:name="_Toc21232"/>
      <w:r>
        <w:rPr>
          <w:rFonts w:hint="eastAsia" w:ascii="宋体" w:hAnsi="宋体" w:eastAsia="宋体" w:cs="宋体"/>
          <w:b/>
          <w:bCs/>
          <w:color w:val="000000"/>
          <w:szCs w:val="32"/>
          <w:lang w:val="zh-CN"/>
        </w:rPr>
        <w:t>十、参加政府采购活动前3年内在经营活动中没有重大违法记录的书面声明</w:t>
      </w:r>
      <w:bookmarkEnd w:id="340"/>
    </w:p>
    <w:p>
      <w:pPr>
        <w:autoSpaceDE w:val="0"/>
        <w:autoSpaceDN w:val="0"/>
        <w:adjustRightInd w:val="0"/>
        <w:spacing w:line="276" w:lineRule="auto"/>
        <w:jc w:val="center"/>
        <w:outlineLvl w:val="0"/>
        <w:rPr>
          <w:rFonts w:ascii="宋体" w:hAnsi="宋体" w:eastAsia="宋体" w:cs="宋体"/>
          <w:b/>
          <w:bCs/>
          <w:color w:val="000000"/>
          <w:szCs w:val="32"/>
          <w:lang w:val="zh-CN"/>
        </w:rPr>
      </w:pPr>
    </w:p>
    <w:p>
      <w:pPr>
        <w:widowControl/>
        <w:jc w:val="left"/>
        <w:rPr>
          <w:rFonts w:ascii="宋体" w:hAnsi="宋体" w:eastAsia="宋体" w:cs="宋体"/>
          <w:b/>
          <w:color w:val="000000"/>
          <w:sz w:val="28"/>
        </w:rPr>
      </w:pPr>
    </w:p>
    <w:p>
      <w:pPr>
        <w:autoSpaceDE w:val="0"/>
        <w:autoSpaceDN w:val="0"/>
        <w:adjustRightInd w:val="0"/>
        <w:spacing w:line="276" w:lineRule="auto"/>
        <w:jc w:val="center"/>
        <w:outlineLvl w:val="0"/>
        <w:rPr>
          <w:rFonts w:ascii="宋体" w:hAnsi="宋体" w:eastAsia="宋体" w:cs="宋体"/>
          <w:b/>
          <w:bCs/>
          <w:color w:val="000000"/>
          <w:sz w:val="28"/>
          <w:szCs w:val="28"/>
          <w:lang w:val="zh-CN"/>
        </w:rPr>
      </w:pPr>
      <w:bookmarkStart w:id="341" w:name="_Toc15143"/>
      <w:r>
        <w:rPr>
          <w:rFonts w:hint="eastAsia" w:ascii="宋体" w:hAnsi="宋体" w:eastAsia="宋体" w:cs="宋体"/>
          <w:b/>
          <w:bCs/>
          <w:color w:val="000000"/>
          <w:sz w:val="28"/>
          <w:szCs w:val="28"/>
          <w:lang w:val="zh-CN"/>
        </w:rPr>
        <w:t>（自拟）</w:t>
      </w:r>
      <w:bookmarkEnd w:id="341"/>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autoSpaceDE w:val="0"/>
        <w:autoSpaceDN w:val="0"/>
        <w:adjustRightInd w:val="0"/>
        <w:spacing w:line="276" w:lineRule="auto"/>
        <w:jc w:val="center"/>
        <w:outlineLvl w:val="0"/>
        <w:rPr>
          <w:rFonts w:ascii="宋体" w:hAnsi="宋体" w:eastAsia="宋体" w:cs="宋体"/>
          <w:b/>
          <w:bCs/>
          <w:color w:val="000000"/>
          <w:szCs w:val="32"/>
          <w:highlight w:val="yellow"/>
          <w:lang w:val="zh-CN"/>
        </w:rPr>
      </w:pPr>
      <w:bookmarkStart w:id="342" w:name="_Toc1900"/>
      <w:r>
        <w:rPr>
          <w:rFonts w:hint="eastAsia" w:ascii="宋体" w:hAnsi="宋体" w:eastAsia="宋体" w:cs="宋体"/>
          <w:b/>
          <w:bCs/>
          <w:color w:val="000000"/>
          <w:szCs w:val="32"/>
          <w:lang w:val="zh-CN"/>
        </w:rPr>
        <w:t>十一、未被列入“信用中国”网站的相关名单网面打印件</w:t>
      </w:r>
      <w:bookmarkEnd w:id="342"/>
    </w:p>
    <w:p>
      <w:pPr>
        <w:rPr>
          <w:rFonts w:ascii="宋体" w:hAnsi="宋体" w:eastAsia="宋体" w:cs="宋体"/>
          <w:sz w:val="24"/>
          <w:szCs w:val="24"/>
        </w:rPr>
      </w:pPr>
    </w:p>
    <w:p>
      <w:pPr>
        <w:ind w:firstLine="480" w:firstLineChars="200"/>
        <w:rPr>
          <w:rFonts w:ascii="宋体" w:hAnsi="宋体" w:eastAsia="宋体" w:cs="宋体"/>
          <w:sz w:val="24"/>
          <w:szCs w:val="24"/>
          <w:highlight w:val="yellow"/>
        </w:rPr>
      </w:pPr>
      <w:r>
        <w:rPr>
          <w:rFonts w:hint="eastAsia" w:ascii="宋体" w:hAnsi="宋体" w:eastAsia="宋体" w:cs="宋体"/>
          <w:sz w:val="24"/>
          <w:szCs w:val="24"/>
        </w:rPr>
        <w:t>未被列入“信用中国”网站（www.creditchina.gov.cn）重大税收违法案件当事人名单、“中国执行信息公开网” 网站（http://zxgk.court.gov.cn/shixin/）失信被执行人</w:t>
      </w:r>
      <w:r>
        <w:rPr>
          <w:rFonts w:hint="eastAsia" w:ascii="宋体" w:hAnsi="宋体" w:eastAsia="宋体" w:cs="宋体"/>
          <w:sz w:val="24"/>
          <w:szCs w:val="24"/>
          <w:lang w:eastAsia="zh-CN"/>
        </w:rPr>
        <w:t>和</w:t>
      </w:r>
      <w:r>
        <w:rPr>
          <w:rFonts w:hint="eastAsia" w:ascii="宋体" w:hAnsi="宋体" w:eastAsia="宋体" w:cs="宋体"/>
          <w:sz w:val="24"/>
          <w:szCs w:val="24"/>
        </w:rPr>
        <w:t xml:space="preserve">“中国政府采购网”（www.ccgp.gov.cn）网站、政府采购严重违法失信行为记录名单等不良行为记录（提供网络截图）。 </w:t>
      </w: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jc w:val="center"/>
        <w:rPr>
          <w:rFonts w:ascii="宋体" w:hAnsi="宋体"/>
          <w:szCs w:val="32"/>
        </w:rPr>
      </w:pPr>
      <w:r>
        <w:rPr>
          <w:rFonts w:hint="eastAsia" w:ascii="宋体" w:hAnsi="宋体" w:eastAsia="宋体" w:cs="宋体"/>
          <w:b/>
          <w:bCs/>
          <w:color w:val="000000"/>
          <w:szCs w:val="32"/>
          <w:lang w:val="zh-CN"/>
        </w:rPr>
        <w:t>十二、</w:t>
      </w:r>
      <w:r>
        <w:rPr>
          <w:rFonts w:hint="eastAsia" w:ascii="宋体" w:hAnsi="宋体" w:eastAsia="宋体" w:cs="宋体"/>
          <w:b/>
          <w:bCs/>
          <w:szCs w:val="32"/>
        </w:rPr>
        <w:t>政府采购政策情况表</w:t>
      </w:r>
    </w:p>
    <w:p>
      <w:pPr>
        <w:spacing w:line="360" w:lineRule="auto"/>
        <w:rPr>
          <w:rFonts w:ascii="宋体" w:hAnsi="宋体" w:eastAsia="宋体" w:cs="宋体"/>
          <w:sz w:val="24"/>
          <w:szCs w:val="24"/>
        </w:rPr>
      </w:pPr>
      <w:r>
        <w:rPr>
          <w:rFonts w:hint="eastAsia" w:ascii="宋体" w:hAnsi="宋体" w:eastAsia="宋体" w:cs="宋体"/>
          <w:sz w:val="24"/>
          <w:szCs w:val="24"/>
        </w:rPr>
        <w:t>项目编号（包号）：</w:t>
      </w:r>
    </w:p>
    <w:p>
      <w:pPr>
        <w:spacing w:line="360" w:lineRule="auto"/>
        <w:rPr>
          <w:rFonts w:ascii="宋体" w:hAnsi="宋体" w:eastAsia="宋体" w:cs="宋体"/>
          <w:sz w:val="24"/>
          <w:szCs w:val="24"/>
        </w:rPr>
      </w:pPr>
      <w:r>
        <w:rPr>
          <w:rFonts w:hint="eastAsia" w:ascii="宋体" w:hAnsi="宋体" w:eastAsia="宋体" w:cs="宋体"/>
          <w:sz w:val="24"/>
          <w:szCs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2330" w:type="dxa"/>
            <w:vAlign w:val="center"/>
          </w:tcPr>
          <w:p>
            <w:pPr>
              <w:jc w:val="center"/>
              <w:rPr>
                <w:rFonts w:ascii="宋体" w:hAnsi="宋体" w:eastAsia="宋体" w:cs="宋体"/>
                <w:sz w:val="28"/>
                <w:szCs w:val="28"/>
              </w:rPr>
            </w:pPr>
            <w:r>
              <w:rPr>
                <w:rFonts w:hint="eastAsia" w:ascii="宋体" w:hAnsi="宋体" w:eastAsia="宋体" w:cs="宋体"/>
                <w:sz w:val="28"/>
                <w:szCs w:val="28"/>
              </w:rPr>
              <w:t>中小企业扶持政策</w:t>
            </w:r>
          </w:p>
        </w:tc>
        <w:tc>
          <w:tcPr>
            <w:tcW w:w="6390" w:type="dxa"/>
            <w:vAlign w:val="center"/>
          </w:tcPr>
          <w:p>
            <w:pPr>
              <w:ind w:firstLine="560" w:firstLineChars="200"/>
              <w:rPr>
                <w:rFonts w:ascii="宋体" w:hAnsi="宋体" w:eastAsia="宋体" w:cs="宋体"/>
                <w:sz w:val="28"/>
                <w:szCs w:val="28"/>
              </w:rPr>
            </w:pPr>
            <w:r>
              <w:rPr>
                <w:rFonts w:hint="eastAsia" w:ascii="宋体" w:hAnsi="宋体" w:eastAsia="宋体" w:cs="宋体"/>
                <w:sz w:val="28"/>
                <w:szCs w:val="28"/>
              </w:rPr>
              <w:t>（   ）我公司属于小微企业，并提供中小企业声明函。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2330" w:type="dxa"/>
            <w:vAlign w:val="center"/>
          </w:tcPr>
          <w:p>
            <w:pPr>
              <w:jc w:val="center"/>
              <w:rPr>
                <w:rFonts w:ascii="宋体" w:hAnsi="宋体" w:eastAsia="宋体" w:cs="宋体"/>
                <w:sz w:val="28"/>
                <w:szCs w:val="28"/>
              </w:rPr>
            </w:pPr>
            <w:r>
              <w:rPr>
                <w:rFonts w:hint="eastAsia" w:ascii="宋体" w:hAnsi="宋体" w:eastAsia="宋体" w:cs="宋体"/>
                <w:sz w:val="28"/>
                <w:szCs w:val="28"/>
              </w:rPr>
              <w:t>监狱企业</w:t>
            </w:r>
          </w:p>
        </w:tc>
        <w:tc>
          <w:tcPr>
            <w:tcW w:w="6390" w:type="dxa"/>
            <w:vAlign w:val="center"/>
          </w:tcPr>
          <w:p>
            <w:pPr>
              <w:ind w:firstLine="560" w:firstLineChars="200"/>
              <w:rPr>
                <w:rFonts w:ascii="宋体" w:hAnsi="宋体" w:eastAsia="宋体" w:cs="宋体"/>
                <w:sz w:val="28"/>
                <w:szCs w:val="28"/>
              </w:rPr>
            </w:pPr>
            <w:r>
              <w:rPr>
                <w:rFonts w:hint="eastAsia" w:ascii="宋体" w:hAnsi="宋体" w:eastAsia="宋体" w:cs="宋体"/>
                <w:sz w:val="28"/>
                <w:szCs w:val="28"/>
              </w:rPr>
              <w:t>（   ）我公司属于监狱企业，并提供由监狱管理局、戒毒管理局（含新疆生产建设兵团）出具的属于监狱企业的证明文件。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2330" w:type="dxa"/>
            <w:vAlign w:val="center"/>
          </w:tcPr>
          <w:p>
            <w:pPr>
              <w:jc w:val="center"/>
              <w:rPr>
                <w:rFonts w:ascii="宋体" w:hAnsi="宋体" w:eastAsia="宋体" w:cs="宋体"/>
                <w:sz w:val="28"/>
                <w:szCs w:val="28"/>
              </w:rPr>
            </w:pPr>
            <w:r>
              <w:rPr>
                <w:rFonts w:hint="eastAsia" w:ascii="宋体" w:hAnsi="宋体" w:eastAsia="宋体" w:cs="宋体"/>
                <w:sz w:val="28"/>
                <w:szCs w:val="28"/>
              </w:rPr>
              <w:t>残疾人福利性单位</w:t>
            </w:r>
          </w:p>
        </w:tc>
        <w:tc>
          <w:tcPr>
            <w:tcW w:w="6390" w:type="dxa"/>
            <w:vAlign w:val="center"/>
          </w:tcPr>
          <w:p>
            <w:pPr>
              <w:ind w:firstLine="560" w:firstLineChars="200"/>
              <w:rPr>
                <w:rFonts w:ascii="宋体" w:hAnsi="宋体" w:eastAsia="宋体" w:cs="宋体"/>
                <w:sz w:val="28"/>
                <w:szCs w:val="28"/>
              </w:rPr>
            </w:pPr>
            <w:r>
              <w:rPr>
                <w:rFonts w:hint="eastAsia" w:ascii="宋体" w:hAnsi="宋体" w:eastAsia="宋体" w:cs="宋体"/>
                <w:sz w:val="28"/>
                <w:szCs w:val="28"/>
              </w:rPr>
              <w:t>（    ）我公司属于残疾人福利性单位，并提供残疾人福利性单位声明函。</w:t>
            </w:r>
          </w:p>
        </w:tc>
      </w:tr>
    </w:tbl>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填报要求：如属所列情形的，请在括号内打“√”。</w:t>
      </w:r>
    </w:p>
    <w:p>
      <w:pPr>
        <w:snapToGrid w:val="0"/>
        <w:spacing w:line="400" w:lineRule="exact"/>
        <w:ind w:firstLine="3000" w:firstLineChars="1250"/>
        <w:rPr>
          <w:rFonts w:ascii="宋体" w:hAnsi="宋体" w:eastAsia="宋体" w:cs="宋体"/>
          <w:color w:val="000000"/>
          <w:sz w:val="24"/>
        </w:rPr>
      </w:pPr>
    </w:p>
    <w:p>
      <w:pPr>
        <w:snapToGrid w:val="0"/>
        <w:spacing w:line="400" w:lineRule="exact"/>
        <w:ind w:firstLine="3000" w:firstLineChars="1250"/>
        <w:rPr>
          <w:rFonts w:ascii="宋体" w:hAnsi="宋体" w:eastAsia="宋体" w:cs="宋体"/>
          <w:color w:val="000000"/>
          <w:sz w:val="24"/>
        </w:rPr>
      </w:pPr>
    </w:p>
    <w:p>
      <w:pPr>
        <w:snapToGrid w:val="0"/>
        <w:spacing w:line="400" w:lineRule="exact"/>
        <w:ind w:firstLine="3000" w:firstLineChars="1250"/>
        <w:rPr>
          <w:rFonts w:ascii="宋体" w:hAnsi="宋体" w:eastAsia="宋体" w:cs="宋体"/>
          <w:color w:val="000000"/>
          <w:sz w:val="24"/>
        </w:rPr>
      </w:pPr>
    </w:p>
    <w:p>
      <w:pPr>
        <w:snapToGrid w:val="0"/>
        <w:spacing w:line="400" w:lineRule="exact"/>
        <w:ind w:firstLine="3000" w:firstLineChars="1250"/>
        <w:rPr>
          <w:rFonts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pStyle w:val="7"/>
        <w:rPr>
          <w:rFonts w:ascii="宋体" w:hAnsi="宋体" w:eastAsia="宋体" w:cs="宋体"/>
          <w:color w:val="000000"/>
          <w:szCs w:val="32"/>
          <w:lang w:val="zh-CN"/>
        </w:rPr>
      </w:pPr>
    </w:p>
    <w:p>
      <w:pPr>
        <w:rPr>
          <w:lang w:val="zh-CN"/>
        </w:rPr>
      </w:pPr>
    </w:p>
    <w:p>
      <w:pPr>
        <w:jc w:val="center"/>
        <w:rPr>
          <w:rFonts w:ascii="宋体" w:hAnsi="宋体" w:eastAsia="宋体" w:cs="宋体"/>
          <w:b/>
          <w:bCs/>
          <w:color w:val="000000"/>
          <w:szCs w:val="32"/>
          <w:lang w:val="zh-CN"/>
        </w:rPr>
      </w:pPr>
      <w:r>
        <w:rPr>
          <w:rFonts w:hint="eastAsia" w:ascii="宋体" w:hAnsi="宋体" w:eastAsia="宋体" w:cs="宋体"/>
          <w:b/>
          <w:bCs/>
          <w:color w:val="000000"/>
          <w:szCs w:val="32"/>
        </w:rPr>
        <w:t xml:space="preserve"> </w:t>
      </w:r>
      <w:r>
        <w:rPr>
          <w:rFonts w:hint="eastAsia" w:ascii="宋体" w:hAnsi="宋体" w:eastAsia="宋体" w:cs="宋体"/>
          <w:b/>
          <w:bCs/>
          <w:color w:val="000000"/>
          <w:szCs w:val="32"/>
          <w:lang w:val="zh-CN"/>
        </w:rPr>
        <w:t>十三、《中小企业声明函》《残疾人福利性单位声明函》、属于监狱企业的证明文件等（如有）</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中小企业声明函（货物）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 企业发展管理办法》（财库﹝2020﹞46 号）的规定，本公司 （联合体）参加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采购活动，提供的货物全部由符合政策要求的中小企业制造。相关企业（含联合体中的中小企业、签订分包意向协议的中小企业） 的具体情况如下：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 xml:space="preserve">，属于（中型企业、小型企业、微型企业）；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 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 企业、微型企业）</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5280" w:firstLineChars="2200"/>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 xml:space="preserve">日 期：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u w:val="single"/>
        </w:rPr>
        <w:t xml:space="preserve">                                                             </w:t>
      </w:r>
    </w:p>
    <w:p>
      <w:pPr>
        <w:spacing w:line="360" w:lineRule="auto"/>
        <w:rPr>
          <w:sz w:val="21"/>
          <w:szCs w:val="24"/>
        </w:rPr>
        <w:sectPr>
          <w:headerReference r:id="rId15" w:type="default"/>
          <w:footerReference r:id="rId16" w:type="default"/>
          <w:pgSz w:w="11906" w:h="16838"/>
          <w:pgMar w:top="1134" w:right="1191" w:bottom="1134" w:left="1191" w:header="851" w:footer="992" w:gutter="0"/>
          <w:cols w:space="720" w:num="1"/>
          <w:titlePg/>
          <w:docGrid w:type="lines" w:linePitch="312" w:charSpace="0"/>
        </w:sectPr>
      </w:pPr>
      <w:r>
        <w:rPr>
          <w:rFonts w:hint="eastAsia" w:ascii="宋体" w:hAnsi="宋体" w:eastAsia="宋体" w:cs="宋体"/>
          <w:sz w:val="24"/>
          <w:szCs w:val="24"/>
          <w:vertAlign w:val="superscript"/>
        </w:rPr>
        <w:t>1</w:t>
      </w:r>
      <w:r>
        <w:rPr>
          <w:rFonts w:hint="eastAsia" w:ascii="宋体" w:hAnsi="宋体" w:eastAsia="宋体" w:cs="宋体"/>
          <w:sz w:val="18"/>
          <w:szCs w:val="18"/>
        </w:rPr>
        <w:t>从业人员、营业收入、资产总额填报上一年度数据，无上一年度数据的新成立企业可不填报</w:t>
      </w:r>
    </w:p>
    <w:p>
      <w:pPr>
        <w:jc w:val="center"/>
        <w:rPr>
          <w:rFonts w:ascii="宋体" w:hAnsi="宋体" w:eastAsia="宋体"/>
          <w:b/>
          <w:color w:val="000000"/>
          <w:szCs w:val="22"/>
        </w:rPr>
      </w:pPr>
    </w:p>
    <w:p>
      <w:pPr>
        <w:jc w:val="center"/>
        <w:rPr>
          <w:rFonts w:ascii="宋体" w:hAnsi="宋体" w:eastAsia="宋体"/>
          <w:b/>
          <w:color w:val="000000"/>
          <w:szCs w:val="22"/>
        </w:rPr>
      </w:pPr>
      <w:r>
        <w:rPr>
          <w:rFonts w:hint="eastAsia" w:ascii="宋体" w:hAnsi="宋体" w:eastAsia="宋体"/>
          <w:b/>
          <w:color w:val="000000"/>
          <w:szCs w:val="22"/>
        </w:rPr>
        <w:t>残疾人福利性单位声明函</w:t>
      </w:r>
    </w:p>
    <w:p>
      <w:pPr>
        <w:spacing w:line="588" w:lineRule="exact"/>
        <w:ind w:firstLine="626"/>
        <w:rPr>
          <w:b/>
          <w:color w:val="000000"/>
          <w:spacing w:val="6"/>
          <w:sz w:val="30"/>
          <w:szCs w:val="30"/>
        </w:rPr>
      </w:pPr>
    </w:p>
    <w:p>
      <w:pPr>
        <w:spacing w:line="588" w:lineRule="exact"/>
        <w:ind w:firstLine="504" w:firstLineChars="200"/>
        <w:rPr>
          <w:rFonts w:ascii="宋体" w:hAnsi="宋体" w:eastAsia="宋体" w:cs="宋体"/>
          <w:color w:val="000000"/>
          <w:spacing w:val="6"/>
          <w:sz w:val="24"/>
          <w:szCs w:val="24"/>
        </w:rPr>
      </w:pPr>
      <w:r>
        <w:rPr>
          <w:rFonts w:hint="eastAsia" w:ascii="宋体" w:hAnsi="宋体" w:eastAsia="宋体" w:cs="宋体"/>
          <w:color w:val="000000"/>
          <w:spacing w:val="6"/>
          <w:sz w:val="24"/>
          <w:szCs w:val="24"/>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 141</w:t>
      </w:r>
      <w:r>
        <w:rPr>
          <w:rFonts w:hint="eastAsia" w:ascii="宋体" w:hAnsi="宋体" w:eastAsia="宋体"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宋体"/>
          <w:color w:val="000000"/>
          <w:spacing w:val="6"/>
          <w:sz w:val="24"/>
          <w:szCs w:val="24"/>
        </w:rPr>
      </w:pPr>
      <w:r>
        <w:rPr>
          <w:rFonts w:hint="eastAsia" w:ascii="宋体" w:hAnsi="宋体" w:eastAsia="宋体" w:cs="宋体"/>
          <w:color w:val="000000"/>
          <w:spacing w:val="6"/>
          <w:sz w:val="24"/>
          <w:szCs w:val="24"/>
        </w:rPr>
        <w:t>本单位对上述声明的真实性负责。如有虚假，将依法承担相应责任。</w:t>
      </w:r>
    </w:p>
    <w:p>
      <w:pPr>
        <w:spacing w:line="588" w:lineRule="exact"/>
        <w:ind w:firstLine="624"/>
        <w:rPr>
          <w:rFonts w:ascii="宋体" w:hAnsi="宋体" w:eastAsia="宋体" w:cs="宋体"/>
          <w:color w:val="000000"/>
          <w:spacing w:val="6"/>
          <w:sz w:val="24"/>
          <w:szCs w:val="24"/>
        </w:rPr>
      </w:pPr>
    </w:p>
    <w:p>
      <w:pPr>
        <w:spacing w:line="588" w:lineRule="exact"/>
        <w:ind w:firstLine="624"/>
        <w:rPr>
          <w:rFonts w:ascii="宋体" w:hAnsi="宋体" w:eastAsia="宋体" w:cs="宋体"/>
          <w:color w:val="000000"/>
          <w:spacing w:val="6"/>
          <w:sz w:val="24"/>
          <w:szCs w:val="24"/>
        </w:rPr>
      </w:pPr>
    </w:p>
    <w:p>
      <w:pPr>
        <w:tabs>
          <w:tab w:val="left" w:pos="4860"/>
        </w:tabs>
        <w:spacing w:line="588" w:lineRule="exact"/>
        <w:ind w:right="1560" w:firstLine="624"/>
        <w:jc w:val="center"/>
        <w:rPr>
          <w:rFonts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               单位名称（盖章）：</w:t>
      </w:r>
    </w:p>
    <w:p>
      <w:pPr>
        <w:tabs>
          <w:tab w:val="left" w:pos="4860"/>
        </w:tabs>
        <w:spacing w:line="588" w:lineRule="exact"/>
        <w:ind w:right="1560" w:firstLine="624"/>
        <w:jc w:val="center"/>
        <w:rPr>
          <w:rFonts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       日  期：</w:t>
      </w:r>
    </w:p>
    <w:p>
      <w:pPr>
        <w:widowControl/>
        <w:jc w:val="left"/>
        <w:rPr>
          <w:rFonts w:ascii="宋体" w:hAnsi="宋体"/>
          <w:bCs/>
          <w:color w:val="000000"/>
          <w:szCs w:val="32"/>
        </w:rPr>
      </w:pPr>
      <w:r>
        <w:rPr>
          <w:rFonts w:hint="eastAsia" w:ascii="宋体" w:hAnsi="宋体" w:eastAsia="宋体" w:cs="宋体"/>
          <w:bCs/>
          <w:color w:val="000000"/>
          <w:sz w:val="24"/>
          <w:szCs w:val="24"/>
        </w:rPr>
        <w:br w:type="page"/>
      </w:r>
    </w:p>
    <w:p>
      <w:pPr>
        <w:pStyle w:val="10"/>
        <w:ind w:left="0" w:leftChars="0" w:firstLine="0" w:firstLineChars="0"/>
        <w:jc w:val="center"/>
        <w:rPr>
          <w:rFonts w:ascii="宋体" w:hAnsi="宋体" w:eastAsia="宋体"/>
          <w:b/>
          <w:color w:val="000000"/>
          <w:sz w:val="32"/>
          <w:szCs w:val="22"/>
        </w:rPr>
      </w:pPr>
      <w:r>
        <w:rPr>
          <w:rFonts w:hint="eastAsia" w:ascii="宋体" w:hAnsi="宋体" w:eastAsia="宋体"/>
          <w:b/>
          <w:color w:val="000000"/>
          <w:sz w:val="32"/>
          <w:szCs w:val="22"/>
        </w:rPr>
        <w:t>省级以上监狱管理局、戒毒管理局（含新疆生产建设兵团）出具的属于监狱企业的证明文件</w:t>
      </w:r>
    </w:p>
    <w:p>
      <w:pPr>
        <w:jc w:val="center"/>
        <w:rPr>
          <w:rFonts w:ascii="宋体" w:hAnsi="宋体" w:eastAsia="宋体" w:cs="宋体"/>
          <w:color w:val="000000"/>
          <w:sz w:val="24"/>
          <w:szCs w:val="24"/>
        </w:rPr>
      </w:pPr>
      <w:r>
        <w:rPr>
          <w:rFonts w:hint="eastAsia" w:ascii="宋体" w:hAnsi="宋体" w:eastAsia="宋体" w:cs="宋体"/>
          <w:color w:val="000000"/>
          <w:sz w:val="24"/>
          <w:szCs w:val="24"/>
        </w:rPr>
        <w:br w:type="page"/>
      </w:r>
    </w:p>
    <w:p>
      <w:pPr>
        <w:jc w:val="center"/>
        <w:rPr>
          <w:rFonts w:ascii="宋体" w:hAnsi="宋体" w:eastAsia="宋体" w:cs="宋体"/>
          <w:b/>
          <w:bCs/>
          <w:color w:val="000000"/>
          <w:szCs w:val="32"/>
          <w:lang w:val="zh-CN"/>
        </w:rPr>
      </w:pPr>
      <w:r>
        <w:rPr>
          <w:rFonts w:hint="eastAsia" w:ascii="宋体" w:hAnsi="宋体" w:eastAsia="宋体" w:cs="宋体"/>
          <w:b/>
          <w:bCs/>
          <w:color w:val="000000"/>
          <w:szCs w:val="32"/>
          <w:lang w:val="zh-CN"/>
        </w:rPr>
        <w:t>十四、本文件要求提供的其他资格证明文件及资料</w:t>
      </w:r>
    </w:p>
    <w:p>
      <w:pPr>
        <w:pStyle w:val="10"/>
        <w:ind w:left="640" w:firstLine="422"/>
        <w:rPr>
          <w:rFonts w:ascii="宋体" w:hAnsi="宋体" w:eastAsia="宋体" w:cs="宋体"/>
          <w:b/>
          <w:bCs/>
          <w:color w:val="000000"/>
          <w:szCs w:val="32"/>
          <w:lang w:val="zh-CN"/>
        </w:rPr>
      </w:pPr>
    </w:p>
    <w:p>
      <w:pPr>
        <w:numPr>
          <w:ilvl w:val="0"/>
          <w:numId w:val="10"/>
        </w:numPr>
        <w:spacing w:line="360" w:lineRule="auto"/>
        <w:rPr>
          <w:rFonts w:ascii="宋体" w:hAnsi="宋体" w:eastAsia="宋体" w:cs="宋体"/>
          <w:sz w:val="24"/>
          <w:szCs w:val="24"/>
        </w:rPr>
      </w:pPr>
      <w:r>
        <w:rPr>
          <w:rFonts w:hint="eastAsia" w:ascii="宋体" w:hAnsi="宋体" w:eastAsia="宋体" w:cs="宋体"/>
          <w:sz w:val="24"/>
          <w:szCs w:val="24"/>
        </w:rPr>
        <w:t>采购文件要求供应商提供的其他内容；</w:t>
      </w:r>
    </w:p>
    <w:p>
      <w:pPr>
        <w:spacing w:line="360" w:lineRule="auto"/>
        <w:ind w:left="36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2、供应商认为需要提供的其他内容。</w:t>
      </w: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p>
      <w:pPr>
        <w:pStyle w:val="6"/>
        <w:ind w:firstLine="482"/>
        <w:rPr>
          <w:rFonts w:cs="宋体"/>
          <w:b/>
          <w:bCs/>
          <w:color w:val="000000"/>
          <w:szCs w:val="24"/>
          <w:lang w:val="zh-CN"/>
        </w:rPr>
      </w:pPr>
    </w:p>
    <w:bookmarkEnd w:id="323"/>
    <w:bookmarkEnd w:id="324"/>
    <w:bookmarkEnd w:id="325"/>
    <w:bookmarkEnd w:id="326"/>
    <w:bookmarkEnd w:id="327"/>
    <w:bookmarkEnd w:id="328"/>
    <w:bookmarkEnd w:id="331"/>
    <w:p>
      <w:pPr>
        <w:widowControl/>
        <w:tabs>
          <w:tab w:val="left" w:pos="2490"/>
        </w:tabs>
        <w:snapToGrid w:val="0"/>
        <w:spacing w:line="276" w:lineRule="auto"/>
        <w:outlineLvl w:val="0"/>
        <w:rPr>
          <w:rFonts w:ascii="宋体" w:hAnsi="宋体" w:eastAsia="宋体" w:cs="宋体"/>
          <w:b/>
          <w:bCs/>
          <w:szCs w:val="32"/>
          <w:lang w:val="zh-CN"/>
        </w:rPr>
      </w:pPr>
    </w:p>
    <w:p/>
    <w:p/>
    <w:p/>
    <w:sectPr>
      <w:pgSz w:w="11906" w:h="16838"/>
      <w:pgMar w:top="1134" w:right="1247" w:bottom="851" w:left="1418" w:header="964" w:footer="851" w:gutter="0"/>
      <w:cols w:space="720"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00" w:firstLineChars="250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2"/>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320" w:firstLineChars="24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5813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858135" cy="147955"/>
                      </a:xfrm>
                      <a:prstGeom prst="rect">
                        <a:avLst/>
                      </a:prstGeom>
                      <a:noFill/>
                      <a:ln w="15875">
                        <a:noFill/>
                      </a:ln>
                    </wps:spPr>
                    <wps:txbx>
                      <w:txbxContent>
                        <w:p>
                          <w:pPr>
                            <w:pStyle w:val="12"/>
                            <w:jc w:val="both"/>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225.05pt;mso-position-horizontal:center;mso-position-horizontal-relative:margin;mso-wrap-style:none;z-index:251664384;mso-width-relative:page;mso-height-relative:page;" filled="f" stroked="f" coordsize="21600,21600" o:gfxdata="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gdWYbWAAAABAEAAA8AAAAAAAAAAQAgAAAAIgAA&#10;AGRycy9kb3ducmV2LnhtbFBLAQIUABQAAAAIAIdO4kAROaBj0QEAAJgDAAAOAAAAAAAAAAEAIAAA&#10;ACUBAABkcnMvZTJvRG9jLnhtbFBLBQYAAAAABgAGAFkBAABoBQAAAAA=&#10;">
              <v:fill on="f" focussize="0,0"/>
              <v:stroke on="f" weight="1.25pt"/>
              <v:imagedata o:title=""/>
              <o:lock v:ext="edit" aspectratio="f"/>
              <v:textbox inset="0mm,0mm,0mm,0mm" style="mso-fit-shape-to-text:t;">
                <w:txbxContent>
                  <w:p>
                    <w:pPr>
                      <w:pStyle w:val="12"/>
                      <w:jc w:val="both"/>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1"/>
      </w:pBdr>
      <w:tabs>
        <w:tab w:val="clear" w:pos="4153"/>
        <w:tab w:val="clear" w:pos="8306"/>
      </w:tabs>
      <w:ind w:right="-9"/>
      <w:jc w:val="both"/>
      <w:rPr>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Bdr>
        <w:top w:val="single" w:color="000000" w:sz="4" w:space="1"/>
      </w:pBdr>
      <w:tabs>
        <w:tab w:val="clear" w:pos="4153"/>
        <w:tab w:val="clear" w:pos="8306"/>
      </w:tabs>
      <w:ind w:right="-9"/>
      <w:jc w:val="center"/>
      <w:rPr>
        <w:rFonts w:ascii="宋体" w:hAnsi="宋体" w:eastAsia="宋体"/>
        <w:b/>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12"/>
                            <w:jc w:val="right"/>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848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E7Vt9QAAAACAQAADwAAAAAAAAABACAAAAAiAAAAZHJz&#10;L2Rvd25yZXYueG1sUEsBAhQAFAAAAAgAh07iQEyjUJLPAQAAlAMAAA4AAAAAAAAAAQAgAAAAIwEA&#10;AGRycy9lMm9Eb2MueG1sUEsFBgAAAAAGAAYAWQEAAGQFAAAAAA==&#10;">
              <v:fill on="f" focussize="0,0"/>
              <v:stroke on="f" weight="1.25pt"/>
              <v:imagedata o:title=""/>
              <o:lock v:ext="edit" aspectratio="f"/>
              <v:textbox inset="0mm,0mm,0mm,0mm" style="mso-fit-shape-to-text:t;">
                <w:txbxContent>
                  <w:p>
                    <w:pPr>
                      <w:pStyle w:val="12"/>
                      <w:jc w:val="right"/>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00" w:firstLineChars="250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2"/>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12"/>
                            <w:jc w:val="right"/>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643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E7Vt9QAAAACAQAADwAAAAAAAAABACAAAAAiAAAAZHJz&#10;L2Rvd25yZXYueG1sUEsBAhQAFAAAAAgAh07iQNQ7NqnPAQAAlAMAAA4AAAAAAAAAAQAgAAAAIwEA&#10;AGRycy9lMm9Eb2MueG1sUEsFBgAAAAAGAAYAWQEAAGQFAAAAAA==&#10;">
              <v:fill on="f" focussize="0,0"/>
              <v:stroke on="f" weight="1.25pt"/>
              <v:imagedata o:title=""/>
              <o:lock v:ext="edit" aspectratio="f"/>
              <v:textbox inset="0mm,0mm,0mm,0mm" style="mso-fit-shape-to-text:t;">
                <w:txbxContent>
                  <w:p>
                    <w:pPr>
                      <w:pStyle w:val="12"/>
                      <w:jc w:val="right"/>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MBsbUAAAAAwEAAA8AAAAAAAAAAQAgAAAAIgAAAGRy&#10;cy9kb3ducmV2LnhtbFBLAQIUABQAAAAIAIdO4kA5L3So0AEAAJUDAAAOAAAAAAAAAAEAIAAAACMB&#10;AABkcnMvZTJvRG9jLnhtbFBLBQYAAAAABgAGAFkBAABl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TtW31AAAAAIBAAAPAAAAAAAAAAEAIAAAACIAAABkcnMv&#10;ZG93bnJldi54bWxQSwECFAAUAAAACACHTuJAIXBU8s4BAACUAwAADgAAAAAAAAABACAAAAAjAQAA&#10;ZHJzL2Uyb0RvYy54bWxQSwUGAAAAAAYABgBZAQAAYwU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90" w:firstLineChars="25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2958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029585" cy="147955"/>
                      </a:xfrm>
                      <a:prstGeom prst="rect">
                        <a:avLst/>
                      </a:prstGeom>
                      <a:noFill/>
                      <a:ln w="15875">
                        <a:noFill/>
                      </a:ln>
                    </wps:spPr>
                    <wps:txbx>
                      <w:txbxContent>
                        <w:p>
                          <w:pPr>
                            <w:pStyle w:val="12"/>
                            <w:jc w:val="both"/>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238.55pt;mso-position-horizontal:center;mso-position-horizontal-relative:margin;mso-wrap-style:none;z-index:251661312;mso-width-relative:page;mso-height-relative:page;" filled="f" stroked="f" coordsize="21600,21600" o:gfxdata="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1xfRNYAAAAEAQAADwAAAAAAAAABACAAAAAiAAAA&#10;ZHJzL2Rvd25yZXYueG1sUEsBAhQAFAAAAAgAh07iQJjF4x7QAQAAmAMAAA4AAAAAAAAAAQAgAAAA&#10;JQEAAGRycy9lMm9Eb2MueG1sUEsFBgAAAAAGAAYAWQEAAGcFAAAAAA==&#10;">
              <v:fill on="f" focussize="0,0"/>
              <v:stroke on="f" weight="1.25pt"/>
              <v:imagedata o:title=""/>
              <o:lock v:ext="edit" aspectratio="f"/>
              <v:textbox inset="0mm,0mm,0mm,0mm" style="mso-fit-shape-to-text:t;">
                <w:txbxContent>
                  <w:p>
                    <w:pPr>
                      <w:pStyle w:val="12"/>
                      <w:jc w:val="both"/>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320" w:firstLineChars="2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5813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58135" cy="147955"/>
                      </a:xfrm>
                      <a:prstGeom prst="rect">
                        <a:avLst/>
                      </a:prstGeom>
                      <a:noFill/>
                      <a:ln w="15875">
                        <a:noFill/>
                      </a:ln>
                    </wps:spPr>
                    <wps:txbx>
                      <w:txbxContent>
                        <w:p>
                          <w:pPr>
                            <w:pStyle w:val="12"/>
                            <w:ind w:firstLine="4320" w:firstLineChars="2400"/>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225.05pt;mso-position-horizontal:center;mso-position-horizontal-relative:margin;mso-wrap-style:none;z-index:251662336;mso-width-relative:page;mso-height-relative:page;" filled="f" stroked="f" coordsize="21600,21600" o:gfxdata="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gdWYbWAAAABAEAAA8AAAAAAAAAAQAgAAAAIgAA&#10;AGRycy9kb3ducmV2LnhtbFBLAQIUABQAAAAIAIdO4kBz3FKG0QEAAJYDAAAOAAAAAAAAAAEAIAAA&#10;ACUBAABkcnMvZTJvRG9jLnhtbFBLBQYAAAAABgAGAFkBAABoBQAAAAA=&#10;">
              <v:fill on="f" focussize="0,0"/>
              <v:stroke on="f" weight="1.25pt"/>
              <v:imagedata o:title=""/>
              <o:lock v:ext="edit" aspectratio="f"/>
              <v:textbox inset="0mm,0mm,0mm,0mm" style="mso-fit-shape-to-text:t;">
                <w:txbxContent>
                  <w:p>
                    <w:pPr>
                      <w:pStyle w:val="12"/>
                      <w:ind w:firstLine="4320" w:firstLineChars="2400"/>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90" w:firstLineChars="25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029585"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029585" cy="147955"/>
                      </a:xfrm>
                      <a:prstGeom prst="rect">
                        <a:avLst/>
                      </a:prstGeom>
                      <a:noFill/>
                      <a:ln w="15875">
                        <a:noFill/>
                      </a:ln>
                    </wps:spPr>
                    <wps:txbx>
                      <w:txbxContent>
                        <w:p>
                          <w:pPr>
                            <w:pStyle w:val="12"/>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238.55pt;mso-position-horizontal:center;mso-position-horizontal-relative:margin;mso-wrap-style:none;z-index:251663360;mso-width-relative:page;mso-height-relative:page;" filled="f" stroked="f" coordsize="21600,21600" o:gfxdata="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NcX0TWAAAABAEAAA8AAAAAAAAAAQAgAAAAIgAA&#10;AGRycy9kb3ducmV2LnhtbFBLAQIUABQAAAAIAIdO4kCjuj4u0QEAAJgDAAAOAAAAAAAAAAEAIAAA&#10;ACUBAABkcnMvZTJvRG9jLnhtbFBLBQYAAAAABgAGAFkBAABoBQ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rFonts w:ascii="宋体" w:hAnsi="宋体" w:eastAsia="宋体" w:cs="宋体"/>
        <w:sz w:val="21"/>
        <w:szCs w:val="21"/>
      </w:rPr>
    </w:pPr>
  </w:p>
  <w:p>
    <w:pPr>
      <w:pStyle w:val="13"/>
      <w:pBdr>
        <w:bottom w:val="single" w:color="auto" w:sz="6" w:space="0"/>
      </w:pBdr>
      <w:jc w:val="both"/>
      <w:rPr>
        <w:rFonts w:ascii="宋体" w:hAnsi="宋体" w:eastAsia="宋体" w:cs="宋体"/>
        <w:sz w:val="21"/>
        <w:szCs w:val="21"/>
      </w:rPr>
    </w:pPr>
    <w:r>
      <w:rPr>
        <w:rFonts w:hint="eastAsia" w:ascii="宋体" w:hAnsi="宋体" w:eastAsia="宋体" w:cs="宋体"/>
        <w:sz w:val="21"/>
        <w:szCs w:val="21"/>
      </w:rPr>
      <w:t>广水市文化和旅游局图书馆新馆图书采购及数字化建设项目竞争性磋商文件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rFonts w:ascii="宋体" w:hAnsi="宋体" w:eastAsia="宋体" w:cs="宋体"/>
        <w:sz w:val="21"/>
        <w:szCs w:val="21"/>
      </w:rPr>
    </w:pPr>
    <w:r>
      <w:rPr>
        <w:rFonts w:hint="eastAsia" w:ascii="宋体" w:hAnsi="宋体" w:eastAsia="宋体" w:cs="宋体"/>
        <w:sz w:val="21"/>
        <w:szCs w:val="21"/>
      </w:rPr>
      <w:t>广水市文化和旅游局图书馆新馆图书采购及数字化建设项目竞争性磋商文件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20" w:lineRule="auto"/>
      <w:rPr>
        <w:b/>
        <w:sz w:val="21"/>
        <w:szCs w:val="24"/>
        <w:u w:val="single"/>
      </w:rPr>
    </w:pPr>
    <w:r>
      <w:rPr>
        <w:rFonts w:hint="eastAsia" w:ascii="宋体" w:hAnsi="宋体" w:eastAsia="宋体" w:cs="宋体"/>
        <w:sz w:val="21"/>
        <w:szCs w:val="21"/>
        <w:u w:val="single"/>
      </w:rPr>
      <w:t>广水市文化和旅游局图书馆新馆图书采购及数字化建设项目竞争性磋商文件</w:t>
    </w:r>
    <w:r>
      <w:rPr>
        <w:rFonts w:hint="eastAsia" w:ascii="宋体" w:hAnsi="宋体" w:eastAsia="宋体"/>
        <w:sz w:val="21"/>
        <w:szCs w:val="24"/>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8CA1"/>
    <w:multiLevelType w:val="singleLevel"/>
    <w:tmpl w:val="A27D8CA1"/>
    <w:lvl w:ilvl="0" w:tentative="0">
      <w:start w:val="6"/>
      <w:numFmt w:val="chineseCounting"/>
      <w:suff w:val="nothing"/>
      <w:lvlText w:val="%1、"/>
      <w:lvlJc w:val="left"/>
      <w:rPr>
        <w:rFonts w:hint="eastAsia"/>
      </w:rPr>
    </w:lvl>
  </w:abstractNum>
  <w:abstractNum w:abstractNumId="1">
    <w:nsid w:val="A8ADDEB1"/>
    <w:multiLevelType w:val="singleLevel"/>
    <w:tmpl w:val="A8ADDEB1"/>
    <w:lvl w:ilvl="0" w:tentative="0">
      <w:start w:val="2"/>
      <w:numFmt w:val="decimal"/>
      <w:suff w:val="nothing"/>
      <w:lvlText w:val="%1、"/>
      <w:lvlJc w:val="left"/>
    </w:lvl>
  </w:abstractNum>
  <w:abstractNum w:abstractNumId="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
    <w:nsid w:val="59F8401A"/>
    <w:multiLevelType w:val="singleLevel"/>
    <w:tmpl w:val="59F8401A"/>
    <w:lvl w:ilvl="0" w:tentative="0">
      <w:start w:val="1"/>
      <w:numFmt w:val="decimal"/>
      <w:suff w:val="nothing"/>
      <w:lvlText w:val="%1、"/>
      <w:lvlJc w:val="left"/>
    </w:lvl>
  </w:abstractNum>
  <w:abstractNum w:abstractNumId="5">
    <w:nsid w:val="5AB5533F"/>
    <w:multiLevelType w:val="singleLevel"/>
    <w:tmpl w:val="5AB5533F"/>
    <w:lvl w:ilvl="0" w:tentative="0">
      <w:start w:val="1"/>
      <w:numFmt w:val="decimal"/>
      <w:lvlText w:val="%1."/>
      <w:lvlJc w:val="left"/>
      <w:pPr>
        <w:tabs>
          <w:tab w:val="left" w:pos="312"/>
        </w:tabs>
      </w:pPr>
    </w:lvl>
  </w:abstractNum>
  <w:abstractNum w:abstractNumId="6">
    <w:nsid w:val="66517BD5"/>
    <w:multiLevelType w:val="multilevel"/>
    <w:tmpl w:val="66517BD5"/>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7">
    <w:nsid w:val="6A6C1754"/>
    <w:multiLevelType w:val="singleLevel"/>
    <w:tmpl w:val="6A6C1754"/>
    <w:lvl w:ilvl="0" w:tentative="0">
      <w:start w:val="4"/>
      <w:numFmt w:val="chineseCounting"/>
      <w:suff w:val="space"/>
      <w:lvlText w:val="第%1部分"/>
      <w:lvlJc w:val="left"/>
      <w:rPr>
        <w:rFonts w:hint="eastAsia"/>
      </w:rPr>
    </w:lvl>
  </w:abstractNum>
  <w:abstractNum w:abstractNumId="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9">
    <w:nsid w:val="7F77441F"/>
    <w:multiLevelType w:val="multilevel"/>
    <w:tmpl w:val="7F77441F"/>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8"/>
  </w:num>
  <w:num w:numId="3">
    <w:abstractNumId w:val="3"/>
  </w:num>
  <w:num w:numId="4">
    <w:abstractNumId w:val="2"/>
  </w:num>
  <w:num w:numId="5">
    <w:abstractNumId w:val="9"/>
  </w:num>
  <w:num w:numId="6">
    <w:abstractNumId w:val="1"/>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8F6A31"/>
    <w:rsid w:val="00270AFC"/>
    <w:rsid w:val="008F6A31"/>
    <w:rsid w:val="00AD0D33"/>
    <w:rsid w:val="00DA24AE"/>
    <w:rsid w:val="00FE2F11"/>
    <w:rsid w:val="01F02E79"/>
    <w:rsid w:val="04E35A1E"/>
    <w:rsid w:val="057228FE"/>
    <w:rsid w:val="0668399C"/>
    <w:rsid w:val="098470A4"/>
    <w:rsid w:val="0A981059"/>
    <w:rsid w:val="0B4474D2"/>
    <w:rsid w:val="0C2C7CAB"/>
    <w:rsid w:val="0C547201"/>
    <w:rsid w:val="0E83792A"/>
    <w:rsid w:val="128B3251"/>
    <w:rsid w:val="13D831D0"/>
    <w:rsid w:val="14065285"/>
    <w:rsid w:val="145F6743"/>
    <w:rsid w:val="14665D24"/>
    <w:rsid w:val="1695644C"/>
    <w:rsid w:val="172B40D1"/>
    <w:rsid w:val="176A695E"/>
    <w:rsid w:val="17F92A0B"/>
    <w:rsid w:val="1B6E0ABB"/>
    <w:rsid w:val="1BA83485"/>
    <w:rsid w:val="1BAC74CA"/>
    <w:rsid w:val="1CD83537"/>
    <w:rsid w:val="1CE65C54"/>
    <w:rsid w:val="1D1E3640"/>
    <w:rsid w:val="1DB16262"/>
    <w:rsid w:val="1E7B061E"/>
    <w:rsid w:val="1E827BFE"/>
    <w:rsid w:val="20743577"/>
    <w:rsid w:val="26924756"/>
    <w:rsid w:val="26D27249"/>
    <w:rsid w:val="26EF3957"/>
    <w:rsid w:val="27674E7F"/>
    <w:rsid w:val="287C56BE"/>
    <w:rsid w:val="28A35C9D"/>
    <w:rsid w:val="29AE1F44"/>
    <w:rsid w:val="2A5C7955"/>
    <w:rsid w:val="2A7A5EEE"/>
    <w:rsid w:val="2B856638"/>
    <w:rsid w:val="2D574004"/>
    <w:rsid w:val="30BF25EC"/>
    <w:rsid w:val="31692558"/>
    <w:rsid w:val="316F36A1"/>
    <w:rsid w:val="31862EBE"/>
    <w:rsid w:val="31CF4AB1"/>
    <w:rsid w:val="33720A48"/>
    <w:rsid w:val="34384B8F"/>
    <w:rsid w:val="34D32B0A"/>
    <w:rsid w:val="34F4268D"/>
    <w:rsid w:val="34FE5408"/>
    <w:rsid w:val="35FD0039"/>
    <w:rsid w:val="363E3FB3"/>
    <w:rsid w:val="3680281D"/>
    <w:rsid w:val="36C1778B"/>
    <w:rsid w:val="37601934"/>
    <w:rsid w:val="37D324A1"/>
    <w:rsid w:val="38522DAE"/>
    <w:rsid w:val="38CC3AF8"/>
    <w:rsid w:val="38D34707"/>
    <w:rsid w:val="3BA21806"/>
    <w:rsid w:val="3C3519B4"/>
    <w:rsid w:val="3C861B1D"/>
    <w:rsid w:val="3D2E2FD3"/>
    <w:rsid w:val="3D3D6D72"/>
    <w:rsid w:val="3DB86D41"/>
    <w:rsid w:val="414D0529"/>
    <w:rsid w:val="415C5625"/>
    <w:rsid w:val="44E34A07"/>
    <w:rsid w:val="46F46935"/>
    <w:rsid w:val="476C2C25"/>
    <w:rsid w:val="497E1F05"/>
    <w:rsid w:val="49942410"/>
    <w:rsid w:val="49A21B26"/>
    <w:rsid w:val="49E1317B"/>
    <w:rsid w:val="4B5736F5"/>
    <w:rsid w:val="4B83273C"/>
    <w:rsid w:val="4C59524B"/>
    <w:rsid w:val="4E604FB7"/>
    <w:rsid w:val="4F02244F"/>
    <w:rsid w:val="4F3F4BCC"/>
    <w:rsid w:val="4FC96B8B"/>
    <w:rsid w:val="512C1180"/>
    <w:rsid w:val="51E25CE3"/>
    <w:rsid w:val="51F24178"/>
    <w:rsid w:val="52410C5B"/>
    <w:rsid w:val="52584BD7"/>
    <w:rsid w:val="534227A4"/>
    <w:rsid w:val="534F55FA"/>
    <w:rsid w:val="542B571F"/>
    <w:rsid w:val="559F4727"/>
    <w:rsid w:val="55C027DF"/>
    <w:rsid w:val="56DF668D"/>
    <w:rsid w:val="57FB5D50"/>
    <w:rsid w:val="5A44753A"/>
    <w:rsid w:val="5ADA39FB"/>
    <w:rsid w:val="5B101B12"/>
    <w:rsid w:val="5B77749C"/>
    <w:rsid w:val="5C837F16"/>
    <w:rsid w:val="5CA92A77"/>
    <w:rsid w:val="5CDF354A"/>
    <w:rsid w:val="60AA3E6F"/>
    <w:rsid w:val="60E37DEC"/>
    <w:rsid w:val="60F51F3E"/>
    <w:rsid w:val="629966D9"/>
    <w:rsid w:val="63860BC4"/>
    <w:rsid w:val="64842F98"/>
    <w:rsid w:val="64EE22C6"/>
    <w:rsid w:val="65513B34"/>
    <w:rsid w:val="681D13CB"/>
    <w:rsid w:val="68947FA7"/>
    <w:rsid w:val="6A371736"/>
    <w:rsid w:val="6B785296"/>
    <w:rsid w:val="6D1E00BF"/>
    <w:rsid w:val="6D2356D5"/>
    <w:rsid w:val="6E5F273D"/>
    <w:rsid w:val="6FEB488A"/>
    <w:rsid w:val="70A703CB"/>
    <w:rsid w:val="711908BC"/>
    <w:rsid w:val="73112589"/>
    <w:rsid w:val="73E01C2A"/>
    <w:rsid w:val="76880357"/>
    <w:rsid w:val="77813F3D"/>
    <w:rsid w:val="77B91110"/>
    <w:rsid w:val="79262797"/>
    <w:rsid w:val="79336CA0"/>
    <w:rsid w:val="79B42BF3"/>
    <w:rsid w:val="7B767318"/>
    <w:rsid w:val="7C492337"/>
    <w:rsid w:val="7EDD676A"/>
    <w:rsid w:val="7F9B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z w:val="32"/>
      <w:lang w:val="en-US" w:eastAsia="zh-CN" w:bidi="ar-SA"/>
    </w:rPr>
  </w:style>
  <w:style w:type="paragraph" w:styleId="3">
    <w:name w:val="heading 1"/>
    <w:basedOn w:val="1"/>
    <w:next w:val="1"/>
    <w:link w:val="24"/>
    <w:qFormat/>
    <w:uiPriority w:val="0"/>
    <w:pPr>
      <w:keepNext/>
      <w:keepLines/>
      <w:spacing w:before="340" w:after="330" w:line="576" w:lineRule="auto"/>
      <w:outlineLvl w:val="0"/>
    </w:pPr>
    <w:rPr>
      <w:rFonts w:ascii="Times New Roman" w:eastAsia="宋体"/>
      <w:b/>
      <w:bCs/>
      <w:kern w:val="44"/>
      <w:sz w:val="44"/>
      <w:szCs w:val="44"/>
    </w:rPr>
  </w:style>
  <w:style w:type="paragraph" w:styleId="4">
    <w:name w:val="heading 2"/>
    <w:basedOn w:val="1"/>
    <w:next w:val="1"/>
    <w:link w:val="23"/>
    <w:qFormat/>
    <w:uiPriority w:val="0"/>
    <w:pPr>
      <w:keepNext/>
      <w:tabs>
        <w:tab w:val="left" w:pos="3738"/>
      </w:tabs>
      <w:jc w:val="center"/>
      <w:outlineLvl w:val="1"/>
    </w:pPr>
    <w:rPr>
      <w:rFonts w:ascii="宋体" w:hAnsi="宋体" w:eastAsia="宋体"/>
      <w:b/>
      <w:sz w:val="30"/>
    </w:rPr>
  </w:style>
  <w:style w:type="paragraph" w:styleId="5">
    <w:name w:val="heading 3"/>
    <w:basedOn w:val="6"/>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4" w:lineRule="auto"/>
      <w:outlineLvl w:val="3"/>
    </w:pPr>
    <w:rPr>
      <w:rFonts w:ascii="Arial" w:hAnsi="Arial" w:eastAsia="黑体"/>
      <w:b/>
      <w:bCs/>
      <w:sz w:val="28"/>
      <w:szCs w:val="28"/>
    </w:rPr>
  </w:style>
  <w:style w:type="paragraph" w:styleId="2">
    <w:name w:val="heading 5"/>
    <w:basedOn w:val="1"/>
    <w:next w:val="1"/>
    <w:qFormat/>
    <w:uiPriority w:val="9"/>
    <w:pPr>
      <w:keepNext/>
      <w:keepLines/>
      <w:widowControl/>
      <w:tabs>
        <w:tab w:val="left" w:pos="1008"/>
      </w:tabs>
      <w:spacing w:before="280" w:after="290" w:line="376" w:lineRule="auto"/>
      <w:ind w:left="1008" w:hanging="1008"/>
      <w:jc w:val="left"/>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宋体" w:hAnsi="宋体" w:eastAsia="宋体"/>
      <w:sz w:val="24"/>
    </w:rPr>
  </w:style>
  <w:style w:type="paragraph" w:styleId="8">
    <w:name w:val="Body Text"/>
    <w:basedOn w:val="1"/>
    <w:qFormat/>
    <w:uiPriority w:val="99"/>
    <w:pPr>
      <w:spacing w:after="120"/>
    </w:pPr>
    <w:rPr>
      <w:rFonts w:ascii="Times New Roman"/>
      <w:szCs w:val="21"/>
    </w:rPr>
  </w:style>
  <w:style w:type="paragraph" w:styleId="9">
    <w:name w:val="Body Text Indent"/>
    <w:basedOn w:val="1"/>
    <w:next w:val="10"/>
    <w:qFormat/>
    <w:uiPriority w:val="0"/>
    <w:pPr>
      <w:spacing w:line="480" w:lineRule="exact"/>
      <w:ind w:firstLine="640" w:firstLineChars="200"/>
    </w:pPr>
    <w:rPr>
      <w:rFonts w:ascii="Times New Roman" w:eastAsia="楷体_GB2312"/>
      <w:kern w:val="2"/>
    </w:rPr>
  </w:style>
  <w:style w:type="paragraph" w:styleId="10">
    <w:name w:val="Body Text First Indent 2"/>
    <w:basedOn w:val="9"/>
    <w:qFormat/>
    <w:uiPriority w:val="0"/>
    <w:pPr>
      <w:tabs>
        <w:tab w:val="left" w:pos="1680"/>
      </w:tabs>
      <w:spacing w:after="120"/>
      <w:ind w:left="420" w:leftChars="200" w:firstLine="420"/>
    </w:pPr>
    <w:rPr>
      <w:sz w:val="21"/>
      <w:szCs w:val="24"/>
    </w:rPr>
  </w:style>
  <w:style w:type="paragraph" w:styleId="11">
    <w:name w:val="Plain Text"/>
    <w:basedOn w:val="1"/>
    <w:qFormat/>
    <w:uiPriority w:val="0"/>
    <w:rPr>
      <w:rFonts w:ascii="宋体" w:hAnsi="Courier New" w:eastAsia="宋体"/>
      <w:kern w:val="2"/>
      <w:sz w:val="21"/>
      <w:szCs w:val="21"/>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7">
    <w:name w:val="index 1"/>
    <w:basedOn w:val="1"/>
    <w:next w:val="1"/>
    <w:qFormat/>
    <w:uiPriority w:val="0"/>
    <w:rPr>
      <w:rFonts w:ascii="Times New Roman"/>
      <w:b/>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99"/>
    <w:rPr>
      <w:color w:val="0000FF"/>
      <w:u w:val="none"/>
    </w:rPr>
  </w:style>
  <w:style w:type="character" w:customStyle="1" w:styleId="23">
    <w:name w:val="标题 2 字符"/>
    <w:link w:val="4"/>
    <w:qFormat/>
    <w:uiPriority w:val="0"/>
    <w:rPr>
      <w:rFonts w:ascii="宋体" w:hAnsi="宋体" w:eastAsia="宋体"/>
      <w:b/>
      <w:sz w:val="30"/>
    </w:rPr>
  </w:style>
  <w:style w:type="character" w:customStyle="1" w:styleId="24">
    <w:name w:val="标题 1 字符"/>
    <w:link w:val="3"/>
    <w:qFormat/>
    <w:uiPriority w:val="0"/>
    <w:rPr>
      <w:rFonts w:ascii="Times New Roman" w:eastAsia="宋体"/>
      <w:b/>
      <w:bCs/>
      <w:kern w:val="44"/>
      <w:sz w:val="44"/>
      <w:szCs w:val="44"/>
    </w:rPr>
  </w:style>
  <w:style w:type="paragraph" w:customStyle="1" w:styleId="25">
    <w:name w:val="Normal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Style 1"/>
    <w:basedOn w:val="1"/>
    <w:qFormat/>
    <w:uiPriority w:val="99"/>
    <w:pPr>
      <w:autoSpaceDE w:val="0"/>
      <w:autoSpaceDN w:val="0"/>
      <w:adjustRightInd w:val="0"/>
      <w:jc w:val="left"/>
    </w:pPr>
    <w:rPr>
      <w:sz w:val="20"/>
    </w:rPr>
  </w:style>
  <w:style w:type="character" w:customStyle="1" w:styleId="27">
    <w:name w:val="Character Style 13"/>
    <w:qFormat/>
    <w:uiPriority w:val="99"/>
    <w:rPr>
      <w:sz w:val="20"/>
      <w:szCs w:val="20"/>
    </w:rPr>
  </w:style>
  <w:style w:type="paragraph" w:customStyle="1" w:styleId="28">
    <w:name w:val="Style 8"/>
    <w:basedOn w:val="1"/>
    <w:qFormat/>
    <w:uiPriority w:val="99"/>
    <w:pPr>
      <w:autoSpaceDE w:val="0"/>
      <w:autoSpaceDN w:val="0"/>
      <w:spacing w:before="36"/>
      <w:ind w:left="108"/>
      <w:jc w:val="left"/>
    </w:pPr>
  </w:style>
  <w:style w:type="table" w:customStyle="1" w:styleId="29">
    <w:name w:val="网格型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3"/>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2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11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123"/>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112"/>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12"/>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14"/>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6"/>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标题 3_3"/>
    <w:basedOn w:val="40"/>
    <w:next w:val="40"/>
    <w:qFormat/>
    <w:uiPriority w:val="0"/>
    <w:pPr>
      <w:autoSpaceDE w:val="0"/>
      <w:autoSpaceDN w:val="0"/>
      <w:adjustRightInd w:val="0"/>
      <w:spacing w:line="500" w:lineRule="exact"/>
      <w:jc w:val="center"/>
      <w:outlineLvl w:val="2"/>
    </w:pPr>
    <w:rPr>
      <w:rFonts w:ascii="宋体" w:hAnsi="宋体"/>
      <w:b/>
      <w:szCs w:val="28"/>
    </w:rPr>
  </w:style>
  <w:style w:type="paragraph" w:customStyle="1" w:styleId="40">
    <w:name w:val="正文_8"/>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01F7F-641E-478D-AD95-B18A9496D852}">
  <ds:schemaRefs/>
</ds:datastoreItem>
</file>

<file path=docProps/app.xml><?xml version="1.0" encoding="utf-8"?>
<Properties xmlns="http://schemas.openxmlformats.org/officeDocument/2006/extended-properties" xmlns:vt="http://schemas.openxmlformats.org/officeDocument/2006/docPropsVTypes">
  <Template>Normal</Template>
  <Pages>137</Pages>
  <Words>53624</Words>
  <Characters>58004</Characters>
  <Lines>455</Lines>
  <Paragraphs>128</Paragraphs>
  <TotalTime>23</TotalTime>
  <ScaleCrop>false</ScaleCrop>
  <LinksUpToDate>false</LinksUpToDate>
  <CharactersWithSpaces>60710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2023-03-14T02:41:00Z</dcterms:created>
  <dc:creator>Admin</dc:creator>
  <cp:lastModifiedBy>微信用户</cp:lastModifiedBy>
  <cp:lastPrinted>2023-03-31T00:56:00Z</cp:lastPrinted>
  <dcterms:modified xsi:type="dcterms:W3CDTF">2023-05-06T08:41:12Z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595443152EEE4C839CD376DC38B8A33A</vt:lpwstr>
  </property>
</Properties>
</file>