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hd w:val="clear" w:color="auto" w:fill="FFFFFF"/>
        <w:spacing w:before="75" w:beforeAutospacing="0" w:after="75" w:afterAutospacing="0" w:line="560" w:lineRule="exact"/>
        <w:jc w:val="center"/>
        <w:rPr>
          <w:rFonts w:ascii="Tahoma" w:hAnsi="Tahoma" w:cs="Tahoma"/>
          <w:sz w:val="21"/>
          <w:szCs w:val="21"/>
        </w:rPr>
      </w:pPr>
    </w:p>
    <w:p>
      <w:pPr>
        <w:pStyle w:val="8"/>
        <w:shd w:val="clear" w:color="auto" w:fill="FFFFFF"/>
        <w:spacing w:before="75" w:beforeAutospacing="0" w:after="75" w:afterAutospacing="0" w:line="560" w:lineRule="exact"/>
        <w:jc w:val="center"/>
        <w:rPr>
          <w:rFonts w:ascii="微软雅黑" w:hAnsi="微软雅黑" w:eastAsia="微软雅黑"/>
          <w:b/>
          <w:bCs/>
          <w:sz w:val="27"/>
          <w:szCs w:val="27"/>
          <w:shd w:val="clear" w:color="auto" w:fill="FFFFFF"/>
        </w:rPr>
      </w:pPr>
    </w:p>
    <w:p>
      <w:pPr>
        <w:pStyle w:val="8"/>
        <w:shd w:val="clear" w:color="auto" w:fill="FFFFFF"/>
        <w:spacing w:before="75" w:beforeAutospacing="0" w:after="75" w:afterAutospacing="0" w:line="560" w:lineRule="exact"/>
        <w:jc w:val="center"/>
        <w:rPr>
          <w:rFonts w:ascii="微软雅黑" w:hAnsi="微软雅黑" w:eastAsia="微软雅黑"/>
          <w:b/>
          <w:bCs/>
          <w:sz w:val="27"/>
          <w:szCs w:val="27"/>
          <w:shd w:val="clear" w:color="auto" w:fill="FFFFFF"/>
        </w:rPr>
      </w:pPr>
    </w:p>
    <w:p>
      <w:pPr>
        <w:pStyle w:val="8"/>
        <w:shd w:val="clear" w:color="auto" w:fill="FFFFFF"/>
        <w:spacing w:before="75" w:beforeAutospacing="0" w:after="75" w:afterAutospacing="0" w:line="560" w:lineRule="exact"/>
        <w:jc w:val="center"/>
        <w:rPr>
          <w:rFonts w:ascii="微软雅黑" w:hAnsi="微软雅黑" w:eastAsia="微软雅黑"/>
          <w:b/>
          <w:bCs/>
          <w:sz w:val="27"/>
          <w:szCs w:val="27"/>
          <w:shd w:val="clear" w:color="auto" w:fill="FFFFFF"/>
        </w:rPr>
      </w:pPr>
    </w:p>
    <w:p>
      <w:pPr>
        <w:pStyle w:val="8"/>
        <w:shd w:val="clear" w:color="auto" w:fill="FFFFFF"/>
        <w:spacing w:before="75" w:beforeAutospacing="0" w:after="75" w:afterAutospacing="0" w:line="560" w:lineRule="exact"/>
        <w:jc w:val="center"/>
        <w:rPr>
          <w:rFonts w:ascii="微软雅黑" w:hAnsi="微软雅黑" w:eastAsia="微软雅黑"/>
          <w:b/>
          <w:bCs/>
          <w:sz w:val="27"/>
          <w:szCs w:val="27"/>
          <w:shd w:val="clear" w:color="auto" w:fill="FFFFFF"/>
        </w:rPr>
      </w:pPr>
    </w:p>
    <w:p>
      <w:pPr>
        <w:pStyle w:val="8"/>
        <w:shd w:val="clear" w:color="auto" w:fill="FFFFFF"/>
        <w:spacing w:before="75" w:beforeAutospacing="0" w:after="75" w:afterAutospacing="0" w:line="560" w:lineRule="exact"/>
        <w:jc w:val="center"/>
        <w:rPr>
          <w:rFonts w:ascii="微软雅黑" w:hAnsi="微软雅黑" w:eastAsia="微软雅黑"/>
          <w:b/>
          <w:bCs/>
          <w:sz w:val="27"/>
          <w:szCs w:val="27"/>
          <w:shd w:val="clear" w:color="auto" w:fill="FFFFFF"/>
        </w:rPr>
      </w:pPr>
    </w:p>
    <w:p>
      <w:pPr>
        <w:pStyle w:val="8"/>
        <w:shd w:val="clear" w:color="auto" w:fill="FFFFFF"/>
        <w:spacing w:before="75" w:beforeAutospacing="0" w:after="75" w:afterAutospacing="0" w:line="560" w:lineRule="exact"/>
        <w:jc w:val="center"/>
        <w:rPr>
          <w:rFonts w:ascii="仿宋" w:hAnsi="仿宋" w:eastAsia="仿宋"/>
          <w:bCs/>
          <w:sz w:val="32"/>
          <w:szCs w:val="32"/>
          <w:shd w:val="clear" w:color="auto" w:fill="FFFFFF"/>
        </w:rPr>
      </w:pPr>
      <w:r>
        <w:rPr>
          <w:rFonts w:hint="eastAsia" w:ascii="仿宋" w:hAnsi="仿宋" w:eastAsia="仿宋"/>
          <w:bCs/>
          <w:sz w:val="32"/>
          <w:szCs w:val="32"/>
          <w:shd w:val="clear" w:color="auto" w:fill="FFFFFF"/>
        </w:rPr>
        <w:t>广司发</w:t>
      </w:r>
      <w:r>
        <w:rPr>
          <w:rFonts w:ascii="仿宋" w:hAnsi="仿宋" w:eastAsia="仿宋"/>
          <w:bCs/>
          <w:sz w:val="32"/>
          <w:szCs w:val="32"/>
          <w:shd w:val="clear" w:color="auto" w:fill="FFFFFF"/>
        </w:rPr>
        <w:t>[20</w:t>
      </w:r>
      <w:r>
        <w:rPr>
          <w:rFonts w:hint="eastAsia" w:ascii="仿宋" w:hAnsi="仿宋" w:eastAsia="仿宋"/>
          <w:bCs/>
          <w:sz w:val="32"/>
          <w:szCs w:val="32"/>
          <w:shd w:val="clear" w:color="auto" w:fill="FFFFFF"/>
        </w:rPr>
        <w:t>20</w:t>
      </w:r>
      <w:r>
        <w:rPr>
          <w:rFonts w:ascii="仿宋" w:hAnsi="仿宋" w:eastAsia="仿宋"/>
          <w:bCs/>
          <w:sz w:val="32"/>
          <w:szCs w:val="32"/>
          <w:shd w:val="clear" w:color="auto" w:fill="FFFFFF"/>
        </w:rPr>
        <w:t>]</w:t>
      </w:r>
      <w:r>
        <w:rPr>
          <w:rFonts w:hint="eastAsia" w:ascii="仿宋" w:hAnsi="仿宋" w:eastAsia="仿宋"/>
          <w:bCs/>
          <w:sz w:val="32"/>
          <w:szCs w:val="32"/>
          <w:shd w:val="clear" w:color="auto" w:fill="FFFFFF"/>
        </w:rPr>
        <w:t>7号</w:t>
      </w:r>
    </w:p>
    <w:p>
      <w:pPr>
        <w:pStyle w:val="8"/>
        <w:shd w:val="clear" w:color="auto" w:fill="FFFFFF"/>
        <w:spacing w:before="75" w:beforeAutospacing="0" w:after="75" w:afterAutospacing="0" w:line="560" w:lineRule="exact"/>
        <w:ind w:firstLine="540"/>
        <w:jc w:val="center"/>
        <w:rPr>
          <w:rFonts w:ascii="微软雅黑" w:hAnsi="微软雅黑" w:eastAsia="微软雅黑"/>
          <w:b/>
          <w:bCs/>
          <w:sz w:val="27"/>
          <w:szCs w:val="27"/>
          <w:shd w:val="clear" w:color="auto" w:fill="FFFFFF"/>
        </w:rPr>
      </w:pPr>
      <w:r>
        <w:rPr>
          <w:rFonts w:hint="eastAsia" w:ascii="微软雅黑" w:hAnsi="微软雅黑" w:eastAsia="微软雅黑"/>
          <w:b/>
          <w:bCs/>
          <w:sz w:val="27"/>
          <w:szCs w:val="27"/>
          <w:shd w:val="clear" w:color="auto" w:fill="FFFFFF"/>
        </w:rPr>
        <w:t>　</w:t>
      </w:r>
    </w:p>
    <w:p>
      <w:pPr>
        <w:pStyle w:val="4"/>
        <w:spacing w:line="600" w:lineRule="exact"/>
        <w:jc w:val="center"/>
        <w:rPr>
          <w:rFonts w:ascii="方正小标宋简体" w:hAnsi="仿宋" w:eastAsia="方正小标宋简体"/>
          <w:b w:val="0"/>
          <w:szCs w:val="44"/>
        </w:rPr>
      </w:pPr>
      <w:r>
        <w:rPr>
          <w:rFonts w:hint="eastAsia" w:ascii="方正小标宋简体" w:hAnsi="仿宋" w:eastAsia="方正小标宋简体"/>
          <w:b w:val="0"/>
          <w:szCs w:val="44"/>
        </w:rPr>
        <w:t>关于印发《广水市司法行政系统“公共法律服务进园区进企业优化营商环境大气候”专项法律服务工作的实施方案》的通知</w:t>
      </w:r>
    </w:p>
    <w:p/>
    <w:p>
      <w:pPr>
        <w:pStyle w:val="4"/>
        <w:spacing w:line="600" w:lineRule="exact"/>
        <w:jc w:val="left"/>
        <w:rPr>
          <w:rFonts w:ascii="仿宋" w:hAnsi="仿宋" w:eastAsia="仿宋"/>
          <w:b w:val="0"/>
          <w:sz w:val="32"/>
          <w:szCs w:val="32"/>
        </w:rPr>
      </w:pPr>
      <w:r>
        <w:rPr>
          <w:rFonts w:hint="eastAsia" w:ascii="仿宋" w:hAnsi="仿宋" w:eastAsia="仿宋"/>
          <w:b w:val="0"/>
          <w:sz w:val="32"/>
          <w:szCs w:val="32"/>
        </w:rPr>
        <w:t>各股室处所，社区矫正工作管理局，公共法律服务中心：</w:t>
      </w:r>
    </w:p>
    <w:p>
      <w:pPr>
        <w:spacing w:line="600" w:lineRule="exact"/>
        <w:rPr>
          <w:rFonts w:ascii="仿宋" w:hAnsi="仿宋" w:eastAsia="仿宋"/>
          <w:sz w:val="32"/>
          <w:szCs w:val="32"/>
        </w:rPr>
      </w:pPr>
      <w:r>
        <w:rPr>
          <w:rFonts w:hint="eastAsia" w:ascii="仿宋" w:hAnsi="仿宋" w:eastAsia="仿宋"/>
          <w:sz w:val="32"/>
          <w:szCs w:val="32"/>
        </w:rPr>
        <w:t>　　根据省司法厅、随州市司法局</w:t>
      </w:r>
      <w:r>
        <w:rPr>
          <w:rFonts w:hint="eastAsia" w:ascii="仿宋" w:hAnsi="仿宋" w:eastAsia="仿宋" w:cstheme="minorEastAsia"/>
          <w:sz w:val="32"/>
          <w:szCs w:val="32"/>
        </w:rPr>
        <w:t>“公共法律服务进园区进企业优化营商环境大气候”专项法律服务行动方案要求，经局党组研究，决定印发</w:t>
      </w:r>
      <w:r>
        <w:rPr>
          <w:rFonts w:hint="eastAsia" w:ascii="仿宋" w:hAnsi="仿宋" w:eastAsia="仿宋"/>
          <w:sz w:val="32"/>
          <w:szCs w:val="32"/>
        </w:rPr>
        <w:t>《广水市司法行政系统“公共法律服务进园区进企业优化营商环境大气候”专项法律服务工作的实施方案》，请按照方案认真执行。</w:t>
      </w:r>
    </w:p>
    <w:p>
      <w:pPr>
        <w:pStyle w:val="2"/>
        <w:spacing w:line="600" w:lineRule="exact"/>
        <w:ind w:firstLine="640"/>
        <w:rPr>
          <w:rFonts w:ascii="仿宋" w:hAnsi="仿宋" w:eastAsia="仿宋"/>
          <w:sz w:val="32"/>
          <w:szCs w:val="32"/>
        </w:rPr>
      </w:pPr>
      <w:r>
        <w:rPr>
          <w:rFonts w:hint="eastAsia" w:ascii="仿宋" w:hAnsi="仿宋" w:eastAsia="仿宋"/>
          <w:sz w:val="32"/>
          <w:szCs w:val="32"/>
        </w:rPr>
        <w:t>　　　　　　　　　　　</w:t>
      </w:r>
    </w:p>
    <w:p>
      <w:pPr>
        <w:pStyle w:val="2"/>
        <w:spacing w:line="600" w:lineRule="exact"/>
        <w:ind w:firstLine="640"/>
        <w:rPr>
          <w:rFonts w:ascii="仿宋" w:hAnsi="仿宋" w:eastAsia="仿宋"/>
          <w:sz w:val="32"/>
          <w:szCs w:val="32"/>
        </w:rPr>
      </w:pPr>
      <w:r>
        <w:rPr>
          <w:rFonts w:hint="eastAsia" w:ascii="仿宋" w:hAnsi="仿宋" w:eastAsia="仿宋"/>
          <w:sz w:val="32"/>
          <w:szCs w:val="32"/>
        </w:rPr>
        <w:t>　　　　　　　　　　　　广水市司法局</w:t>
      </w:r>
    </w:p>
    <w:p>
      <w:pPr>
        <w:pStyle w:val="2"/>
        <w:spacing w:line="600" w:lineRule="exact"/>
        <w:ind w:firstLine="640"/>
        <w:rPr>
          <w:rFonts w:ascii="仿宋" w:hAnsi="仿宋" w:eastAsia="仿宋"/>
          <w:sz w:val="32"/>
          <w:szCs w:val="32"/>
        </w:rPr>
      </w:pPr>
      <w:r>
        <w:rPr>
          <w:rFonts w:hint="eastAsia" w:ascii="仿宋" w:hAnsi="仿宋" w:eastAsia="仿宋"/>
          <w:sz w:val="32"/>
          <w:szCs w:val="32"/>
        </w:rPr>
        <w:t>　　　　　　　　　　　2020年9月24日</w:t>
      </w:r>
    </w:p>
    <w:p>
      <w:pPr>
        <w:pStyle w:val="4"/>
        <w:spacing w:line="520" w:lineRule="exact"/>
        <w:jc w:val="center"/>
        <w:rPr>
          <w:rFonts w:ascii="方正小标宋简体" w:hAnsi="仿宋" w:eastAsia="方正小标宋简体"/>
          <w:b w:val="0"/>
          <w:szCs w:val="44"/>
        </w:rPr>
      </w:pPr>
      <w:r>
        <w:rPr>
          <w:rFonts w:hint="eastAsia" w:ascii="方正小标宋简体" w:hAnsi="仿宋" w:eastAsia="方正小标宋简体"/>
          <w:b w:val="0"/>
          <w:szCs w:val="44"/>
        </w:rPr>
        <w:t>广水市司法行政系统“公共法律服务进园区进企业优化营商环境大气候”专项</w:t>
      </w:r>
    </w:p>
    <w:p>
      <w:pPr>
        <w:pStyle w:val="4"/>
        <w:spacing w:line="520" w:lineRule="exact"/>
        <w:jc w:val="center"/>
        <w:rPr>
          <w:rFonts w:ascii="方正小标宋简体" w:hAnsi="仿宋" w:eastAsia="方正小标宋简体"/>
          <w:b w:val="0"/>
          <w:szCs w:val="44"/>
        </w:rPr>
      </w:pPr>
      <w:r>
        <w:rPr>
          <w:rFonts w:hint="eastAsia" w:ascii="方正小标宋简体" w:hAnsi="仿宋" w:eastAsia="方正小标宋简体"/>
          <w:b w:val="0"/>
          <w:szCs w:val="44"/>
        </w:rPr>
        <w:t>法律服务工作的实施方案</w:t>
      </w:r>
    </w:p>
    <w:p>
      <w:pPr>
        <w:spacing w:line="520" w:lineRule="exact"/>
      </w:pPr>
    </w:p>
    <w:p>
      <w:pPr>
        <w:spacing w:line="52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为深入贯彻习近平总书记“法治是最好的营商环境”的指示精神，全面落实省司法厅关于印发《全省司法行政系统“公共法律服务进园区进企业优化营商环境大气候”专项法律服务行动方案》和随州市司法局关于印发《全市司法行政系统“公共法律服务进园区进企业优化营商环境大气候”专项法律服务实施方案》的通知精神，现对我市公共法律服务进园区工作制定如下实施方案。</w:t>
      </w:r>
    </w:p>
    <w:p>
      <w:pPr>
        <w:spacing w:line="52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一、指导思想</w:t>
      </w:r>
    </w:p>
    <w:p>
      <w:pPr>
        <w:spacing w:line="52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以习近平新时代中国特色社会主义思想为指导，贯彻落实《中共湖北省委 湖北省人民政府关于更大力度优化营商环境激发市场活力的若干措施》和市委、市政府关于优化营商环境的系列部署，结合我市疫情防控和企业复工复产实际，切实发挥司法行政法律服务、法治宣传、法治保障等职能作用，提高服务效能，为推进广水疫后复苏和高质量发展贡献力量。</w:t>
      </w:r>
    </w:p>
    <w:p>
      <w:pPr>
        <w:spacing w:line="52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二、总体目标</w:t>
      </w:r>
    </w:p>
    <w:p>
      <w:pPr>
        <w:spacing w:line="520" w:lineRule="exact"/>
        <w:ind w:firstLine="640" w:firstLineChars="200"/>
        <w:rPr>
          <w:rFonts w:ascii="仿宋" w:hAnsi="仿宋" w:eastAsia="仿宋" w:cstheme="minorEastAsia"/>
          <w:sz w:val="32"/>
          <w:szCs w:val="32"/>
        </w:rPr>
      </w:pPr>
      <w:r>
        <w:rPr>
          <w:rFonts w:hint="eastAsia" w:ascii="仿宋" w:hAnsi="仿宋" w:eastAsia="仿宋" w:cstheme="minorEastAsia"/>
          <w:sz w:val="32"/>
          <w:szCs w:val="32"/>
        </w:rPr>
        <w:t>通过开展公共法律服务进园区进企业优化营商环境大气候活动，以提高涉企公共法律服务供给能力为关键，满足企业发展多层次、宽领域的法律服务需求，促进涉企法律服务各项工作提档升级，法治保障能力显著提高，法治化营商环境更加优化，当好“无事不扰 有求必应”法律服务店小二。</w:t>
      </w:r>
    </w:p>
    <w:p>
      <w:pPr>
        <w:spacing w:line="52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三、工作内容</w:t>
      </w:r>
    </w:p>
    <w:p>
      <w:pPr>
        <w:spacing w:line="520" w:lineRule="exact"/>
        <w:ind w:firstLine="643" w:firstLineChars="200"/>
        <w:rPr>
          <w:rFonts w:ascii="仿宋" w:hAnsi="仿宋" w:eastAsia="仿宋" w:cstheme="minorEastAsia"/>
          <w:sz w:val="32"/>
          <w:szCs w:val="32"/>
        </w:rPr>
      </w:pPr>
      <w:r>
        <w:rPr>
          <w:rFonts w:hint="eastAsia" w:ascii="仿宋" w:hAnsi="仿宋" w:eastAsia="仿宋" w:cstheme="minorEastAsia"/>
          <w:b/>
          <w:sz w:val="32"/>
          <w:szCs w:val="32"/>
        </w:rPr>
        <w:t>1.统筹司法行政服务力量，汇聚专业法律服务资源</w:t>
      </w:r>
      <w:r>
        <w:rPr>
          <w:rFonts w:hint="eastAsia" w:ascii="仿宋" w:hAnsi="仿宋" w:eastAsia="仿宋" w:cstheme="minorEastAsia"/>
          <w:sz w:val="32"/>
          <w:szCs w:val="32"/>
        </w:rPr>
        <w:t>。依托工业园区司法所、法律服务站、律师调解室，设立工业园区公共法律服务中心。积极参与企业劳资纠纷、合同纠纷等矛盾排查化解；做优农民工、外来务工人员等法律援助工作，依法维护企业职工合法权利。组织律师、法律服务工作者、公证员等法律服务力量深入园区，提供“贴身式”</w:t>
      </w:r>
      <w:bookmarkStart w:id="0" w:name="_GoBack"/>
      <w:bookmarkEnd w:id="0"/>
      <w:r>
        <w:rPr>
          <w:rFonts w:hint="eastAsia" w:ascii="仿宋" w:hAnsi="仿宋" w:eastAsia="仿宋" w:cstheme="minorEastAsia"/>
          <w:sz w:val="32"/>
          <w:szCs w:val="32"/>
        </w:rPr>
        <w:t>“保姆式”服务。</w:t>
      </w:r>
    </w:p>
    <w:p>
      <w:pPr>
        <w:spacing w:line="520" w:lineRule="exact"/>
        <w:ind w:firstLine="643" w:firstLineChars="200"/>
        <w:rPr>
          <w:rFonts w:ascii="仿宋" w:hAnsi="仿宋" w:eastAsia="仿宋" w:cstheme="minorEastAsia"/>
          <w:sz w:val="32"/>
          <w:szCs w:val="32"/>
        </w:rPr>
      </w:pPr>
      <w:r>
        <w:rPr>
          <w:rFonts w:hint="eastAsia" w:ascii="仿宋" w:hAnsi="仿宋" w:eastAsia="仿宋" w:cstheme="minorEastAsia"/>
          <w:b/>
          <w:sz w:val="32"/>
          <w:szCs w:val="32"/>
        </w:rPr>
        <w:t>2.开展法治体检。</w:t>
      </w:r>
      <w:r>
        <w:rPr>
          <w:rFonts w:hint="eastAsia" w:ascii="仿宋" w:hAnsi="仿宋" w:eastAsia="仿宋" w:cstheme="minorEastAsia"/>
          <w:sz w:val="32"/>
          <w:szCs w:val="32"/>
        </w:rPr>
        <w:t>加强对体检结果的运用，对</w:t>
      </w:r>
      <w:r>
        <w:rPr>
          <w:rFonts w:hint="eastAsia" w:ascii="仿宋" w:hAnsi="仿宋" w:eastAsia="仿宋" w:cstheme="minorEastAsia"/>
          <w:sz w:val="32"/>
          <w:szCs w:val="32"/>
          <w:lang w:eastAsia="zh-CN"/>
        </w:rPr>
        <w:t>普遍性</w:t>
      </w:r>
      <w:r>
        <w:rPr>
          <w:rFonts w:hint="eastAsia" w:ascii="仿宋" w:hAnsi="仿宋" w:eastAsia="仿宋" w:cstheme="minorEastAsia"/>
          <w:sz w:val="32"/>
          <w:szCs w:val="32"/>
        </w:rPr>
        <w:t>问题，要研究防控举措和法律建议，形成一般性风险防范指导；对个性化问题，通过编制企业法律风险防控服务手册等方式，为企业提供定制和特色服务。</w:t>
      </w:r>
    </w:p>
    <w:p>
      <w:pPr>
        <w:spacing w:line="520" w:lineRule="exact"/>
        <w:ind w:firstLine="643" w:firstLineChars="200"/>
        <w:rPr>
          <w:rFonts w:ascii="仿宋" w:hAnsi="仿宋" w:eastAsia="仿宋" w:cstheme="minorEastAsia"/>
          <w:sz w:val="32"/>
          <w:szCs w:val="32"/>
        </w:rPr>
      </w:pPr>
      <w:r>
        <w:rPr>
          <w:rFonts w:hint="eastAsia" w:ascii="仿宋" w:hAnsi="仿宋" w:eastAsia="仿宋" w:cstheme="minorEastAsia"/>
          <w:b/>
          <w:sz w:val="32"/>
          <w:szCs w:val="32"/>
        </w:rPr>
        <w:t>3.制定契合适合园区实际的公共法律服务清单</w:t>
      </w:r>
      <w:r>
        <w:rPr>
          <w:rFonts w:hint="eastAsia" w:ascii="仿宋" w:hAnsi="仿宋" w:eastAsia="仿宋" w:cstheme="minorEastAsia"/>
          <w:sz w:val="32"/>
          <w:szCs w:val="32"/>
        </w:rPr>
        <w:t>。根据园区产业发展的实际和发展趋势，充分听取园区企业和广大员工意见建议，制定公共法律服务清单，方便园区及企业按照清单寻求法律帮助。摸清企业对法律服务能力水平的认可程度，征集意见建议，进一步优化服务流程、提升服务质量，主动回应企业法律服务诉求，强化企业一线法律“获得感”。</w:t>
      </w:r>
    </w:p>
    <w:p>
      <w:pPr>
        <w:spacing w:line="520" w:lineRule="exact"/>
        <w:ind w:firstLine="643" w:firstLineChars="200"/>
        <w:rPr>
          <w:rFonts w:ascii="仿宋" w:hAnsi="仿宋" w:eastAsia="仿宋" w:cstheme="minorEastAsia"/>
          <w:sz w:val="32"/>
          <w:szCs w:val="32"/>
        </w:rPr>
      </w:pPr>
      <w:r>
        <w:rPr>
          <w:rFonts w:hint="eastAsia" w:ascii="仿宋" w:hAnsi="仿宋" w:eastAsia="仿宋" w:cstheme="minorEastAsia"/>
          <w:b/>
          <w:sz w:val="32"/>
          <w:szCs w:val="32"/>
        </w:rPr>
        <w:t>4.组织法治宣传</w:t>
      </w:r>
      <w:r>
        <w:rPr>
          <w:rFonts w:hint="eastAsia" w:ascii="仿宋" w:hAnsi="仿宋" w:eastAsia="仿宋" w:cstheme="minorEastAsia"/>
          <w:sz w:val="32"/>
          <w:szCs w:val="32"/>
        </w:rPr>
        <w:t>。通过举办讲座、座谈研讨、以案释法等形式，为园区企业及员工进行法治宣传教育，依托民法典宣讲团和法律服务团集中组织开展《民法典》《优化营商环境条例》专项法治宣讲宣传活动，努力营造学习和运用《民法典》的浓厚氛围。重点围绕修订的合同、民事诉讼、债务债权、知识产权保护等企业关心关注的法律问题，实施针对性的宣传教育，增强企业管理者和职工依法经营、依法维权的意识和能力。大力宣传新时代发展民营经济的方针政策和民营企业关注的法律法规规章、法律热点问题，提高惠企政策的知晓率和惠及率，坚定民营企业发展的信心和底气。</w:t>
      </w:r>
    </w:p>
    <w:p>
      <w:pPr>
        <w:spacing w:line="520" w:lineRule="exact"/>
        <w:ind w:firstLine="640" w:firstLineChars="200"/>
        <w:rPr>
          <w:rFonts w:ascii="黑体" w:hAnsi="黑体" w:eastAsia="黑体" w:cstheme="minorEastAsia"/>
          <w:sz w:val="32"/>
          <w:szCs w:val="32"/>
        </w:rPr>
      </w:pPr>
      <w:r>
        <w:rPr>
          <w:rFonts w:hint="eastAsia" w:ascii="黑体" w:hAnsi="黑体" w:eastAsia="黑体" w:cstheme="minorEastAsia"/>
          <w:sz w:val="32"/>
          <w:szCs w:val="32"/>
        </w:rPr>
        <w:t xml:space="preserve">四、工作要求 </w:t>
      </w:r>
    </w:p>
    <w:p>
      <w:pPr>
        <w:spacing w:line="520" w:lineRule="exact"/>
        <w:rPr>
          <w:rFonts w:ascii="仿宋" w:hAnsi="仿宋" w:eastAsia="仿宋" w:cstheme="minorEastAsia"/>
          <w:sz w:val="32"/>
          <w:szCs w:val="32"/>
        </w:rPr>
      </w:pPr>
      <w:r>
        <w:rPr>
          <w:rFonts w:hint="eastAsia" w:ascii="仿宋" w:hAnsi="仿宋" w:eastAsia="仿宋" w:cstheme="minorEastAsia"/>
          <w:sz w:val="32"/>
          <w:szCs w:val="32"/>
        </w:rPr>
        <w:t xml:space="preserve">  　</w:t>
      </w:r>
      <w:r>
        <w:rPr>
          <w:rFonts w:hint="eastAsia" w:ascii="仿宋" w:hAnsi="仿宋" w:eastAsia="仿宋" w:cstheme="minorEastAsia"/>
          <w:b/>
          <w:sz w:val="32"/>
          <w:szCs w:val="32"/>
        </w:rPr>
        <w:t>1.加强组织领导</w:t>
      </w:r>
      <w:r>
        <w:rPr>
          <w:rFonts w:hint="eastAsia" w:ascii="仿宋" w:hAnsi="仿宋" w:eastAsia="仿宋" w:cstheme="minorEastAsia"/>
          <w:sz w:val="32"/>
          <w:szCs w:val="32"/>
        </w:rPr>
        <w:t>。为优化营商环境提供优质公共法律服务是新形势下实现疫后重振、高质量发展重要举措，各相关股室、处、所要切实增强工作主动性、积极性，加强与工业园区、商会、协会沟通联系，整合法律服务力量，形成服务合力。</w:t>
      </w:r>
    </w:p>
    <w:p>
      <w:pPr>
        <w:spacing w:line="520" w:lineRule="exact"/>
        <w:ind w:firstLine="643" w:firstLineChars="200"/>
        <w:rPr>
          <w:rFonts w:ascii="仿宋" w:hAnsi="仿宋" w:eastAsia="仿宋" w:cstheme="minorEastAsia"/>
          <w:sz w:val="32"/>
          <w:szCs w:val="32"/>
        </w:rPr>
      </w:pPr>
      <w:r>
        <w:rPr>
          <w:rFonts w:hint="eastAsia" w:ascii="仿宋" w:hAnsi="仿宋" w:eastAsia="仿宋" w:cstheme="minorEastAsia"/>
          <w:b/>
          <w:sz w:val="32"/>
          <w:szCs w:val="32"/>
        </w:rPr>
        <w:t>2.强化责任落实</w:t>
      </w:r>
      <w:r>
        <w:rPr>
          <w:rFonts w:hint="eastAsia" w:ascii="仿宋" w:hAnsi="仿宋" w:eastAsia="仿宋" w:cstheme="minorEastAsia"/>
          <w:sz w:val="32"/>
          <w:szCs w:val="32"/>
        </w:rPr>
        <w:t>。各相关股室、法律服务机构、法律服务人员要迅速把思想行动统一到公共法律服务进园区进企业优化营商环境大气候安排部署上来，强化服务意识、大局意识、法治意识，依法履职服好务。各企业法律顾问要思想积极、行动积极、服务积极，对接企业、对接需求，实现法律顾问服务企业发展，服务经济发展。</w:t>
      </w:r>
    </w:p>
    <w:p>
      <w:pPr>
        <w:spacing w:line="520" w:lineRule="exact"/>
        <w:ind w:firstLine="643" w:firstLineChars="200"/>
        <w:rPr>
          <w:rFonts w:ascii="仿宋" w:hAnsi="仿宋" w:eastAsia="仿宋" w:cstheme="minorEastAsia"/>
          <w:sz w:val="32"/>
          <w:szCs w:val="32"/>
        </w:rPr>
      </w:pPr>
      <w:r>
        <w:rPr>
          <w:rFonts w:hint="eastAsia" w:ascii="仿宋" w:hAnsi="仿宋" w:eastAsia="仿宋" w:cstheme="minorEastAsia"/>
          <w:b/>
          <w:sz w:val="32"/>
          <w:szCs w:val="32"/>
        </w:rPr>
        <w:t>3.注重宣传引导</w:t>
      </w:r>
      <w:r>
        <w:rPr>
          <w:rFonts w:hint="eastAsia" w:ascii="仿宋" w:hAnsi="仿宋" w:eastAsia="仿宋" w:cstheme="minorEastAsia"/>
          <w:sz w:val="32"/>
          <w:szCs w:val="32"/>
        </w:rPr>
        <w:t>。要综合运用报刊、广播、电视、网络等媒体，对服务企业发展的好经验、好做法、好案例，全方位、多渠道地开展宣传活动，积极扩大社会影响，着力提升公共法律服务的知晓率、首选率和满意率。</w:t>
      </w:r>
    </w:p>
    <w:p>
      <w:pPr>
        <w:spacing w:line="520" w:lineRule="exact"/>
        <w:rPr>
          <w:rFonts w:ascii="仿宋" w:hAnsi="仿宋" w:eastAsia="仿宋" w:cstheme="minorEastAsia"/>
          <w:sz w:val="32"/>
          <w:szCs w:val="32"/>
        </w:rPr>
      </w:pPr>
      <w:r>
        <w:rPr>
          <w:rFonts w:hint="eastAsia" w:ascii="仿宋" w:hAnsi="仿宋" w:eastAsia="仿宋" w:cstheme="minorEastAsia"/>
          <w:sz w:val="32"/>
          <w:szCs w:val="32"/>
        </w:rPr>
        <w:t xml:space="preserve">    附件：1.广水市司法局“公共法律服务进园区进企业优化营商环境大气候”专项法律服务领导小组</w:t>
      </w:r>
    </w:p>
    <w:p>
      <w:pPr>
        <w:spacing w:line="520" w:lineRule="exact"/>
        <w:rPr>
          <w:rFonts w:ascii="仿宋" w:hAnsi="仿宋" w:eastAsia="仿宋" w:cstheme="minorEastAsia"/>
          <w:sz w:val="32"/>
          <w:szCs w:val="32"/>
        </w:rPr>
      </w:pPr>
      <w:r>
        <w:rPr>
          <w:rFonts w:hint="eastAsia" w:ascii="仿宋" w:hAnsi="仿宋" w:eastAsia="仿宋" w:cstheme="minorEastAsia"/>
          <w:sz w:val="32"/>
          <w:szCs w:val="32"/>
        </w:rPr>
        <w:t xml:space="preserve">    2.广水市司法局优化营商环境专项法律服务团</w:t>
      </w:r>
    </w:p>
    <w:p>
      <w:pPr>
        <w:spacing w:line="520" w:lineRule="exact"/>
        <w:rPr>
          <w:rFonts w:ascii="仿宋" w:hAnsi="仿宋" w:eastAsia="仿宋" w:cstheme="minorEastAsia"/>
          <w:sz w:val="32"/>
          <w:szCs w:val="32"/>
        </w:rPr>
      </w:pPr>
    </w:p>
    <w:p>
      <w:pPr>
        <w:spacing w:line="520" w:lineRule="exact"/>
        <w:rPr>
          <w:rFonts w:ascii="仿宋" w:hAnsi="仿宋" w:eastAsia="仿宋" w:cstheme="minorEastAsia"/>
          <w:sz w:val="32"/>
          <w:szCs w:val="32"/>
        </w:rPr>
      </w:pPr>
    </w:p>
    <w:p>
      <w:pPr>
        <w:pStyle w:val="2"/>
      </w:pPr>
    </w:p>
    <w:p>
      <w:pPr>
        <w:pStyle w:val="2"/>
      </w:pPr>
    </w:p>
    <w:p>
      <w:pPr>
        <w:pStyle w:val="2"/>
      </w:pPr>
    </w:p>
    <w:p>
      <w:pPr>
        <w:spacing w:line="560" w:lineRule="exact"/>
        <w:rPr>
          <w:rFonts w:ascii="仿宋" w:hAnsi="仿宋" w:eastAsia="仿宋" w:cs="仿宋_GB2312"/>
          <w:sz w:val="32"/>
          <w:szCs w:val="32"/>
        </w:rPr>
      </w:pPr>
      <w:r>
        <w:rPr>
          <w:rFonts w:ascii="仿宋" w:hAnsi="仿宋" w:eastAsia="仿宋"/>
          <w:sz w:val="32"/>
          <w:szCs w:val="32"/>
        </w:rP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402590</wp:posOffset>
                </wp:positionV>
                <wp:extent cx="5534025" cy="0"/>
                <wp:effectExtent l="0" t="0" r="0" b="0"/>
                <wp:wrapNone/>
                <wp:docPr id="1" name="直线 2"/>
                <wp:cNvGraphicFramePr/>
                <a:graphic xmlns:a="http://schemas.openxmlformats.org/drawingml/2006/main">
                  <a:graphicData uri="http://schemas.microsoft.com/office/word/2010/wordprocessingShape">
                    <wps:wsp>
                      <wps:cNvSpPr/>
                      <wps:spPr>
                        <a:xfrm>
                          <a:off x="0" y="0"/>
                          <a:ext cx="55340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1.4pt;margin-top:31.7pt;height:0pt;width:435.75pt;z-index:251659264;mso-width-relative:page;mso-height-relative:page;" filled="f" stroked="t" coordsize="21600,21600" o:gfxdata="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Q67j9UAAAAH&#10;AQAADwAAAAAAAAABACAAAAAiAAAAZHJzL2Rvd25yZXYueG1sUEsBAhQAFAAAAAgAh07iQNdoTLbm&#10;AQAA2wMAAA4AAAAAAAAAAQAgAAAAJAEAAGRycy9lMm9Eb2MueG1sUEsFBgAAAAAGAAYAWQEAAHwF&#10;AAAAAA==&#10;">
                <v:fill on="f" focussize="0,0"/>
                <v:stroke color="#000000" joinstyle="round"/>
                <v:imagedata o:title=""/>
                <o:lock v:ext="edit" aspectratio="f"/>
              </v:line>
            </w:pict>
          </mc:Fallback>
        </mc:AlternateContent>
      </w:r>
      <w:r>
        <w:rPr>
          <w:rFonts w:ascii="仿宋" w:hAnsi="仿宋" w:eastAsia="仿宋"/>
          <w:sz w:val="32"/>
          <w:szCs w:val="32"/>
        </w:rPr>
        <mc:AlternateContent>
          <mc:Choice Requires="wps">
            <w:drawing>
              <wp:anchor distT="0" distB="0" distL="114300" distR="114300" simplePos="0" relativeHeight="251660288" behindDoc="0" locked="0" layoutInCell="1" allowOverlap="1">
                <wp:simplePos x="0" y="0"/>
                <wp:positionH relativeFrom="column">
                  <wp:posOffset>-17780</wp:posOffset>
                </wp:positionH>
                <wp:positionV relativeFrom="paragraph">
                  <wp:posOffset>34290</wp:posOffset>
                </wp:positionV>
                <wp:extent cx="5534025" cy="0"/>
                <wp:effectExtent l="0" t="0" r="0" b="0"/>
                <wp:wrapNone/>
                <wp:docPr id="2" name="直线 3"/>
                <wp:cNvGraphicFramePr/>
                <a:graphic xmlns:a="http://schemas.openxmlformats.org/drawingml/2006/main">
                  <a:graphicData uri="http://schemas.microsoft.com/office/word/2010/wordprocessingShape">
                    <wps:wsp>
                      <wps:cNvSpPr/>
                      <wps:spPr>
                        <a:xfrm>
                          <a:off x="0" y="0"/>
                          <a:ext cx="55340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1.4pt;margin-top:2.7pt;height:0pt;width:435.75pt;z-index:251660288;mso-width-relative:page;mso-height-relative:page;" filled="f" stroked="t" coordsize="21600,21600" o:gfxdata="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m9umdUAAAAG&#10;AQAADwAAAAAAAAABACAAAAAiAAAAZHJzL2Rvd25yZXYueG1sUEsBAhQAFAAAAAgAh07iQDCBpSXm&#10;AQAA2wMAAA4AAAAAAAAAAQAgAAAAJAEAAGRycy9lMm9Eb2MueG1sUEsFBgAAAAAGAAYAWQEAAHwF&#10;AAAAAA==&#10;">
                <v:fill on="f" focussize="0,0"/>
                <v:stroke color="#000000" joinstyle="round"/>
                <v:imagedata o:title=""/>
                <o:lock v:ext="edit" aspectratio="f"/>
              </v:line>
            </w:pict>
          </mc:Fallback>
        </mc:AlternateContent>
      </w:r>
      <w:r>
        <w:rPr>
          <w:rFonts w:hint="eastAsia" w:ascii="仿宋" w:hAnsi="仿宋" w:eastAsia="仿宋"/>
          <w:sz w:val="32"/>
          <w:szCs w:val="32"/>
        </w:rPr>
        <w:t>广水市司法局办公室              2020年9月24日印发</w:t>
      </w:r>
    </w:p>
    <w:p>
      <w:pPr>
        <w:spacing w:line="520" w:lineRule="exact"/>
        <w:ind w:firstLine="4480" w:firstLineChars="1400"/>
        <w:rPr>
          <w:rFonts w:ascii="仿宋" w:hAnsi="仿宋" w:eastAsia="仿宋" w:cs="仿宋"/>
          <w:sz w:val="32"/>
          <w:szCs w:val="32"/>
        </w:rPr>
      </w:pPr>
    </w:p>
    <w:p>
      <w:pPr>
        <w:spacing w:line="600" w:lineRule="exact"/>
        <w:rPr>
          <w:rFonts w:ascii="仿宋" w:hAnsi="仿宋" w:eastAsia="仿宋" w:cs="仿宋"/>
          <w:sz w:val="32"/>
          <w:szCs w:val="32"/>
        </w:rPr>
      </w:pPr>
      <w:r>
        <w:rPr>
          <w:rFonts w:hint="eastAsia" w:ascii="仿宋" w:hAnsi="仿宋" w:eastAsia="仿宋" w:cs="仿宋"/>
          <w:sz w:val="32"/>
          <w:szCs w:val="32"/>
        </w:rPr>
        <w:t>附件1：</w:t>
      </w:r>
    </w:p>
    <w:p>
      <w:pPr>
        <w:spacing w:line="600" w:lineRule="exact"/>
        <w:jc w:val="center"/>
        <w:rPr>
          <w:rFonts w:ascii="仿宋" w:hAnsi="仿宋" w:eastAsia="仿宋" w:cs="方正小标宋_GBK"/>
          <w:sz w:val="32"/>
          <w:szCs w:val="32"/>
        </w:rPr>
      </w:pPr>
    </w:p>
    <w:p>
      <w:pPr>
        <w:spacing w:line="600" w:lineRule="exact"/>
        <w:jc w:val="center"/>
        <w:rPr>
          <w:rFonts w:ascii="方正小标宋简体" w:hAnsi="仿宋" w:eastAsia="方正小标宋简体" w:cs="方正小标宋_GBK"/>
          <w:sz w:val="36"/>
          <w:szCs w:val="36"/>
        </w:rPr>
      </w:pPr>
      <w:r>
        <w:rPr>
          <w:rFonts w:hint="eastAsia" w:ascii="方正小标宋简体" w:hAnsi="仿宋" w:eastAsia="方正小标宋简体" w:cs="方正小标宋_GBK"/>
          <w:sz w:val="36"/>
          <w:szCs w:val="36"/>
        </w:rPr>
        <w:t>广水市司法局“公共法律服务进园区进企业</w:t>
      </w:r>
    </w:p>
    <w:p>
      <w:pPr>
        <w:spacing w:line="600" w:lineRule="exact"/>
        <w:jc w:val="center"/>
        <w:rPr>
          <w:rFonts w:ascii="方正小标宋简体" w:hAnsi="仿宋" w:eastAsia="方正小标宋简体" w:cs="方正小标宋_GBK"/>
          <w:sz w:val="36"/>
          <w:szCs w:val="36"/>
        </w:rPr>
      </w:pPr>
      <w:r>
        <w:rPr>
          <w:rFonts w:hint="eastAsia" w:ascii="方正小标宋简体" w:hAnsi="仿宋" w:eastAsia="方正小标宋简体" w:cs="方正小标宋_GBK"/>
          <w:sz w:val="36"/>
          <w:szCs w:val="36"/>
        </w:rPr>
        <w:t>优化营商环境大气候”专项法律服务领导小组</w:t>
      </w:r>
    </w:p>
    <w:p>
      <w:pPr>
        <w:spacing w:line="600" w:lineRule="exact"/>
        <w:rPr>
          <w:rFonts w:ascii="仿宋" w:hAnsi="仿宋" w:eastAsia="仿宋" w:cs="仿宋_GB2312"/>
          <w:sz w:val="32"/>
          <w:szCs w:val="32"/>
        </w:rPr>
      </w:pPr>
    </w:p>
    <w:p>
      <w:pPr>
        <w:spacing w:line="600" w:lineRule="exact"/>
        <w:rPr>
          <w:rFonts w:ascii="仿宋" w:hAnsi="仿宋" w:eastAsia="仿宋" w:cs="仿宋_GB2312"/>
          <w:sz w:val="32"/>
          <w:szCs w:val="32"/>
        </w:rPr>
      </w:pPr>
      <w:r>
        <w:rPr>
          <w:rFonts w:hint="eastAsia" w:ascii="仿宋" w:hAnsi="仿宋" w:eastAsia="仿宋" w:cs="仿宋_GB2312"/>
          <w:sz w:val="32"/>
          <w:szCs w:val="32"/>
        </w:rPr>
        <w:t>组  长：  冯曙光  市司法局党组书记、局长</w:t>
      </w:r>
    </w:p>
    <w:p>
      <w:pPr>
        <w:spacing w:line="600" w:lineRule="exact"/>
        <w:rPr>
          <w:rFonts w:ascii="仿宋" w:hAnsi="仿宋" w:eastAsia="仿宋" w:cs="仿宋_GB2312"/>
          <w:sz w:val="32"/>
          <w:szCs w:val="32"/>
        </w:rPr>
      </w:pPr>
      <w:r>
        <w:rPr>
          <w:rFonts w:hint="eastAsia" w:ascii="仿宋" w:hAnsi="仿宋" w:eastAsia="仿宋" w:cs="仿宋_GB2312"/>
          <w:sz w:val="32"/>
          <w:szCs w:val="32"/>
        </w:rPr>
        <w:t>副组长：  彭大兵  市司法局党组委员、副局长</w:t>
      </w:r>
    </w:p>
    <w:p>
      <w:pPr>
        <w:spacing w:line="600" w:lineRule="exact"/>
        <w:rPr>
          <w:rFonts w:ascii="仿宋" w:hAnsi="仿宋" w:eastAsia="仿宋" w:cs="仿宋_GB2312"/>
          <w:sz w:val="32"/>
          <w:szCs w:val="32"/>
        </w:rPr>
      </w:pPr>
      <w:r>
        <w:rPr>
          <w:rFonts w:hint="eastAsia" w:ascii="仿宋" w:hAnsi="仿宋" w:eastAsia="仿宋" w:cs="仿宋_GB2312"/>
          <w:sz w:val="32"/>
          <w:szCs w:val="32"/>
        </w:rPr>
        <w:t xml:space="preserve">          汪  军  市司法局党组委员、副局长</w:t>
      </w:r>
    </w:p>
    <w:p>
      <w:pPr>
        <w:spacing w:line="600" w:lineRule="exact"/>
        <w:rPr>
          <w:rFonts w:ascii="仿宋" w:hAnsi="仿宋" w:eastAsia="仿宋" w:cs="仿宋_GB2312"/>
          <w:sz w:val="32"/>
          <w:szCs w:val="32"/>
        </w:rPr>
      </w:pPr>
      <w:r>
        <w:rPr>
          <w:rFonts w:hint="eastAsia" w:ascii="仿宋" w:hAnsi="仿宋" w:eastAsia="仿宋" w:cs="仿宋_GB2312"/>
          <w:sz w:val="32"/>
          <w:szCs w:val="32"/>
        </w:rPr>
        <w:t>成  员：  刘  玲  市委依法治市委员会办公室秘书股股长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吴华良  市司法局普法与依法治理股股长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陈  涛  市司法局行政复议和应诉股股长</w:t>
      </w:r>
    </w:p>
    <w:p>
      <w:pPr>
        <w:spacing w:line="600" w:lineRule="exact"/>
        <w:rPr>
          <w:rFonts w:ascii="仿宋" w:hAnsi="仿宋" w:eastAsia="仿宋" w:cs="仿宋_GB2312"/>
          <w:sz w:val="32"/>
          <w:szCs w:val="32"/>
        </w:rPr>
      </w:pPr>
      <w:r>
        <w:rPr>
          <w:rFonts w:hint="eastAsia" w:ascii="仿宋" w:hAnsi="仿宋" w:eastAsia="仿宋" w:cs="仿宋_GB2312"/>
          <w:sz w:val="32"/>
          <w:szCs w:val="32"/>
        </w:rPr>
        <w:t xml:space="preserve">          潘成武  市司法局行政执法协调监督股股长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王  琴  市司法局人民参与和促进法治股股长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陈启山  市司法局律师工作股股长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卢  莉  市司法局公共法律服务管理股股长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付继宏  市司法局工业园区司法所所长</w:t>
      </w:r>
    </w:p>
    <w:p>
      <w:pPr>
        <w:spacing w:line="600" w:lineRule="exact"/>
        <w:ind w:firstLine="1600" w:firstLineChars="500"/>
        <w:rPr>
          <w:rFonts w:ascii="仿宋" w:hAnsi="仿宋" w:eastAsia="仿宋" w:cs="仿宋_GB2312"/>
          <w:sz w:val="32"/>
          <w:szCs w:val="32"/>
        </w:rPr>
      </w:pPr>
      <w:r>
        <w:rPr>
          <w:rFonts w:hint="eastAsia" w:ascii="仿宋" w:hAnsi="仿宋" w:eastAsia="仿宋" w:cs="仿宋_GB2312"/>
          <w:sz w:val="32"/>
          <w:szCs w:val="32"/>
        </w:rPr>
        <w:t>李  俊  市司法局工业园区司法所干部</w:t>
      </w:r>
    </w:p>
    <w:p>
      <w:pPr>
        <w:spacing w:line="600" w:lineRule="exact"/>
        <w:rPr>
          <w:rFonts w:ascii="仿宋" w:hAnsi="仿宋" w:eastAsia="仿宋" w:cs="仿宋_GB2312"/>
          <w:sz w:val="32"/>
          <w:szCs w:val="32"/>
        </w:rPr>
      </w:pPr>
    </w:p>
    <w:p>
      <w:pPr>
        <w:spacing w:line="600" w:lineRule="exact"/>
        <w:rPr>
          <w:rFonts w:ascii="仿宋" w:hAnsi="仿宋" w:eastAsia="仿宋" w:cs="仿宋_GB2312"/>
          <w:sz w:val="32"/>
          <w:szCs w:val="32"/>
        </w:rPr>
      </w:pPr>
    </w:p>
    <w:p>
      <w:pPr>
        <w:spacing w:line="600" w:lineRule="exact"/>
        <w:rPr>
          <w:rFonts w:ascii="仿宋" w:hAnsi="仿宋" w:eastAsia="仿宋" w:cs="仿宋_GB2312"/>
          <w:sz w:val="32"/>
          <w:szCs w:val="32"/>
        </w:rPr>
      </w:pPr>
    </w:p>
    <w:p>
      <w:pPr>
        <w:spacing w:line="600" w:lineRule="exact"/>
        <w:rPr>
          <w:rFonts w:ascii="仿宋" w:hAnsi="仿宋" w:eastAsia="仿宋" w:cs="仿宋_GB2312"/>
          <w:sz w:val="32"/>
          <w:szCs w:val="32"/>
        </w:rPr>
      </w:pPr>
    </w:p>
    <w:p>
      <w:pPr>
        <w:pStyle w:val="2"/>
      </w:pPr>
    </w:p>
    <w:p>
      <w:pPr>
        <w:spacing w:line="600" w:lineRule="exact"/>
        <w:rPr>
          <w:rFonts w:ascii="仿宋" w:hAnsi="仿宋" w:eastAsia="仿宋" w:cs="仿宋_GB2312"/>
          <w:sz w:val="32"/>
          <w:szCs w:val="32"/>
        </w:rPr>
      </w:pPr>
      <w:r>
        <w:rPr>
          <w:rFonts w:hint="eastAsia" w:ascii="仿宋" w:hAnsi="仿宋" w:eastAsia="仿宋" w:cs="仿宋_GB2312"/>
          <w:sz w:val="32"/>
          <w:szCs w:val="32"/>
        </w:rPr>
        <w:t>附件2：</w:t>
      </w:r>
    </w:p>
    <w:p>
      <w:pPr>
        <w:spacing w:line="600" w:lineRule="exact"/>
        <w:jc w:val="center"/>
        <w:rPr>
          <w:rFonts w:ascii="方正小标宋简体" w:hAnsi="仿宋" w:eastAsia="方正小标宋简体" w:cs="方正小标宋_GBK"/>
          <w:sz w:val="32"/>
          <w:szCs w:val="32"/>
        </w:rPr>
      </w:pPr>
      <w:r>
        <w:rPr>
          <w:rFonts w:hint="eastAsia" w:ascii="方正小标宋简体" w:hAnsi="仿宋" w:eastAsia="方正小标宋简体" w:cs="方正小标宋_GBK"/>
          <w:sz w:val="32"/>
          <w:szCs w:val="32"/>
        </w:rPr>
        <w:t>广水市司法局优化营商环境专项法律服务团</w:t>
      </w:r>
    </w:p>
    <w:tbl>
      <w:tblPr>
        <w:tblStyle w:val="9"/>
        <w:tblpPr w:leftFromText="180" w:rightFromText="180" w:vertAnchor="text" w:horzAnchor="page" w:tblpX="1986" w:tblpY="825"/>
        <w:tblOverlap w:val="never"/>
        <w:tblW w:w="0" w:type="auto"/>
        <w:tblInd w:w="0" w:type="dxa"/>
        <w:tblLayout w:type="fixed"/>
        <w:tblCellMar>
          <w:top w:w="0" w:type="dxa"/>
          <w:left w:w="0" w:type="dxa"/>
          <w:bottom w:w="0" w:type="dxa"/>
          <w:right w:w="0" w:type="dxa"/>
        </w:tblCellMar>
      </w:tblPr>
      <w:tblGrid>
        <w:gridCol w:w="836"/>
        <w:gridCol w:w="1944"/>
        <w:gridCol w:w="3193"/>
        <w:gridCol w:w="2084"/>
      </w:tblGrid>
      <w:tr>
        <w:tblPrEx>
          <w:tblCellMar>
            <w:top w:w="0" w:type="dxa"/>
            <w:left w:w="0" w:type="dxa"/>
            <w:bottom w:w="0" w:type="dxa"/>
            <w:right w:w="0" w:type="dxa"/>
          </w:tblCellMar>
        </w:tblPrEx>
        <w:trPr>
          <w:trHeight w:val="687"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600" w:lineRule="exact"/>
              <w:jc w:val="center"/>
              <w:textAlignment w:val="center"/>
              <w:rPr>
                <w:rFonts w:ascii="仿宋" w:hAnsi="仿宋" w:eastAsia="仿宋" w:cstheme="minorEastAsia"/>
                <w:b/>
                <w:bCs/>
                <w:color w:val="000000"/>
                <w:sz w:val="28"/>
                <w:szCs w:val="28"/>
              </w:rPr>
            </w:pPr>
            <w:r>
              <w:rPr>
                <w:rFonts w:hint="eastAsia" w:ascii="仿宋" w:hAnsi="仿宋" w:eastAsia="仿宋" w:cstheme="minorEastAsia"/>
                <w:b/>
                <w:bCs/>
                <w:color w:val="000000"/>
                <w:kern w:val="0"/>
                <w:sz w:val="28"/>
                <w:szCs w:val="28"/>
              </w:rPr>
              <w:t>序号</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widowControl/>
              <w:spacing w:line="600" w:lineRule="exact"/>
              <w:jc w:val="center"/>
              <w:textAlignment w:val="center"/>
              <w:rPr>
                <w:rFonts w:ascii="仿宋" w:hAnsi="仿宋" w:eastAsia="仿宋" w:cstheme="minorEastAsia"/>
                <w:b/>
                <w:bCs/>
                <w:color w:val="000000"/>
                <w:sz w:val="28"/>
                <w:szCs w:val="28"/>
              </w:rPr>
            </w:pPr>
            <w:r>
              <w:rPr>
                <w:rFonts w:hint="eastAsia" w:ascii="仿宋" w:hAnsi="仿宋" w:eastAsia="仿宋" w:cstheme="minorEastAsia"/>
                <w:b/>
                <w:bCs/>
                <w:color w:val="000000"/>
                <w:kern w:val="0"/>
                <w:sz w:val="28"/>
                <w:szCs w:val="28"/>
              </w:rPr>
              <w:t>姓  名</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widowControl/>
              <w:spacing w:line="600" w:lineRule="exact"/>
              <w:jc w:val="center"/>
              <w:textAlignment w:val="center"/>
              <w:rPr>
                <w:rFonts w:ascii="仿宋" w:hAnsi="仿宋" w:eastAsia="仿宋" w:cstheme="minorEastAsia"/>
                <w:b/>
                <w:bCs/>
                <w:color w:val="000000"/>
                <w:sz w:val="28"/>
                <w:szCs w:val="28"/>
              </w:rPr>
            </w:pPr>
            <w:r>
              <w:rPr>
                <w:rFonts w:hint="eastAsia" w:ascii="仿宋" w:hAnsi="仿宋" w:eastAsia="仿宋" w:cstheme="minorEastAsia"/>
                <w:b/>
                <w:bCs/>
                <w:color w:val="000000"/>
                <w:sz w:val="28"/>
                <w:szCs w:val="28"/>
              </w:rPr>
              <w:t>单  位</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600" w:lineRule="exact"/>
              <w:jc w:val="center"/>
              <w:textAlignment w:val="center"/>
              <w:rPr>
                <w:rFonts w:ascii="仿宋" w:hAnsi="仿宋" w:eastAsia="仿宋" w:cstheme="minorEastAsia"/>
                <w:b/>
                <w:bCs/>
                <w:color w:val="000000"/>
                <w:sz w:val="28"/>
                <w:szCs w:val="28"/>
              </w:rPr>
            </w:pPr>
            <w:r>
              <w:rPr>
                <w:rFonts w:hint="eastAsia" w:ascii="仿宋" w:hAnsi="仿宋" w:eastAsia="仿宋" w:cstheme="minorEastAsia"/>
                <w:b/>
                <w:bCs/>
                <w:color w:val="000000"/>
                <w:kern w:val="0"/>
                <w:sz w:val="28"/>
                <w:szCs w:val="28"/>
              </w:rPr>
              <w:t>联系方式</w:t>
            </w:r>
          </w:p>
        </w:tc>
      </w:tr>
      <w:tr>
        <w:tblPrEx>
          <w:tblCellMar>
            <w:top w:w="0" w:type="dxa"/>
            <w:left w:w="0" w:type="dxa"/>
            <w:bottom w:w="0" w:type="dxa"/>
            <w:right w:w="0" w:type="dxa"/>
          </w:tblCellMar>
        </w:tblPrEx>
        <w:trPr>
          <w:trHeight w:val="700" w:hRule="atLeast"/>
        </w:trPr>
        <w:tc>
          <w:tcPr>
            <w:tcW w:w="83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w:t>
            </w:r>
          </w:p>
        </w:tc>
        <w:tc>
          <w:tcPr>
            <w:tcW w:w="1944" w:type="dxa"/>
            <w:tcBorders>
              <w:top w:val="single" w:color="auto" w:sz="4" w:space="0"/>
              <w:left w:val="single" w:color="000000" w:sz="4" w:space="0"/>
              <w:bottom w:val="single" w:color="auto"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周传圣</w:t>
            </w:r>
          </w:p>
        </w:tc>
        <w:tc>
          <w:tcPr>
            <w:tcW w:w="3193" w:type="dxa"/>
            <w:tcBorders>
              <w:top w:val="single" w:color="auto" w:sz="4" w:space="0"/>
              <w:left w:val="single" w:color="auto" w:sz="4" w:space="0"/>
              <w:bottom w:val="single" w:color="auto"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湖北印台律师事务所</w:t>
            </w:r>
          </w:p>
        </w:tc>
        <w:tc>
          <w:tcPr>
            <w:tcW w:w="2084"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13972984728</w:t>
            </w:r>
          </w:p>
        </w:tc>
      </w:tr>
      <w:tr>
        <w:tblPrEx>
          <w:tblCellMar>
            <w:top w:w="0" w:type="dxa"/>
            <w:left w:w="0" w:type="dxa"/>
            <w:bottom w:w="0" w:type="dxa"/>
            <w:right w:w="0" w:type="dxa"/>
          </w:tblCellMar>
        </w:tblPrEx>
        <w:trPr>
          <w:trHeight w:val="700" w:hRule="atLeast"/>
        </w:trPr>
        <w:tc>
          <w:tcPr>
            <w:tcW w:w="83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2</w:t>
            </w:r>
          </w:p>
        </w:tc>
        <w:tc>
          <w:tcPr>
            <w:tcW w:w="1944" w:type="dxa"/>
            <w:tcBorders>
              <w:top w:val="single" w:color="auto" w:sz="4" w:space="0"/>
              <w:left w:val="single" w:color="000000" w:sz="4" w:space="0"/>
              <w:bottom w:val="single" w:color="auto"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熊望德</w:t>
            </w:r>
          </w:p>
        </w:tc>
        <w:tc>
          <w:tcPr>
            <w:tcW w:w="3193" w:type="dxa"/>
            <w:tcBorders>
              <w:top w:val="single" w:color="auto" w:sz="4" w:space="0"/>
              <w:left w:val="single" w:color="auto" w:sz="4" w:space="0"/>
              <w:bottom w:val="single" w:color="auto"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湖北印台律师事务所</w:t>
            </w:r>
          </w:p>
        </w:tc>
        <w:tc>
          <w:tcPr>
            <w:tcW w:w="2084"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13972985908</w:t>
            </w:r>
          </w:p>
        </w:tc>
      </w:tr>
      <w:tr>
        <w:tblPrEx>
          <w:tblCellMar>
            <w:top w:w="0" w:type="dxa"/>
            <w:left w:w="0" w:type="dxa"/>
            <w:bottom w:w="0" w:type="dxa"/>
            <w:right w:w="0" w:type="dxa"/>
          </w:tblCellMar>
        </w:tblPrEx>
        <w:trPr>
          <w:trHeight w:val="700" w:hRule="atLeast"/>
        </w:trPr>
        <w:tc>
          <w:tcPr>
            <w:tcW w:w="83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3</w:t>
            </w:r>
          </w:p>
        </w:tc>
        <w:tc>
          <w:tcPr>
            <w:tcW w:w="1944" w:type="dxa"/>
            <w:tcBorders>
              <w:top w:val="single" w:color="auto" w:sz="4" w:space="0"/>
              <w:left w:val="single" w:color="000000" w:sz="4" w:space="0"/>
              <w:bottom w:val="single" w:color="auto"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冯祥文</w:t>
            </w:r>
          </w:p>
        </w:tc>
        <w:tc>
          <w:tcPr>
            <w:tcW w:w="3193" w:type="dxa"/>
            <w:tcBorders>
              <w:top w:val="single" w:color="auto" w:sz="4" w:space="0"/>
              <w:left w:val="single" w:color="auto" w:sz="4" w:space="0"/>
              <w:bottom w:val="single" w:color="auto"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湖北磊落律师事务所</w:t>
            </w:r>
          </w:p>
        </w:tc>
        <w:tc>
          <w:tcPr>
            <w:tcW w:w="2084"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13117262228</w:t>
            </w:r>
          </w:p>
        </w:tc>
      </w:tr>
      <w:tr>
        <w:tblPrEx>
          <w:tblCellMar>
            <w:top w:w="0" w:type="dxa"/>
            <w:left w:w="0" w:type="dxa"/>
            <w:bottom w:w="0" w:type="dxa"/>
            <w:right w:w="0" w:type="dxa"/>
          </w:tblCellMar>
        </w:tblPrEx>
        <w:trPr>
          <w:trHeight w:val="700" w:hRule="atLeast"/>
        </w:trPr>
        <w:tc>
          <w:tcPr>
            <w:tcW w:w="83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4</w:t>
            </w:r>
          </w:p>
        </w:tc>
        <w:tc>
          <w:tcPr>
            <w:tcW w:w="1944" w:type="dxa"/>
            <w:tcBorders>
              <w:top w:val="single" w:color="auto" w:sz="4" w:space="0"/>
              <w:left w:val="single" w:color="000000" w:sz="4" w:space="0"/>
              <w:bottom w:val="single" w:color="auto"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杨  曼</w:t>
            </w:r>
          </w:p>
        </w:tc>
        <w:tc>
          <w:tcPr>
            <w:tcW w:w="3193" w:type="dxa"/>
            <w:tcBorders>
              <w:top w:val="single" w:color="auto" w:sz="4" w:space="0"/>
              <w:left w:val="single" w:color="auto" w:sz="4" w:space="0"/>
              <w:bottom w:val="single" w:color="auto"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湖北磊落律师事务所</w:t>
            </w:r>
          </w:p>
        </w:tc>
        <w:tc>
          <w:tcPr>
            <w:tcW w:w="2084"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18771397036</w:t>
            </w:r>
          </w:p>
        </w:tc>
      </w:tr>
      <w:tr>
        <w:tblPrEx>
          <w:tblCellMar>
            <w:top w:w="0" w:type="dxa"/>
            <w:left w:w="0" w:type="dxa"/>
            <w:bottom w:w="0" w:type="dxa"/>
            <w:right w:w="0" w:type="dxa"/>
          </w:tblCellMar>
        </w:tblPrEx>
        <w:trPr>
          <w:trHeight w:val="700" w:hRule="atLeast"/>
        </w:trPr>
        <w:tc>
          <w:tcPr>
            <w:tcW w:w="83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5</w:t>
            </w:r>
          </w:p>
        </w:tc>
        <w:tc>
          <w:tcPr>
            <w:tcW w:w="1944" w:type="dxa"/>
            <w:tcBorders>
              <w:top w:val="single" w:color="auto"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汪思恩</w:t>
            </w:r>
          </w:p>
        </w:tc>
        <w:tc>
          <w:tcPr>
            <w:tcW w:w="3193" w:type="dxa"/>
            <w:tcBorders>
              <w:top w:val="single" w:color="auto"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湖北鄂北律师事务所</w:t>
            </w:r>
          </w:p>
        </w:tc>
        <w:tc>
          <w:tcPr>
            <w:tcW w:w="208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13117263828</w:t>
            </w:r>
          </w:p>
        </w:tc>
      </w:tr>
      <w:tr>
        <w:tblPrEx>
          <w:tblCellMar>
            <w:top w:w="0" w:type="dxa"/>
            <w:left w:w="0" w:type="dxa"/>
            <w:bottom w:w="0" w:type="dxa"/>
            <w:right w:w="0" w:type="dxa"/>
          </w:tblCellMar>
        </w:tblPrEx>
        <w:trPr>
          <w:trHeight w:val="700" w:hRule="atLeast"/>
        </w:trPr>
        <w:tc>
          <w:tcPr>
            <w:tcW w:w="83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6</w:t>
            </w:r>
          </w:p>
        </w:tc>
        <w:tc>
          <w:tcPr>
            <w:tcW w:w="1944" w:type="dxa"/>
            <w:tcBorders>
              <w:top w:val="single" w:color="auto"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谭向晔</w:t>
            </w:r>
          </w:p>
        </w:tc>
        <w:tc>
          <w:tcPr>
            <w:tcW w:w="3193" w:type="dxa"/>
            <w:tcBorders>
              <w:top w:val="single" w:color="auto"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湖北鄂北律师事务所</w:t>
            </w:r>
          </w:p>
        </w:tc>
        <w:tc>
          <w:tcPr>
            <w:tcW w:w="208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15572228885</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7</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李厚金</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应山法律服务所</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13972987841</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8</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刘观峰</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城郊法律服务所</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13972980832</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9</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胡  军</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十里法律服务所</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15826756655</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10</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严祥顺</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广水法律服务所</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18872995628</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11</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胡明武</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马坪法律服务所</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13972997678</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12</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陈加友</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长岭法律服务所</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13886865833</w:t>
            </w:r>
          </w:p>
        </w:tc>
      </w:tr>
      <w:tr>
        <w:tblPrEx>
          <w:tblCellMar>
            <w:top w:w="0" w:type="dxa"/>
            <w:left w:w="0" w:type="dxa"/>
            <w:bottom w:w="0" w:type="dxa"/>
            <w:right w:w="0" w:type="dxa"/>
          </w:tblCellMar>
        </w:tblPrEx>
        <w:trPr>
          <w:trHeight w:val="700" w:hRule="atLeast"/>
        </w:trPr>
        <w:tc>
          <w:tcPr>
            <w:tcW w:w="8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13</w:t>
            </w:r>
          </w:p>
        </w:tc>
        <w:tc>
          <w:tcPr>
            <w:tcW w:w="1944"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彭静涛</w:t>
            </w:r>
          </w:p>
        </w:tc>
        <w:tc>
          <w:tcPr>
            <w:tcW w:w="3193" w:type="dxa"/>
            <w:tcBorders>
              <w:top w:val="single" w:color="000000" w:sz="4" w:space="0"/>
              <w:left w:val="single" w:color="auto" w:sz="4" w:space="0"/>
              <w:bottom w:val="single" w:color="000000" w:sz="4" w:space="0"/>
              <w:right w:val="single" w:color="000000" w:sz="4" w:space="0"/>
            </w:tcBorders>
            <w:noWrap/>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广水市公证处</w:t>
            </w:r>
          </w:p>
        </w:tc>
        <w:tc>
          <w:tcPr>
            <w:tcW w:w="20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spacing w:line="600" w:lineRule="exact"/>
              <w:jc w:val="center"/>
              <w:rPr>
                <w:rFonts w:ascii="仿宋" w:hAnsi="仿宋" w:eastAsia="仿宋" w:cstheme="minorEastAsia"/>
                <w:sz w:val="28"/>
                <w:szCs w:val="28"/>
              </w:rPr>
            </w:pPr>
            <w:r>
              <w:rPr>
                <w:rFonts w:hint="eastAsia" w:ascii="仿宋" w:hAnsi="仿宋" w:eastAsia="仿宋" w:cstheme="minorEastAsia"/>
                <w:sz w:val="28"/>
                <w:szCs w:val="28"/>
              </w:rPr>
              <w:t>15826736868</w:t>
            </w:r>
          </w:p>
        </w:tc>
      </w:tr>
    </w:tbl>
    <w:p>
      <w:pPr>
        <w:spacing w:line="600" w:lineRule="exact"/>
        <w:rPr>
          <w:rFonts w:ascii="仿宋" w:hAnsi="仿宋" w:eastAsia="仿宋" w:cs="方正小标宋_GBK"/>
          <w:sz w:val="32"/>
          <w:szCs w:val="32"/>
        </w:rPr>
      </w:pPr>
    </w:p>
    <w:p>
      <w:pPr>
        <w:spacing w:line="600" w:lineRule="exact"/>
        <w:ind w:firstLine="640" w:firstLineChars="200"/>
        <w:jc w:val="left"/>
        <w:rPr>
          <w:rFonts w:ascii="仿宋" w:hAnsi="仿宋" w:eastAsia="仿宋" w:cs="微软雅黑"/>
          <w:color w:val="333333"/>
          <w:sz w:val="32"/>
          <w:szCs w:val="32"/>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89291"/>
      <w:docPartObj>
        <w:docPartGallery w:val="AutoText"/>
      </w:docPartObj>
    </w:sdtPr>
    <w:sdtContent>
      <w:p>
        <w:pPr>
          <w:pStyle w:val="6"/>
          <w:jc w:val="center"/>
        </w:pPr>
        <w:r>
          <w:fldChar w:fldCharType="begin"/>
        </w:r>
        <w:r>
          <w:instrText xml:space="preserve"> PAGE   \* MERGEFORMAT </w:instrText>
        </w:r>
        <w:r>
          <w:fldChar w:fldCharType="separate"/>
        </w:r>
        <w:r>
          <w:rPr>
            <w:lang w:val="zh-CN"/>
          </w:rPr>
          <w:t>6</w:t>
        </w:r>
        <w:r>
          <w:rPr>
            <w:lang w:val="zh-CN"/>
          </w:rP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wNmJjMDk0ODFlMjVhYjRjMzY0ZDhjMzA4N2E5MGEifQ=="/>
  </w:docVars>
  <w:rsids>
    <w:rsidRoot w:val="648E0E31"/>
    <w:rsid w:val="00031F4F"/>
    <w:rsid w:val="00053F1F"/>
    <w:rsid w:val="001E4DDC"/>
    <w:rsid w:val="002A4AD1"/>
    <w:rsid w:val="004D411F"/>
    <w:rsid w:val="00501C1B"/>
    <w:rsid w:val="00752F9E"/>
    <w:rsid w:val="00791350"/>
    <w:rsid w:val="00884C28"/>
    <w:rsid w:val="00A91FC8"/>
    <w:rsid w:val="00B83E3B"/>
    <w:rsid w:val="00BD6006"/>
    <w:rsid w:val="00C45D2E"/>
    <w:rsid w:val="00C91DD5"/>
    <w:rsid w:val="00E059B2"/>
    <w:rsid w:val="00E307FC"/>
    <w:rsid w:val="00E44054"/>
    <w:rsid w:val="00EB24D9"/>
    <w:rsid w:val="01AE7348"/>
    <w:rsid w:val="19B97842"/>
    <w:rsid w:val="2DAC7F6B"/>
    <w:rsid w:val="2F4B6EA0"/>
    <w:rsid w:val="35102054"/>
    <w:rsid w:val="43E57C62"/>
    <w:rsid w:val="48987A0E"/>
    <w:rsid w:val="4A042547"/>
    <w:rsid w:val="648E0E31"/>
    <w:rsid w:val="6986119A"/>
    <w:rsid w:val="71A2416E"/>
    <w:rsid w:val="7C0037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line="576" w:lineRule="auto"/>
      <w:outlineLvl w:val="0"/>
    </w:pPr>
    <w:rPr>
      <w:b/>
      <w:kern w:val="44"/>
      <w:sz w:val="44"/>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style>
  <w:style w:type="paragraph" w:customStyle="1" w:styleId="3">
    <w:name w:val="正文文本缩进1"/>
    <w:basedOn w:val="1"/>
    <w:qFormat/>
    <w:uiPriority w:val="0"/>
    <w:pPr>
      <w:ind w:left="420" w:leftChars="200"/>
    </w:pPr>
    <w:rPr>
      <w:rFonts w:ascii="Times New Roman" w:hAnsi="Times New Roman"/>
    </w:rPr>
  </w:style>
  <w:style w:type="paragraph" w:styleId="6">
    <w:name w:val="footer"/>
    <w:basedOn w:val="1"/>
    <w:link w:val="13"/>
    <w:qFormat/>
    <w:uiPriority w:val="99"/>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jc w:val="left"/>
    </w:pPr>
    <w:rPr>
      <w:rFonts w:cs="Times New Roman"/>
      <w:kern w:val="0"/>
      <w:sz w:val="24"/>
    </w:rPr>
  </w:style>
  <w:style w:type="character" w:styleId="11">
    <w:name w:val="Strong"/>
    <w:basedOn w:val="10"/>
    <w:qFormat/>
    <w:uiPriority w:val="0"/>
    <w:rPr>
      <w:b/>
    </w:rPr>
  </w:style>
  <w:style w:type="character" w:customStyle="1" w:styleId="12">
    <w:name w:val="页眉 Char"/>
    <w:basedOn w:val="10"/>
    <w:link w:val="7"/>
    <w:uiPriority w:val="0"/>
    <w:rPr>
      <w:rFonts w:asciiTheme="minorHAnsi" w:hAnsiTheme="minorHAnsi" w:eastAsiaTheme="minorEastAsia" w:cstheme="minorBidi"/>
      <w:kern w:val="2"/>
      <w:sz w:val="18"/>
      <w:szCs w:val="18"/>
    </w:rPr>
  </w:style>
  <w:style w:type="character" w:customStyle="1" w:styleId="13">
    <w:name w:val="页脚 Char"/>
    <w:basedOn w:val="10"/>
    <w:link w:val="6"/>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2266</Words>
  <Characters>2423</Characters>
  <Lines>19</Lines>
  <Paragraphs>5</Paragraphs>
  <TotalTime>2</TotalTime>
  <ScaleCrop>false</ScaleCrop>
  <LinksUpToDate>false</LinksUpToDate>
  <CharactersWithSpaces>2562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2020-10-28T00:53:00Z</dcterms:created>
  <dc:creator>Administrator</dc:creator>
  <cp:lastModifiedBy>微信用户</cp:lastModifiedBy>
  <cp:lastPrinted>2020-09-25T01:19:00Z</cp:lastPrinted>
  <dcterms:modified xsi:type="dcterms:W3CDTF">2023-05-15T01:25:00Z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403D88E8FA8E4382A59954CFB8AB5401_13</vt:lpwstr>
  </property>
</Properties>
</file>