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05AF5">
      <w:pPr>
        <w:keepNext w:val="0"/>
        <w:keepLines w:val="0"/>
        <w:pageBreakBefore w:val="0"/>
        <w:widowControl w:val="0"/>
        <w:kinsoku/>
        <w:wordWrap/>
        <w:overflowPunct/>
        <w:topLinePunct w:val="0"/>
        <w:autoSpaceDN/>
        <w:bidi w:val="0"/>
        <w:adjustRightInd/>
        <w:spacing w:line="579"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t>附件4</w:t>
      </w:r>
    </w:p>
    <w:p w14:paraId="57953915">
      <w:pPr>
        <w:keepNext w:val="0"/>
        <w:keepLines w:val="0"/>
        <w:pageBreakBefore w:val="0"/>
        <w:widowControl w:val="0"/>
        <w:kinsoku/>
        <w:wordWrap/>
        <w:overflowPunct/>
        <w:topLinePunct w:val="0"/>
        <w:autoSpaceDN/>
        <w:bidi w:val="0"/>
        <w:adjustRightInd/>
        <w:spacing w:line="579" w:lineRule="exact"/>
        <w:jc w:val="left"/>
        <w:rPr>
          <w:rFonts w:hint="eastAsia" w:ascii="Times New Roman" w:hAnsi="Times New Roman" w:eastAsia="黑体" w:cs="黑体"/>
          <w:sz w:val="32"/>
          <w:szCs w:val="32"/>
        </w:rPr>
      </w:pPr>
    </w:p>
    <w:p w14:paraId="3930291F">
      <w:pPr>
        <w:keepNext w:val="0"/>
        <w:keepLines w:val="0"/>
        <w:pageBreakBefore w:val="0"/>
        <w:widowControl w:val="0"/>
        <w:kinsoku/>
        <w:wordWrap/>
        <w:overflowPunct/>
        <w:topLinePunct w:val="0"/>
        <w:autoSpaceDN/>
        <w:bidi w:val="0"/>
        <w:adjustRightInd/>
        <w:spacing w:line="579"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关于不予发放烟草专卖零售许可证情形的说明</w:t>
      </w:r>
    </w:p>
    <w:p w14:paraId="792DCCE6">
      <w:pPr>
        <w:keepNext w:val="0"/>
        <w:keepLines w:val="0"/>
        <w:pageBreakBefore w:val="0"/>
        <w:widowControl w:val="0"/>
        <w:kinsoku/>
        <w:wordWrap/>
        <w:overflowPunct/>
        <w:topLinePunct w:val="0"/>
        <w:autoSpaceDN/>
        <w:bidi w:val="0"/>
        <w:adjustRightInd/>
        <w:spacing w:line="579" w:lineRule="exact"/>
        <w:ind w:firstLine="480" w:firstLineChars="150"/>
        <w:jc w:val="right"/>
        <w:rPr>
          <w:rFonts w:ascii="Times New Roman" w:hAnsi="Times New Roman" w:eastAsia="仿宋_GB2312" w:cs="Times New Roman"/>
          <w:sz w:val="32"/>
          <w:szCs w:val="32"/>
        </w:rPr>
      </w:pPr>
    </w:p>
    <w:tbl>
      <w:tblPr>
        <w:tblStyle w:val="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637"/>
        <w:gridCol w:w="1275"/>
        <w:gridCol w:w="993"/>
        <w:gridCol w:w="1389"/>
        <w:gridCol w:w="4422"/>
      </w:tblGrid>
      <w:tr w14:paraId="1116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 w:hRule="atLeast"/>
          <w:tblHeader/>
        </w:trPr>
        <w:tc>
          <w:tcPr>
            <w:tcW w:w="464" w:type="dxa"/>
            <w:noWrap w:val="0"/>
            <w:vAlign w:val="center"/>
          </w:tcPr>
          <w:p w14:paraId="6C0B0DC9">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序号</w:t>
            </w:r>
          </w:p>
        </w:tc>
        <w:tc>
          <w:tcPr>
            <w:tcW w:w="637" w:type="dxa"/>
            <w:noWrap w:val="0"/>
            <w:vAlign w:val="center"/>
          </w:tcPr>
          <w:p w14:paraId="61937EE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类别</w:t>
            </w:r>
          </w:p>
        </w:tc>
        <w:tc>
          <w:tcPr>
            <w:tcW w:w="1275" w:type="dxa"/>
            <w:noWrap w:val="0"/>
            <w:vAlign w:val="center"/>
          </w:tcPr>
          <w:p w14:paraId="47DE1F8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内容</w:t>
            </w:r>
          </w:p>
        </w:tc>
        <w:tc>
          <w:tcPr>
            <w:tcW w:w="993" w:type="dxa"/>
            <w:noWrap w:val="0"/>
            <w:vAlign w:val="center"/>
          </w:tcPr>
          <w:p w14:paraId="6F93FB5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管理</w:t>
            </w:r>
          </w:p>
          <w:p w14:paraId="16C05A5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措施</w:t>
            </w:r>
          </w:p>
        </w:tc>
        <w:tc>
          <w:tcPr>
            <w:tcW w:w="1389" w:type="dxa"/>
            <w:noWrap w:val="0"/>
            <w:vAlign w:val="center"/>
          </w:tcPr>
          <w:p w14:paraId="03780CC5">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法律法规或政策依据</w:t>
            </w:r>
          </w:p>
        </w:tc>
        <w:tc>
          <w:tcPr>
            <w:tcW w:w="4422" w:type="dxa"/>
            <w:noWrap w:val="0"/>
            <w:vAlign w:val="center"/>
          </w:tcPr>
          <w:p w14:paraId="451E7F5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备注</w:t>
            </w:r>
          </w:p>
        </w:tc>
      </w:tr>
      <w:tr w14:paraId="138B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7" w:hRule="atLeast"/>
        </w:trPr>
        <w:tc>
          <w:tcPr>
            <w:tcW w:w="464" w:type="dxa"/>
            <w:noWrap w:val="0"/>
            <w:vAlign w:val="center"/>
          </w:tcPr>
          <w:p w14:paraId="4B3F1A5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w:t>
            </w:r>
          </w:p>
        </w:tc>
        <w:tc>
          <w:tcPr>
            <w:tcW w:w="637" w:type="dxa"/>
            <w:vMerge w:val="restart"/>
            <w:noWrap w:val="0"/>
            <w:vAlign w:val="center"/>
          </w:tcPr>
          <w:p w14:paraId="3EB59BC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申请人不具备申请资格</w:t>
            </w:r>
          </w:p>
        </w:tc>
        <w:tc>
          <w:tcPr>
            <w:tcW w:w="1275" w:type="dxa"/>
            <w:noWrap w:val="0"/>
            <w:vAlign w:val="center"/>
          </w:tcPr>
          <w:p w14:paraId="5015E96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申请人为无民事行为能力人或者限制民事行为能力人的</w:t>
            </w:r>
          </w:p>
        </w:tc>
        <w:tc>
          <w:tcPr>
            <w:tcW w:w="993" w:type="dxa"/>
            <w:noWrap w:val="0"/>
            <w:vAlign w:val="center"/>
          </w:tcPr>
          <w:p w14:paraId="464BEF2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2619930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《民法典》第十七条、第十八条、第十九条、第二十条、第二十一条、第二十二条</w:t>
            </w:r>
          </w:p>
        </w:tc>
        <w:tc>
          <w:tcPr>
            <w:tcW w:w="4422" w:type="dxa"/>
            <w:noWrap w:val="0"/>
            <w:vAlign w:val="center"/>
          </w:tcPr>
          <w:p w14:paraId="05E6536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《民法典》第十七条十八周岁以上的自然人为成年人。不满十八周岁的自然人为未成年人。</w:t>
            </w:r>
          </w:p>
          <w:p w14:paraId="0ECE4E4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第十八条成年人为完全民事行为能力人，可以独立实施民事法律行为。</w:t>
            </w:r>
          </w:p>
          <w:p w14:paraId="49BB3A3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十六周岁以上的未成年人，以自己的劳动收入为主要生活来源的，视为完全民事行为能力人。</w:t>
            </w:r>
          </w:p>
          <w:p w14:paraId="053CA9D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第十九条八周岁以上的未成年人为限制民事行为能力人，实施民事法律行为由其法定代理人代理或者经其法定代理人同意、追认；但是，可以独立实施纯获利益的民事法律行为或者与其年龄、智力相适应的民事法律行为。</w:t>
            </w:r>
          </w:p>
          <w:p w14:paraId="0CFF56D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第二十条不满八周岁的未成年人为无民事行为能力人，由其法定代理人代理实施民事法律行为。</w:t>
            </w:r>
          </w:p>
          <w:p w14:paraId="50EC3EC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第二十一条不能辨认自己行为的成年人为无民事行为能力人，由其法定代理人代理实施民事法律行为。</w:t>
            </w:r>
          </w:p>
          <w:p w14:paraId="33E42DA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八周岁以上的未成年人不能辨认自己行为的，适用前款规定。</w:t>
            </w:r>
          </w:p>
          <w:p w14:paraId="23BC4C3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第二十二条不能完全辨认自己行为的成年人为限制民事行为能力人，实施民事法律行为由其法定代理人代理或者经其法定代理人同意、追认；但是，可以独立实施纯获利益的民事法律行为或者与其智力、精神健康状况相适应的民事法律行为。</w:t>
            </w:r>
          </w:p>
        </w:tc>
      </w:tr>
      <w:tr w14:paraId="33BF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464" w:type="dxa"/>
            <w:noWrap w:val="0"/>
            <w:vAlign w:val="center"/>
          </w:tcPr>
          <w:p w14:paraId="508F917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2</w:t>
            </w:r>
          </w:p>
        </w:tc>
        <w:tc>
          <w:tcPr>
            <w:tcW w:w="637" w:type="dxa"/>
            <w:vMerge w:val="continue"/>
            <w:noWrap w:val="0"/>
            <w:vAlign w:val="center"/>
          </w:tcPr>
          <w:p w14:paraId="212A1A3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0C0D8AB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取消从事烟草专卖业务资格不满三年的</w:t>
            </w:r>
          </w:p>
        </w:tc>
        <w:tc>
          <w:tcPr>
            <w:tcW w:w="993" w:type="dxa"/>
            <w:noWrap w:val="0"/>
            <w:vAlign w:val="center"/>
          </w:tcPr>
          <w:p w14:paraId="7C3A30A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br w:type="page"/>
            </w: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0701A15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《烟草专卖许可证管理办法》第二十五条第三项</w:t>
            </w:r>
          </w:p>
        </w:tc>
        <w:tc>
          <w:tcPr>
            <w:tcW w:w="4422" w:type="dxa"/>
            <w:noWrap w:val="0"/>
            <w:vAlign w:val="center"/>
          </w:tcPr>
          <w:p w14:paraId="7AD4282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　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三</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取消从事烟草专卖业务资格不满三年的。</w:t>
            </w:r>
          </w:p>
        </w:tc>
      </w:tr>
      <w:tr w14:paraId="36A3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464" w:type="dxa"/>
            <w:noWrap w:val="0"/>
            <w:vAlign w:val="center"/>
          </w:tcPr>
          <w:p w14:paraId="4CA03AB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3</w:t>
            </w:r>
          </w:p>
        </w:tc>
        <w:tc>
          <w:tcPr>
            <w:tcW w:w="637" w:type="dxa"/>
            <w:vMerge w:val="continue"/>
            <w:noWrap w:val="0"/>
            <w:vAlign w:val="center"/>
          </w:tcPr>
          <w:p w14:paraId="2880E31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7A68792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因申请人隐瞒有关情况或者提供虚假材料，烟草专卖局作出不予受理或者不予发证决定后，申请人一年内再次提出申请的</w:t>
            </w:r>
          </w:p>
        </w:tc>
        <w:tc>
          <w:tcPr>
            <w:tcW w:w="993" w:type="dxa"/>
            <w:noWrap w:val="0"/>
            <w:vAlign w:val="center"/>
          </w:tcPr>
          <w:p w14:paraId="471B451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5C41500B">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《烟草专卖许可证管理办法》第二十五条第四项</w:t>
            </w:r>
          </w:p>
        </w:tc>
        <w:tc>
          <w:tcPr>
            <w:tcW w:w="4422" w:type="dxa"/>
            <w:noWrap w:val="0"/>
            <w:vAlign w:val="center"/>
          </w:tcPr>
          <w:p w14:paraId="4FD99F19">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四</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因申请人隐瞒有关情况或者提供虚假材料，烟草专卖局作出不予受理或者不予发证决定后，申请人一年内再次提出申请的。</w:t>
            </w:r>
          </w:p>
        </w:tc>
      </w:tr>
      <w:tr w14:paraId="45F3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trPr>
        <w:tc>
          <w:tcPr>
            <w:tcW w:w="464" w:type="dxa"/>
            <w:noWrap w:val="0"/>
            <w:vAlign w:val="center"/>
          </w:tcPr>
          <w:p w14:paraId="098C9F4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4</w:t>
            </w:r>
          </w:p>
        </w:tc>
        <w:tc>
          <w:tcPr>
            <w:tcW w:w="637" w:type="dxa"/>
            <w:vMerge w:val="continue"/>
            <w:noWrap w:val="0"/>
            <w:vAlign w:val="center"/>
          </w:tcPr>
          <w:p w14:paraId="5B0F5BA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208D480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因申请人以欺骗、贿赂等不正当手段取得的烟草专卖许可证被撤销后，申请人三年内再次提出申请的</w:t>
            </w:r>
          </w:p>
        </w:tc>
        <w:tc>
          <w:tcPr>
            <w:tcW w:w="993" w:type="dxa"/>
            <w:noWrap w:val="0"/>
            <w:vAlign w:val="center"/>
          </w:tcPr>
          <w:p w14:paraId="2CB2AE5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40953FB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《烟草专卖许可证管理办法》第二十五条第五项</w:t>
            </w:r>
          </w:p>
        </w:tc>
        <w:tc>
          <w:tcPr>
            <w:tcW w:w="4422" w:type="dxa"/>
            <w:noWrap w:val="0"/>
            <w:vAlign w:val="center"/>
          </w:tcPr>
          <w:p w14:paraId="3CBE7A5C">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五</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因申请人以欺骗、贿赂等不正当手段取得的烟草专卖许可证被撤销后，申请人三年内再次提出申请的。</w:t>
            </w:r>
          </w:p>
        </w:tc>
      </w:tr>
      <w:tr w14:paraId="4344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8" w:hRule="atLeast"/>
        </w:trPr>
        <w:tc>
          <w:tcPr>
            <w:tcW w:w="464" w:type="dxa"/>
            <w:noWrap w:val="0"/>
            <w:vAlign w:val="center"/>
          </w:tcPr>
          <w:p w14:paraId="2DC05E8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5</w:t>
            </w:r>
          </w:p>
        </w:tc>
        <w:tc>
          <w:tcPr>
            <w:tcW w:w="637" w:type="dxa"/>
            <w:vMerge w:val="continue"/>
            <w:noWrap w:val="0"/>
            <w:vAlign w:val="center"/>
          </w:tcPr>
          <w:p w14:paraId="3AEBF16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7FDE254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未领取烟草专卖零售许可证经营烟草专卖品业务，并且一年内被执法机关处罚两次以上，在三年内申请领取烟草专卖零售许可证的</w:t>
            </w:r>
          </w:p>
        </w:tc>
        <w:tc>
          <w:tcPr>
            <w:tcW w:w="993" w:type="dxa"/>
            <w:noWrap w:val="0"/>
            <w:vAlign w:val="center"/>
          </w:tcPr>
          <w:p w14:paraId="191409C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6CB662FB">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《烟草专卖许可证管理办法》第二十五条第六项</w:t>
            </w:r>
          </w:p>
        </w:tc>
        <w:tc>
          <w:tcPr>
            <w:tcW w:w="4422" w:type="dxa"/>
            <w:noWrap w:val="0"/>
            <w:vAlign w:val="center"/>
          </w:tcPr>
          <w:p w14:paraId="21A7068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六</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未领取烟草专卖零售许可证经营烟草专卖品业务，并且一年内被执法机关处罚两次以上，在三年内申请领取烟草专卖零售许可证的。</w:t>
            </w:r>
          </w:p>
        </w:tc>
      </w:tr>
      <w:tr w14:paraId="7178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464" w:type="dxa"/>
            <w:noWrap w:val="0"/>
            <w:vAlign w:val="center"/>
          </w:tcPr>
          <w:p w14:paraId="0B76871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6</w:t>
            </w:r>
          </w:p>
        </w:tc>
        <w:tc>
          <w:tcPr>
            <w:tcW w:w="637" w:type="dxa"/>
            <w:vMerge w:val="continue"/>
            <w:noWrap w:val="0"/>
            <w:vAlign w:val="center"/>
          </w:tcPr>
          <w:p w14:paraId="5533AFD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2FD18FAC">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外商投资的商业企业或者个体工商户，或者外商投资的商业企业或者个体工商户以特许、吸纳加盟店及其他再投资等形式变相从事烟草专卖品经营业务的</w:t>
            </w:r>
          </w:p>
        </w:tc>
        <w:tc>
          <w:tcPr>
            <w:tcW w:w="993" w:type="dxa"/>
            <w:noWrap w:val="0"/>
            <w:vAlign w:val="center"/>
          </w:tcPr>
          <w:p w14:paraId="0280714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73897BC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《烟草专卖许可证管理办法》第十七条</w:t>
            </w:r>
          </w:p>
          <w:p w14:paraId="6EDAE51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《国家烟草专卖局关于有外资成分并且烟草零售业态属于娱乐服务类企业许可证管理事项的批复》</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国烟专﹝2009﹞112号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第一条</w:t>
            </w:r>
          </w:p>
        </w:tc>
        <w:tc>
          <w:tcPr>
            <w:tcW w:w="4422" w:type="dxa"/>
            <w:noWrap w:val="0"/>
            <w:vAlign w:val="center"/>
          </w:tcPr>
          <w:p w14:paraId="7F5CA4E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《烟草专卖许可证管理办法》第十七条外商投资的商业企业或者个体工商户不得从事烟草专卖品批发或者零售业务，不得以特许、吸纳加盟店及其他再投资等形式变相从事烟草专卖品经营业务。</w:t>
            </w:r>
          </w:p>
          <w:p w14:paraId="1927117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国家烟草专卖局关于有外资成分并且烟草零售业态属于娱乐服务类企业许可证管理事项的批复》第一条对有外资成分以提供住宿、餐饮、休闲、娱乐为主要经营的宾馆、酒店等企业，按照《烟草零售业态分类标准》</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国烟法﹝2005﹞845号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属于</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娱乐服务类</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的，不属于</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外商投资的商业企业或者个体工商户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w:t>
            </w:r>
          </w:p>
        </w:tc>
      </w:tr>
      <w:tr w14:paraId="35C9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trPr>
        <w:tc>
          <w:tcPr>
            <w:tcW w:w="464" w:type="dxa"/>
            <w:noWrap w:val="0"/>
            <w:vAlign w:val="center"/>
          </w:tcPr>
          <w:p w14:paraId="15445A85">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7</w:t>
            </w:r>
          </w:p>
        </w:tc>
        <w:tc>
          <w:tcPr>
            <w:tcW w:w="637" w:type="dxa"/>
            <w:vMerge w:val="continue"/>
            <w:noWrap w:val="0"/>
            <w:vAlign w:val="center"/>
          </w:tcPr>
          <w:p w14:paraId="209A873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41EED5F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未领取烟草专卖零售许可证经营烟草专卖品业务被追究刑事责任，在3年内申请领取烟草专卖零售许可证的</w:t>
            </w:r>
          </w:p>
        </w:tc>
        <w:tc>
          <w:tcPr>
            <w:tcW w:w="993" w:type="dxa"/>
            <w:noWrap w:val="0"/>
            <w:vAlign w:val="center"/>
          </w:tcPr>
          <w:p w14:paraId="1840392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1CE6101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《烟草专卖许可证管理办法》第二十五条第七项</w:t>
            </w:r>
          </w:p>
          <w:p w14:paraId="29EB7B0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《国家烟草专卖局关于印发烟草专卖许可证管理办法实施细则的通知》</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国烟法〔2020〕205号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第十九条</w:t>
            </w:r>
          </w:p>
        </w:tc>
        <w:tc>
          <w:tcPr>
            <w:tcW w:w="4422" w:type="dxa"/>
            <w:noWrap w:val="0"/>
            <w:vAlign w:val="center"/>
          </w:tcPr>
          <w:p w14:paraId="09B79AB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七</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国家烟草专卖局规定的其他不予发证的情形。</w:t>
            </w:r>
          </w:p>
          <w:p w14:paraId="4020966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实施细则》第十九条未领取烟草专卖零售许可证经营烟草专卖品业务被追究刑事责任，在3年内申请领取烟草专卖零售许可证的，属于《烟草专卖许可证管理办法》第二十五条第七项规定的其他不予发证的情形。</w:t>
            </w:r>
          </w:p>
        </w:tc>
      </w:tr>
      <w:tr w14:paraId="70D6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464" w:type="dxa"/>
            <w:noWrap w:val="0"/>
            <w:vAlign w:val="center"/>
          </w:tcPr>
          <w:p w14:paraId="4CC0EAA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8</w:t>
            </w:r>
          </w:p>
        </w:tc>
        <w:tc>
          <w:tcPr>
            <w:tcW w:w="637" w:type="dxa"/>
            <w:vMerge w:val="restart"/>
            <w:noWrap w:val="0"/>
            <w:vAlign w:val="center"/>
          </w:tcPr>
          <w:p w14:paraId="2666A8A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申请人不符合法定申请条件</w:t>
            </w:r>
          </w:p>
        </w:tc>
        <w:tc>
          <w:tcPr>
            <w:tcW w:w="1275" w:type="dxa"/>
            <w:noWrap w:val="0"/>
            <w:vAlign w:val="center"/>
          </w:tcPr>
          <w:p w14:paraId="7E851FE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申请人没有固定经营场所的</w:t>
            </w:r>
          </w:p>
        </w:tc>
        <w:tc>
          <w:tcPr>
            <w:tcW w:w="993" w:type="dxa"/>
            <w:noWrap w:val="0"/>
            <w:vAlign w:val="center"/>
          </w:tcPr>
          <w:p w14:paraId="599179D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02A8E27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《烟草专卖许可证管理办法》第十三条第二项</w:t>
            </w:r>
          </w:p>
        </w:tc>
        <w:tc>
          <w:tcPr>
            <w:tcW w:w="4422" w:type="dxa"/>
            <w:noWrap w:val="0"/>
            <w:vAlign w:val="center"/>
          </w:tcPr>
          <w:p w14:paraId="72DBB30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《烟草专卖许可证管理办法》第十三条申请烟草专卖零售许可证，应当具备下列条件：</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二</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有与住所相独立的固定经营场所。</w:t>
            </w:r>
          </w:p>
        </w:tc>
      </w:tr>
      <w:tr w14:paraId="023F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trPr>
        <w:tc>
          <w:tcPr>
            <w:tcW w:w="464" w:type="dxa"/>
            <w:noWrap w:val="0"/>
            <w:vAlign w:val="center"/>
          </w:tcPr>
          <w:p w14:paraId="19048B6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9</w:t>
            </w:r>
          </w:p>
        </w:tc>
        <w:tc>
          <w:tcPr>
            <w:tcW w:w="637" w:type="dxa"/>
            <w:vMerge w:val="continue"/>
            <w:noWrap w:val="0"/>
            <w:vAlign w:val="center"/>
          </w:tcPr>
          <w:p w14:paraId="2156C4B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7CD80BA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申请人的经营场所与住所不相独立的</w:t>
            </w:r>
          </w:p>
        </w:tc>
        <w:tc>
          <w:tcPr>
            <w:tcW w:w="993" w:type="dxa"/>
            <w:noWrap w:val="0"/>
            <w:vAlign w:val="center"/>
          </w:tcPr>
          <w:p w14:paraId="08E65B8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6BA4259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《烟草专卖许可证管理办法》第十三条第二项</w:t>
            </w:r>
          </w:p>
        </w:tc>
        <w:tc>
          <w:tcPr>
            <w:tcW w:w="4422" w:type="dxa"/>
            <w:noWrap w:val="0"/>
            <w:vAlign w:val="center"/>
          </w:tcPr>
          <w:p w14:paraId="44239CB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《烟草专卖许可证管理办法》第十三条申请烟草专卖零售许可证，应当具备下列条件：</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二</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有与住所相独立的固定经营场所。</w:t>
            </w:r>
          </w:p>
        </w:tc>
      </w:tr>
      <w:tr w14:paraId="23AF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trPr>
        <w:tc>
          <w:tcPr>
            <w:tcW w:w="464" w:type="dxa"/>
            <w:noWrap w:val="0"/>
            <w:vAlign w:val="center"/>
          </w:tcPr>
          <w:p w14:paraId="5DD5EC5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10</w:t>
            </w:r>
          </w:p>
        </w:tc>
        <w:tc>
          <w:tcPr>
            <w:tcW w:w="637" w:type="dxa"/>
            <w:vMerge w:val="continue"/>
            <w:noWrap w:val="0"/>
            <w:vAlign w:val="center"/>
          </w:tcPr>
          <w:p w14:paraId="4CF812C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7FBBEF8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不符合当地烟草制品零售点合理布局规划的</w:t>
            </w:r>
          </w:p>
        </w:tc>
        <w:tc>
          <w:tcPr>
            <w:tcW w:w="993" w:type="dxa"/>
            <w:noWrap w:val="0"/>
            <w:vAlign w:val="center"/>
          </w:tcPr>
          <w:p w14:paraId="0B2191D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4C6499C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《烟草专卖许可证管理办法》第十三条第三项、第十五条</w:t>
            </w:r>
          </w:p>
        </w:tc>
        <w:tc>
          <w:tcPr>
            <w:tcW w:w="4422" w:type="dxa"/>
            <w:noWrap w:val="0"/>
            <w:vAlign w:val="center"/>
          </w:tcPr>
          <w:p w14:paraId="59F8F39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《烟草专卖许可证管理办法》第十三条申请烟草专卖零售许可证，应当具备下列条件：</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三</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符合当地烟草制品零售点合理布局的要求。</w:t>
            </w:r>
          </w:p>
          <w:p w14:paraId="2C91C51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第十五条制订烟草制品零售点合理布局规划时，应当根据辖区内的人口数量、交通状况、经济发展水平、消费能力等因素，在举行听证后确定零售点的合理布局。</w:t>
            </w:r>
          </w:p>
          <w:p w14:paraId="1C21485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烟草制品零售点合理布局规划、经营资金要求和经营场所条件，由县级以上烟草专卖局制定，并报上一级烟草专卖局备案。</w:t>
            </w:r>
          </w:p>
        </w:tc>
      </w:tr>
      <w:tr w14:paraId="7539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464" w:type="dxa"/>
            <w:noWrap w:val="0"/>
            <w:vAlign w:val="center"/>
          </w:tcPr>
          <w:p w14:paraId="7A7E9FC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11</w:t>
            </w:r>
          </w:p>
        </w:tc>
        <w:tc>
          <w:tcPr>
            <w:tcW w:w="637" w:type="dxa"/>
            <w:vMerge w:val="restart"/>
            <w:noWrap w:val="0"/>
            <w:vAlign w:val="center"/>
          </w:tcPr>
          <w:p w14:paraId="3EAD13A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其他不予发证的情形</w:t>
            </w:r>
          </w:p>
        </w:tc>
        <w:tc>
          <w:tcPr>
            <w:tcW w:w="1275" w:type="dxa"/>
            <w:noWrap w:val="0"/>
            <w:vAlign w:val="center"/>
          </w:tcPr>
          <w:p w14:paraId="6AEBA73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因申请人隐瞒有关情况或者提供虚假材料的</w:t>
            </w:r>
          </w:p>
        </w:tc>
        <w:tc>
          <w:tcPr>
            <w:tcW w:w="993" w:type="dxa"/>
            <w:noWrap w:val="0"/>
            <w:vAlign w:val="center"/>
          </w:tcPr>
          <w:p w14:paraId="21204FF5">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58E6B6FC">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《烟草专卖许可证管理办法》第五十四条</w:t>
            </w:r>
          </w:p>
        </w:tc>
        <w:tc>
          <w:tcPr>
            <w:tcW w:w="4422" w:type="dxa"/>
            <w:noWrap w:val="0"/>
            <w:vAlign w:val="center"/>
          </w:tcPr>
          <w:p w14:paraId="55DECCDC">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《烟草专卖许可证管理办法》第五十四条因申请人隐瞒有关情况或者提供虚假材料的，应当不予受理或者不予发证，给予警告；申请人在一年内不得再次申请烟草专卖许可证。</w:t>
            </w:r>
          </w:p>
        </w:tc>
      </w:tr>
      <w:tr w14:paraId="6159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64" w:type="dxa"/>
            <w:noWrap w:val="0"/>
            <w:vAlign w:val="center"/>
          </w:tcPr>
          <w:p w14:paraId="4D9B8B3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12</w:t>
            </w:r>
          </w:p>
        </w:tc>
        <w:tc>
          <w:tcPr>
            <w:tcW w:w="637" w:type="dxa"/>
            <w:vMerge w:val="continue"/>
            <w:noWrap w:val="0"/>
            <w:vAlign w:val="center"/>
          </w:tcPr>
          <w:p w14:paraId="1759CEA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742341D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经营场所基于安全因素不适宜经营卷烟的</w:t>
            </w:r>
          </w:p>
        </w:tc>
        <w:tc>
          <w:tcPr>
            <w:tcW w:w="993" w:type="dxa"/>
            <w:noWrap w:val="0"/>
            <w:vAlign w:val="center"/>
          </w:tcPr>
          <w:p w14:paraId="4003A60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br w:type="page"/>
            </w: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65B0214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《烟草专卖许可证管理办法》第二十五条第一项</w:t>
            </w:r>
          </w:p>
        </w:tc>
        <w:tc>
          <w:tcPr>
            <w:tcW w:w="4422" w:type="dxa"/>
            <w:noWrap w:val="0"/>
            <w:vAlign w:val="center"/>
          </w:tcPr>
          <w:p w14:paraId="03F8827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一</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经营场所基于安全因素不适宜经营卷烟的。</w:t>
            </w:r>
          </w:p>
        </w:tc>
      </w:tr>
      <w:tr w14:paraId="3C74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64" w:type="dxa"/>
            <w:noWrap w:val="0"/>
            <w:vAlign w:val="center"/>
          </w:tcPr>
          <w:p w14:paraId="08F11C9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13</w:t>
            </w:r>
          </w:p>
        </w:tc>
        <w:tc>
          <w:tcPr>
            <w:tcW w:w="637" w:type="dxa"/>
            <w:vMerge w:val="continue"/>
            <w:noWrap w:val="0"/>
            <w:vAlign w:val="center"/>
          </w:tcPr>
          <w:p w14:paraId="371AF48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74F7DF72">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位于中小学校、幼儿园周边50米</w:t>
            </w:r>
          </w:p>
        </w:tc>
        <w:tc>
          <w:tcPr>
            <w:tcW w:w="993" w:type="dxa"/>
            <w:noWrap w:val="0"/>
            <w:vAlign w:val="center"/>
          </w:tcPr>
          <w:p w14:paraId="3A14FDDF">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br w:type="page"/>
            </w: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4F47B66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《未成年人保护法》第五十九条</w:t>
            </w:r>
          </w:p>
          <w:p w14:paraId="0016FE1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《烟草专卖许可证管理办法》第二十五条第二项</w:t>
            </w:r>
          </w:p>
          <w:p w14:paraId="5B1CCBF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《湖北省学校周边安全区域管理办法》第六条</w:t>
            </w:r>
          </w:p>
        </w:tc>
        <w:tc>
          <w:tcPr>
            <w:tcW w:w="4422" w:type="dxa"/>
            <w:noWrap w:val="0"/>
            <w:vAlign w:val="center"/>
          </w:tcPr>
          <w:p w14:paraId="7134E23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未成年人保护法》第五十九条学校、幼儿园周边不得设置烟、酒、彩票销售网点。禁止向未成年人销售烟、酒、彩票或者兑付彩票奖金。烟、酒和彩票经营者应当在显著位置设置不向未成年人销售烟、酒或者彩票的标志；对难以判明是否是未成年人的，应当要求其出示身份证件。</w:t>
            </w:r>
          </w:p>
          <w:p w14:paraId="663DDFF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任何人不得在学校、幼儿园和其他未成年人集中活动的公共场所吸烟、饮酒。</w:t>
            </w:r>
          </w:p>
          <w:p w14:paraId="2D10DFC9">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二</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中、小学校周围。</w:t>
            </w:r>
          </w:p>
          <w:p w14:paraId="2FD7BBA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《湖北省学校周边安全区域管理办法》第六条中小学校园周边50米范围内，禁止售卖烟</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含电子烟，下同</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、酒，烟草专卖管理部门已发放烟草专卖零售许可证的，待其许可期满后不予延续。</w:t>
            </w:r>
          </w:p>
        </w:tc>
      </w:tr>
      <w:tr w14:paraId="3872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1" w:hRule="atLeast"/>
        </w:trPr>
        <w:tc>
          <w:tcPr>
            <w:tcW w:w="464" w:type="dxa"/>
            <w:noWrap w:val="0"/>
            <w:vAlign w:val="center"/>
          </w:tcPr>
          <w:p w14:paraId="6034E405">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14</w:t>
            </w:r>
          </w:p>
        </w:tc>
        <w:tc>
          <w:tcPr>
            <w:tcW w:w="637" w:type="dxa"/>
            <w:vMerge w:val="continue"/>
            <w:noWrap w:val="0"/>
            <w:vAlign w:val="center"/>
          </w:tcPr>
          <w:p w14:paraId="20705E4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580131D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利用自动售货机或者其他自动售货形式，销售或者变相销售烟草制品的</w:t>
            </w:r>
          </w:p>
        </w:tc>
        <w:tc>
          <w:tcPr>
            <w:tcW w:w="993" w:type="dxa"/>
            <w:noWrap w:val="0"/>
            <w:vAlign w:val="center"/>
          </w:tcPr>
          <w:p w14:paraId="7726CA3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03676D49">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《烟草专卖许可证管理办法》第四十条第一款</w:t>
            </w:r>
          </w:p>
          <w:p w14:paraId="689B61A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《国家烟草专卖局关于印发烟草专卖许可证管理办法实施细则的通知》</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国烟法〔2020〕205号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第五十一条第一款</w:t>
            </w:r>
          </w:p>
        </w:tc>
        <w:tc>
          <w:tcPr>
            <w:tcW w:w="4422" w:type="dxa"/>
            <w:noWrap w:val="0"/>
            <w:vAlign w:val="center"/>
          </w:tcPr>
          <w:p w14:paraId="6F41825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《烟草专卖许可证管理办法》第四十条第一款公民、法人或者其他组织不得利用自动售货机销售烟草制品。</w:t>
            </w:r>
          </w:p>
          <w:p w14:paraId="5D3BD43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《烟草专卖许可证管理办法实施细则》第五十一条第一款公民、法人或者其他组织不得利用自动售货机或者其他自动售货形式，销售或者变相销售烟草制品。</w:t>
            </w:r>
          </w:p>
        </w:tc>
      </w:tr>
      <w:tr w14:paraId="6BDD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464" w:type="dxa"/>
            <w:noWrap w:val="0"/>
            <w:vAlign w:val="center"/>
          </w:tcPr>
          <w:p w14:paraId="27439FA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15</w:t>
            </w:r>
          </w:p>
        </w:tc>
        <w:tc>
          <w:tcPr>
            <w:tcW w:w="637" w:type="dxa"/>
            <w:vMerge w:val="continue"/>
            <w:noWrap w:val="0"/>
            <w:vAlign w:val="center"/>
          </w:tcPr>
          <w:p w14:paraId="3D1FB73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01F54DA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通过信息网络销售烟草专卖品的</w:t>
            </w:r>
          </w:p>
        </w:tc>
        <w:tc>
          <w:tcPr>
            <w:tcW w:w="993" w:type="dxa"/>
            <w:noWrap w:val="0"/>
            <w:vAlign w:val="center"/>
          </w:tcPr>
          <w:p w14:paraId="70701F81">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p>
        </w:tc>
        <w:tc>
          <w:tcPr>
            <w:tcW w:w="1389" w:type="dxa"/>
            <w:noWrap w:val="0"/>
            <w:vAlign w:val="center"/>
          </w:tcPr>
          <w:p w14:paraId="450BBCD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《烟草专卖许可证管理办法》第四十条第二款</w:t>
            </w:r>
          </w:p>
        </w:tc>
        <w:tc>
          <w:tcPr>
            <w:tcW w:w="4422" w:type="dxa"/>
            <w:noWrap w:val="0"/>
            <w:vAlign w:val="center"/>
          </w:tcPr>
          <w:p w14:paraId="6035A7CE">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《烟草专卖许可证管理办法》第四十条第二款除了取得烟草专卖生产企业许可证或者烟草专卖批发企业许可证的企业依法销售烟草专卖品外，任何公民、法人或者其他组织不得通过信息网络销售烟草专卖品。</w:t>
            </w:r>
          </w:p>
        </w:tc>
      </w:tr>
      <w:tr w14:paraId="14AF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464" w:type="dxa"/>
            <w:noWrap w:val="0"/>
            <w:vAlign w:val="center"/>
          </w:tcPr>
          <w:p w14:paraId="75CEE92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16</w:t>
            </w:r>
          </w:p>
        </w:tc>
        <w:tc>
          <w:tcPr>
            <w:tcW w:w="637" w:type="dxa"/>
            <w:vMerge w:val="continue"/>
            <w:noWrap w:val="0"/>
            <w:vAlign w:val="center"/>
          </w:tcPr>
          <w:p w14:paraId="5CCE7BE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35BFD16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位于党政机关内部的</w:t>
            </w:r>
          </w:p>
        </w:tc>
        <w:tc>
          <w:tcPr>
            <w:tcW w:w="993" w:type="dxa"/>
            <w:noWrap w:val="0"/>
            <w:vAlign w:val="center"/>
          </w:tcPr>
          <w:p w14:paraId="4AAA10D6">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1BAB20DA">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《中共中央办公厅国务院办公厅关于领导干部带头在公共场所禁烟有关事项的通知》</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厅字〔2013〕19号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第四条</w:t>
            </w:r>
          </w:p>
        </w:tc>
        <w:tc>
          <w:tcPr>
            <w:tcW w:w="4422" w:type="dxa"/>
            <w:noWrap w:val="0"/>
            <w:vAlign w:val="center"/>
          </w:tcPr>
          <w:p w14:paraId="4FB744C4">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中共中央办公厅国务院办公厅关于领导干部带头在公共场所禁烟有关事项的通知》第四条要把各级党政机关建成无烟机关。机关内部禁止销售或提供烟草制品，禁止烟草广告，公共办公场所禁止吸烟，传达室、会议室、楼道、食堂、洗手间等场所要张贴醒目的禁烟标识。各级党政机关要动员本单位职工控烟，鼓励吸烟职工戒烟。卫生、宣传等有关部门和单位要广泛动员各方力量，深入开展形式多样的禁烟控烟宣传教育活动，在全社会形成禁烟控烟的良好氛围。</w:t>
            </w:r>
          </w:p>
        </w:tc>
      </w:tr>
      <w:tr w14:paraId="08B4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464" w:type="dxa"/>
            <w:noWrap w:val="0"/>
            <w:vAlign w:val="center"/>
          </w:tcPr>
          <w:p w14:paraId="673FEC2C">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17</w:t>
            </w:r>
          </w:p>
        </w:tc>
        <w:tc>
          <w:tcPr>
            <w:tcW w:w="637" w:type="dxa"/>
            <w:vMerge w:val="continue"/>
            <w:noWrap w:val="0"/>
            <w:vAlign w:val="center"/>
          </w:tcPr>
          <w:p w14:paraId="4FAD839B">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p>
        </w:tc>
        <w:tc>
          <w:tcPr>
            <w:tcW w:w="1275" w:type="dxa"/>
            <w:noWrap w:val="0"/>
            <w:vAlign w:val="center"/>
          </w:tcPr>
          <w:p w14:paraId="1BAAF44D">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经营场所已经办理了仍在有效期内的烟草专卖零售许可证的</w:t>
            </w:r>
          </w:p>
        </w:tc>
        <w:tc>
          <w:tcPr>
            <w:tcW w:w="993" w:type="dxa"/>
            <w:noWrap w:val="0"/>
            <w:vAlign w:val="center"/>
          </w:tcPr>
          <w:p w14:paraId="737857F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不予发放烟草专卖零售许可证</w:t>
            </w:r>
            <w:r>
              <w:rPr>
                <w:rFonts w:ascii="Times New Roman" w:hAnsi="Times New Roman" w:eastAsia="仿宋_GB2312" w:cs="Times New Roman"/>
                <w:bCs/>
                <w:sz w:val="24"/>
              </w:rPr>
              <w:br w:type="page"/>
            </w:r>
          </w:p>
        </w:tc>
        <w:tc>
          <w:tcPr>
            <w:tcW w:w="1389" w:type="dxa"/>
            <w:noWrap w:val="0"/>
            <w:vAlign w:val="center"/>
          </w:tcPr>
          <w:p w14:paraId="18473577">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《烟草专卖许可证管理办法》第二十五条第七项</w:t>
            </w:r>
          </w:p>
          <w:p w14:paraId="65596AB3">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jc w:val="center"/>
              <w:textAlignment w:val="auto"/>
              <w:rPr>
                <w:rFonts w:ascii="Times New Roman" w:hAnsi="Times New Roman" w:eastAsia="仿宋_GB2312" w:cs="Times New Roman"/>
                <w:bCs/>
                <w:sz w:val="24"/>
              </w:rPr>
            </w:pPr>
            <w:r>
              <w:rPr>
                <w:rFonts w:ascii="Times New Roman" w:hAnsi="Times New Roman" w:eastAsia="仿宋_GB2312" w:cs="Times New Roman"/>
                <w:bCs/>
                <w:sz w:val="24"/>
              </w:rPr>
              <w:t>《</w:t>
            </w:r>
            <w:bookmarkStart w:id="0" w:name="biaoti"/>
            <w:r>
              <w:rPr>
                <w:rFonts w:ascii="Times New Roman" w:hAnsi="Times New Roman" w:eastAsia="仿宋_GB2312" w:cs="Times New Roman"/>
                <w:bCs/>
                <w:sz w:val="24"/>
              </w:rPr>
              <w:t>国家烟草专卖局关于印发烟草专卖许可证管理办法实施细则的通知</w:t>
            </w:r>
            <w:bookmarkEnd w:id="0"/>
            <w:r>
              <w:rPr>
                <w:rFonts w:ascii="Times New Roman" w:hAnsi="Times New Roman" w:eastAsia="仿宋_GB2312" w:cs="Times New Roman"/>
                <w:bCs/>
                <w:sz w:val="24"/>
              </w:rPr>
              <w:t>》</w:t>
            </w:r>
            <w:bookmarkStart w:id="1" w:name="fawenjiguandaizi"/>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国烟法</w:t>
            </w:r>
            <w:bookmarkEnd w:id="1"/>
            <w:r>
              <w:rPr>
                <w:rFonts w:ascii="Times New Roman" w:hAnsi="Times New Roman" w:eastAsia="仿宋_GB2312" w:cs="Times New Roman"/>
                <w:bCs/>
                <w:sz w:val="24"/>
              </w:rPr>
              <w:t>〔</w:t>
            </w:r>
            <w:bookmarkStart w:id="2" w:name="nianfen"/>
            <w:r>
              <w:rPr>
                <w:rFonts w:ascii="Times New Roman" w:hAnsi="Times New Roman" w:eastAsia="仿宋_GB2312" w:cs="Times New Roman"/>
                <w:bCs/>
                <w:sz w:val="24"/>
              </w:rPr>
              <w:t>2020</w:t>
            </w:r>
            <w:bookmarkEnd w:id="2"/>
            <w:r>
              <w:rPr>
                <w:rFonts w:ascii="Times New Roman" w:hAnsi="Times New Roman" w:eastAsia="仿宋_GB2312" w:cs="Times New Roman"/>
                <w:bCs/>
                <w:sz w:val="24"/>
              </w:rPr>
              <w:t>〕</w:t>
            </w:r>
            <w:bookmarkStart w:id="3" w:name="fawenshunxuhao"/>
            <w:r>
              <w:rPr>
                <w:rFonts w:ascii="Times New Roman" w:hAnsi="Times New Roman" w:eastAsia="仿宋_GB2312" w:cs="Times New Roman"/>
                <w:bCs/>
                <w:sz w:val="24"/>
              </w:rPr>
              <w:t>205</w:t>
            </w:r>
            <w:bookmarkEnd w:id="3"/>
            <w:r>
              <w:rPr>
                <w:rFonts w:ascii="Times New Roman" w:hAnsi="Times New Roman" w:eastAsia="仿宋_GB2312" w:cs="Times New Roman"/>
                <w:bCs/>
                <w:sz w:val="24"/>
              </w:rPr>
              <w:t>号</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第四十条</w:t>
            </w:r>
          </w:p>
        </w:tc>
        <w:tc>
          <w:tcPr>
            <w:tcW w:w="4422" w:type="dxa"/>
            <w:noWrap w:val="0"/>
            <w:vAlign w:val="center"/>
          </w:tcPr>
          <w:p w14:paraId="7518CD90">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《烟草专卖许可证管理办法》第二十五条有下列情形之一的，不予发放烟草专卖零售许可证：</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七</w:t>
            </w:r>
            <w:r>
              <w:rPr>
                <w:rFonts w:hint="eastAsia" w:ascii="Times New Roman" w:hAnsi="Times New Roman" w:eastAsia="仿宋_GB2312" w:cs="Times New Roman"/>
                <w:bCs/>
                <w:sz w:val="24"/>
                <w:lang w:eastAsia="zh-CN"/>
              </w:rPr>
              <w:t>）</w:t>
            </w:r>
            <w:r>
              <w:rPr>
                <w:rFonts w:ascii="Times New Roman" w:hAnsi="Times New Roman" w:eastAsia="仿宋_GB2312" w:cs="Times New Roman"/>
                <w:bCs/>
                <w:sz w:val="24"/>
              </w:rPr>
              <w:t>国家烟草专卖局规定的其他不予发证的情形。</w:t>
            </w:r>
          </w:p>
          <w:p w14:paraId="25FC9688">
            <w:pPr>
              <w:keepNext w:val="0"/>
              <w:keepLines w:val="0"/>
              <w:pageBreakBefore w:val="0"/>
              <w:widowControl w:val="0"/>
              <w:kinsoku/>
              <w:wordWrap/>
              <w:overflowPunct/>
              <w:topLinePunct w:val="0"/>
              <w:autoSpaceDE/>
              <w:autoSpaceDN/>
              <w:bidi w:val="0"/>
              <w:adjustRightInd/>
              <w:snapToGrid/>
              <w:spacing w:line="320" w:lineRule="exact"/>
              <w:ind w:left="-80" w:leftChars="-38" w:right="-86" w:rightChars="-41"/>
              <w:textAlignment w:val="auto"/>
              <w:rPr>
                <w:rFonts w:ascii="Times New Roman" w:hAnsi="Times New Roman" w:eastAsia="仿宋_GB2312" w:cs="Times New Roman"/>
                <w:bCs/>
                <w:sz w:val="24"/>
              </w:rPr>
            </w:pPr>
            <w:r>
              <w:rPr>
                <w:rFonts w:ascii="Times New Roman" w:hAnsi="Times New Roman" w:eastAsia="仿宋_GB2312" w:cs="Times New Roman"/>
                <w:bCs/>
                <w:sz w:val="24"/>
              </w:rPr>
              <w:t>《烟草专卖许可证管理办法实施细则》第四十条一个经营场所已经办理了烟草专卖零售许可证的，在许可证有效期内不再审批发放其他烟草专卖零售许可证。</w:t>
            </w:r>
          </w:p>
        </w:tc>
      </w:tr>
    </w:tbl>
    <w:p w14:paraId="557AD5B7">
      <w:r>
        <w:rPr>
          <w:rFonts w:ascii="Times New Roman" w:hAnsi="Times New Roman" w:eastAsia="黑体" w:cs="Times New Roman"/>
          <w:sz w:val="32"/>
          <w:szCs w:val="32"/>
        </w:rPr>
        <w:br w:type="page"/>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E04DC"/>
    <w:rsid w:val="2CFE0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2026-09-23T01:53:00Z</dcterms:created>
  <dc:creator>SarakiLang</dc:creator>
  <cp:lastModifiedBy>SarakiLang</cp:lastModifiedBy>
  <dcterms:modified xsi:type="dcterms:W3CDTF">2026-09-23T01:54:12Z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405622F449084E31A2752D188C5AE847_11</vt:lpwstr>
  </property>
  <property fmtid="{D5CDD505-2E9C-101B-9397-08002B2CF9AE}" pid="4" name="KSOTemplateDocerSaveRecord">
    <vt:lpwstr>eyJoZGlkIjoiNjQyMGM0NDE0MjhhNzI0ZGFhZDZhOTJhNTVkNTA2NGMiLCJ1c2VySWQiOiIyNDg0MzY1MzIifQ==</vt:lpwstr>
  </property>
</Properties>
</file>